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338E" w14:textId="77777777" w:rsidR="00F534A2" w:rsidRDefault="00F534A2" w:rsidP="00F534A2">
      <w:pPr>
        <w:pStyle w:val="Heading1"/>
      </w:pPr>
      <w:bookmarkStart w:id="0" w:name="_Toc432067103"/>
      <w:r>
        <w:t>Mandatory climate-related financial disclosures</w:t>
      </w:r>
    </w:p>
    <w:p w14:paraId="3DF89F55" w14:textId="47FA8E3C" w:rsidR="00EB6526" w:rsidRDefault="007B7096" w:rsidP="00F534A2">
      <w:pPr>
        <w:pStyle w:val="Heading2"/>
      </w:pPr>
      <w:r>
        <w:t>Policy position</w:t>
      </w:r>
      <w:r w:rsidR="005A6687">
        <w:t xml:space="preserve"> </w:t>
      </w:r>
      <w:r w:rsidR="00EB6526">
        <w:t>s</w:t>
      </w:r>
      <w:r w:rsidR="005A6687">
        <w:t>tatement</w:t>
      </w:r>
    </w:p>
    <w:p w14:paraId="3DBB5F0F" w14:textId="4E3F6C2E" w:rsidR="00B96752" w:rsidRDefault="00B96752" w:rsidP="00B96752">
      <w:r>
        <w:t>The Government is committed to improving the quality of climate-related financial disclosures, providing Australians and investors with greater transparency and more comparable information about an entity’s exposure to climate-related financial risks and opportunities and climate-related plans and strategies.</w:t>
      </w:r>
    </w:p>
    <w:p w14:paraId="2E179DA7" w14:textId="2F0E7827" w:rsidR="0052234B" w:rsidRDefault="0096317F" w:rsidP="00B96752">
      <w:r>
        <w:t xml:space="preserve">Improving climate disclosures </w:t>
      </w:r>
      <w:r w:rsidR="0038724E">
        <w:t xml:space="preserve">will </w:t>
      </w:r>
      <w:r w:rsidR="00B96752">
        <w:t>support regulators to assess and manage systemic risks to the financial system as a result of climate change</w:t>
      </w:r>
      <w:r w:rsidR="0052234B">
        <w:t xml:space="preserve"> and efforts taken</w:t>
      </w:r>
      <w:r w:rsidR="00B96752">
        <w:t xml:space="preserve"> to mitigate its effects. </w:t>
      </w:r>
    </w:p>
    <w:p w14:paraId="561601C7" w14:textId="58DA64C1" w:rsidR="00B96752" w:rsidRDefault="00B96752" w:rsidP="00B96752">
      <w:r>
        <w:t>A rigorous, internationally aligned and credible climate disclosure regime will support Australia’s reputation as an attractive destination for international capital and help draw the investment required for the transition to net zero. It will bring Australia in line with</w:t>
      </w:r>
      <w:r w:rsidRPr="006264B1">
        <w:t xml:space="preserve"> other jurisdictions, including the EU, UK, N</w:t>
      </w:r>
      <w:r w:rsidR="0038724E">
        <w:t xml:space="preserve">ew </w:t>
      </w:r>
      <w:r w:rsidRPr="006264B1">
        <w:t>Z</w:t>
      </w:r>
      <w:r w:rsidR="0038724E">
        <w:t>ealand</w:t>
      </w:r>
      <w:r w:rsidRPr="006264B1">
        <w:t xml:space="preserve"> and Japan.</w:t>
      </w:r>
    </w:p>
    <w:p w14:paraId="387A3111" w14:textId="79E8BB0E" w:rsidR="00B96752" w:rsidRDefault="00B96752" w:rsidP="00B96752">
      <w:r>
        <w:t xml:space="preserve">This </w:t>
      </w:r>
      <w:r w:rsidR="005A6687">
        <w:t>statement</w:t>
      </w:r>
      <w:r w:rsidR="007B7096">
        <w:t xml:space="preserve"> </w:t>
      </w:r>
      <w:r w:rsidR="00565E51">
        <w:t>outlines</w:t>
      </w:r>
      <w:r>
        <w:t xml:space="preserve"> the Government’s policy positions related to</w:t>
      </w:r>
      <w:r w:rsidR="009319CE">
        <w:t>:</w:t>
      </w:r>
      <w:r>
        <w:t xml:space="preserve"> the scope of the reform (including entities covered), the content </w:t>
      </w:r>
      <w:r w:rsidR="00C71EE2">
        <w:t>required in reports</w:t>
      </w:r>
      <w:r>
        <w:t xml:space="preserve">, the location of reporting, assurance </w:t>
      </w:r>
      <w:r w:rsidR="00014070">
        <w:t>requirements for</w:t>
      </w:r>
      <w:r>
        <w:t xml:space="preserve"> disclosures</w:t>
      </w:r>
      <w:r w:rsidR="00FB721B">
        <w:t>,</w:t>
      </w:r>
      <w:r>
        <w:t xml:space="preserve"> and the application of liability for disclosure</w:t>
      </w:r>
      <w:r w:rsidR="00BA02AA">
        <w:t>s.</w:t>
      </w:r>
      <w:r w:rsidR="00D042C4">
        <w:t xml:space="preserve"> The</w:t>
      </w:r>
      <w:r w:rsidR="00B119FA">
        <w:t>se policy positions reflect Option 1b as outlined in the Policy Impact Analysis.</w:t>
      </w:r>
    </w:p>
    <w:p w14:paraId="57839B5A" w14:textId="47F4FEDE" w:rsidR="00050204" w:rsidRDefault="00050204" w:rsidP="00B96752">
      <w:r>
        <w:t xml:space="preserve">Climate-related financial disclosures will be mandated through amendments to the </w:t>
      </w:r>
      <w:r w:rsidRPr="00050204">
        <w:rPr>
          <w:i/>
          <w:iCs/>
        </w:rPr>
        <w:t>Corporations Act 2001</w:t>
      </w:r>
      <w:r>
        <w:t xml:space="preserve"> (Cth) (Corporations Act) and related legislation. </w:t>
      </w:r>
      <w:r w:rsidR="00BA02AA">
        <w:t xml:space="preserve">Detailed sustainability and assurance standards will be </w:t>
      </w:r>
      <w:r w:rsidR="00BD2CB0">
        <w:t xml:space="preserve">made </w:t>
      </w:r>
      <w:r w:rsidR="00E522B6">
        <w:t xml:space="preserve">and maintained </w:t>
      </w:r>
      <w:r w:rsidR="00BD2CB0">
        <w:t>by the Australian Accounting Standards Board (AASB) and the Australian Auditing and Assurance Standards Board (AUASB).</w:t>
      </w:r>
    </w:p>
    <w:p w14:paraId="047B6ECB" w14:textId="5BB3B93F" w:rsidR="00B96752" w:rsidRDefault="00050204" w:rsidP="00EB6526">
      <w:pPr>
        <w:pStyle w:val="Heading3"/>
      </w:pPr>
      <w:r>
        <w:t>Reporting entities</w:t>
      </w:r>
    </w:p>
    <w:p w14:paraId="01D2D465" w14:textId="561F2C74" w:rsidR="00050204" w:rsidRDefault="00050204" w:rsidP="00050204">
      <w:pPr>
        <w:rPr>
          <w:i/>
          <w:iCs/>
        </w:rPr>
      </w:pPr>
      <w:r w:rsidRPr="00050204">
        <w:rPr>
          <w:i/>
          <w:iCs/>
        </w:rPr>
        <w:t xml:space="preserve">Who </w:t>
      </w:r>
      <w:r w:rsidR="002E07F3">
        <w:rPr>
          <w:i/>
          <w:iCs/>
        </w:rPr>
        <w:t>will be</w:t>
      </w:r>
      <w:r w:rsidR="002E07F3" w:rsidRPr="00050204">
        <w:rPr>
          <w:i/>
          <w:iCs/>
        </w:rPr>
        <w:t xml:space="preserve"> </w:t>
      </w:r>
      <w:r w:rsidRPr="00050204">
        <w:rPr>
          <w:i/>
          <w:iCs/>
        </w:rPr>
        <w:t>included</w:t>
      </w:r>
      <w:r>
        <w:rPr>
          <w:i/>
          <w:iCs/>
        </w:rPr>
        <w:t>?</w:t>
      </w:r>
    </w:p>
    <w:p w14:paraId="42F1EBFD" w14:textId="2686375E" w:rsidR="00050204" w:rsidRPr="000B0F8C" w:rsidRDefault="00050204" w:rsidP="000B0F8C">
      <w:pPr>
        <w:pStyle w:val="Bullet"/>
        <w:ind w:left="520" w:hanging="520"/>
        <w:rPr>
          <w:rStyle w:val="normaltextrun"/>
          <w:rFonts w:eastAsiaTheme="majorEastAsia"/>
        </w:rPr>
      </w:pPr>
      <w:r w:rsidRPr="000B0F8C">
        <w:rPr>
          <w:rStyle w:val="normaltextrun"/>
          <w:rFonts w:eastAsiaTheme="majorEastAsia"/>
        </w:rPr>
        <w:t xml:space="preserve">Large entities that are required to prepare and lodge annual reports under Chapter 2M of the Corporations Act will be required to disclose information about climate-related risks and opportunities. This includes listed and unlisted companies and financial institutions </w:t>
      </w:r>
      <w:r w:rsidR="00D61B82" w:rsidRPr="000B0F8C">
        <w:rPr>
          <w:rStyle w:val="normaltextrun"/>
          <w:rFonts w:eastAsiaTheme="majorEastAsia"/>
        </w:rPr>
        <w:t>as well as</w:t>
      </w:r>
      <w:r w:rsidRPr="000B0F8C">
        <w:rPr>
          <w:rStyle w:val="normaltextrun"/>
          <w:rFonts w:eastAsiaTheme="majorEastAsia"/>
        </w:rPr>
        <w:t xml:space="preserve"> registrable superannuation entities and registered investment schemes.</w:t>
      </w:r>
    </w:p>
    <w:p w14:paraId="5F99B020" w14:textId="712E68D5" w:rsidR="00EE3A1D" w:rsidRPr="000D6F9B" w:rsidRDefault="00EE3A1D" w:rsidP="000B0F8C">
      <w:pPr>
        <w:pStyle w:val="Dash"/>
      </w:pPr>
      <w:r w:rsidRPr="000D6F9B">
        <w:t xml:space="preserve">Large entities are defined </w:t>
      </w:r>
      <w:r w:rsidR="00720329" w:rsidRPr="000D6F9B">
        <w:t xml:space="preserve">using size thresholds equivalent to the existing Large Proprietary Company definition (this threshold will apply to </w:t>
      </w:r>
      <w:r w:rsidR="00720329" w:rsidRPr="000D6F9B">
        <w:rPr>
          <w:u w:val="single"/>
        </w:rPr>
        <w:t>both listed and unlisted</w:t>
      </w:r>
      <w:r w:rsidR="00720329" w:rsidRPr="000D6F9B">
        <w:t xml:space="preserve"> companies)</w:t>
      </w:r>
      <w:r w:rsidR="004F3780" w:rsidRPr="000D6F9B">
        <w:t>.</w:t>
      </w:r>
      <w:r w:rsidR="00720329" w:rsidRPr="000D6F9B">
        <w:t xml:space="preserve"> </w:t>
      </w:r>
    </w:p>
    <w:p w14:paraId="1C789BC2" w14:textId="745C5A56" w:rsidR="00855086" w:rsidRDefault="00855086" w:rsidP="000D6F9B">
      <w:pPr>
        <w:pStyle w:val="Dash"/>
      </w:pPr>
      <w:r w:rsidRPr="000D6F9B">
        <w:t>Reporting by large entities will provide transparency to shareholders and support the efficient allocation of capital aligned with risks and opportunities</w:t>
      </w:r>
      <w:r>
        <w:t>.</w:t>
      </w:r>
    </w:p>
    <w:p w14:paraId="2A5389B9" w14:textId="2C5576AB" w:rsidR="00B549FE" w:rsidRDefault="00032765" w:rsidP="000B0F8C">
      <w:pPr>
        <w:pStyle w:val="Bullet"/>
        <w:rPr>
          <w:rStyle w:val="normaltextrun"/>
          <w:rFonts w:eastAsiaTheme="majorEastAsia"/>
          <w:color w:val="000000"/>
          <w:shd w:val="clear" w:color="auto" w:fill="FFFFFF"/>
        </w:rPr>
      </w:pPr>
      <w:r w:rsidRPr="003108AA">
        <w:rPr>
          <w:rStyle w:val="normaltextrun"/>
          <w:rFonts w:eastAsiaTheme="majorEastAsia"/>
          <w:color w:val="000000"/>
          <w:shd w:val="clear" w:color="auto" w:fill="FFFFFF"/>
        </w:rPr>
        <w:t>A</w:t>
      </w:r>
      <w:r w:rsidR="00B549FE" w:rsidRPr="003108AA">
        <w:rPr>
          <w:rStyle w:val="normaltextrun"/>
          <w:rFonts w:eastAsiaTheme="majorEastAsia"/>
          <w:color w:val="000000"/>
          <w:shd w:val="clear" w:color="auto" w:fill="FFFFFF"/>
        </w:rPr>
        <w:t>sset owners (</w:t>
      </w:r>
      <w:r w:rsidR="000859F4" w:rsidRPr="003108AA">
        <w:rPr>
          <w:rStyle w:val="normaltextrun"/>
          <w:rFonts w:eastAsiaTheme="majorEastAsia"/>
          <w:color w:val="000000"/>
          <w:shd w:val="clear" w:color="auto" w:fill="FFFFFF"/>
        </w:rPr>
        <w:t xml:space="preserve">such as </w:t>
      </w:r>
      <w:r w:rsidR="00B549FE" w:rsidRPr="003108AA">
        <w:rPr>
          <w:rStyle w:val="normaltextrun"/>
          <w:rFonts w:eastAsiaTheme="majorEastAsia"/>
          <w:color w:val="000000"/>
          <w:shd w:val="clear" w:color="auto" w:fill="FFFFFF"/>
        </w:rPr>
        <w:t xml:space="preserve">registrable superannuation entities and registered schemes) </w:t>
      </w:r>
      <w:r w:rsidR="002E07F3" w:rsidRPr="003108AA">
        <w:rPr>
          <w:rStyle w:val="normaltextrun"/>
          <w:rFonts w:eastAsiaTheme="majorEastAsia"/>
          <w:color w:val="000000"/>
          <w:shd w:val="clear" w:color="auto" w:fill="FFFFFF"/>
        </w:rPr>
        <w:t xml:space="preserve">will be </w:t>
      </w:r>
      <w:r w:rsidR="004F3780" w:rsidRPr="003108AA">
        <w:rPr>
          <w:rStyle w:val="normaltextrun"/>
          <w:rFonts w:eastAsiaTheme="majorEastAsia"/>
          <w:color w:val="000000"/>
          <w:shd w:val="clear" w:color="auto" w:fill="FFFFFF"/>
        </w:rPr>
        <w:t>considered large if</w:t>
      </w:r>
      <w:r w:rsidR="00CF1183" w:rsidRPr="003108AA">
        <w:rPr>
          <w:rStyle w:val="normaltextrun"/>
          <w:rFonts w:eastAsiaTheme="majorEastAsia"/>
          <w:color w:val="000000"/>
          <w:shd w:val="clear" w:color="auto" w:fill="FFFFFF"/>
        </w:rPr>
        <w:t xml:space="preserve"> </w:t>
      </w:r>
      <w:r w:rsidR="00B549FE" w:rsidRPr="003108AA">
        <w:rPr>
          <w:rStyle w:val="normaltextrun"/>
          <w:rFonts w:eastAsiaTheme="majorEastAsia"/>
          <w:color w:val="000000"/>
          <w:shd w:val="clear" w:color="auto" w:fill="FFFFFF"/>
        </w:rPr>
        <w:t xml:space="preserve">funds under management </w:t>
      </w:r>
      <w:r w:rsidR="004F3780" w:rsidRPr="003108AA">
        <w:rPr>
          <w:rStyle w:val="normaltextrun"/>
          <w:rFonts w:eastAsiaTheme="majorEastAsia"/>
          <w:color w:val="000000"/>
          <w:shd w:val="clear" w:color="auto" w:fill="FFFFFF"/>
        </w:rPr>
        <w:t xml:space="preserve">are </w:t>
      </w:r>
      <w:r w:rsidR="00B549FE" w:rsidRPr="003108AA">
        <w:rPr>
          <w:rStyle w:val="normaltextrun"/>
          <w:rFonts w:eastAsiaTheme="majorEastAsia"/>
          <w:color w:val="000000"/>
          <w:shd w:val="clear" w:color="auto" w:fill="FFFFFF"/>
        </w:rPr>
        <w:t>more than $5 billion.</w:t>
      </w:r>
    </w:p>
    <w:p w14:paraId="65B64BF8" w14:textId="2019FD4E" w:rsidR="00855086" w:rsidRPr="000D6F9B" w:rsidRDefault="00855086" w:rsidP="000D6F9B">
      <w:pPr>
        <w:pStyle w:val="Dash"/>
      </w:pPr>
      <w:r w:rsidRPr="000D6F9B">
        <w:t>Reporting by asset owners will support consistent reporting of climate-related risks and opportunities across the financial sector,</w:t>
      </w:r>
      <w:r w:rsidR="00D95B99" w:rsidRPr="000D6F9B">
        <w:t xml:space="preserve"> noting the significance of these entities in Australia’s financial system.</w:t>
      </w:r>
    </w:p>
    <w:p w14:paraId="5DA4FE1B" w14:textId="7EBF25D7" w:rsidR="00050204" w:rsidRPr="000B0F8C" w:rsidDel="00E7435F" w:rsidRDefault="00050204" w:rsidP="000B0F8C">
      <w:pPr>
        <w:pStyle w:val="Bullet"/>
        <w:ind w:left="520" w:hanging="520"/>
        <w:rPr>
          <w:rStyle w:val="normaltextrun"/>
          <w:rFonts w:eastAsiaTheme="majorEastAsia"/>
          <w:color w:val="000000"/>
          <w:shd w:val="clear" w:color="auto" w:fill="FFFFFF"/>
        </w:rPr>
      </w:pPr>
      <w:r w:rsidRPr="000B0F8C" w:rsidDel="00E7435F">
        <w:rPr>
          <w:rStyle w:val="normaltextrun"/>
          <w:rFonts w:eastAsiaTheme="majorEastAsia"/>
          <w:color w:val="000000"/>
          <w:shd w:val="clear" w:color="auto" w:fill="FFFFFF"/>
        </w:rPr>
        <w:t xml:space="preserve">Where entities are subject to both the annual reporting requirements under the Corporations Act and emissions reporting obligations under the </w:t>
      </w:r>
      <w:r w:rsidRPr="00D764AE" w:rsidDel="00E7435F">
        <w:rPr>
          <w:rStyle w:val="normaltextrun"/>
          <w:rFonts w:eastAsiaTheme="majorEastAsia"/>
          <w:i/>
          <w:iCs/>
        </w:rPr>
        <w:t>National</w:t>
      </w:r>
      <w:r w:rsidRPr="00D764AE" w:rsidDel="00E7435F">
        <w:rPr>
          <w:rStyle w:val="normaltextrun"/>
          <w:rFonts w:eastAsiaTheme="majorEastAsia"/>
          <w:i/>
          <w:iCs/>
          <w:color w:val="000000"/>
          <w:shd w:val="clear" w:color="auto" w:fill="FFFFFF"/>
        </w:rPr>
        <w:t xml:space="preserve"> Greenhouse and Energy Reporting Act 2007</w:t>
      </w:r>
      <w:r w:rsidRPr="000B0F8C" w:rsidDel="00E7435F">
        <w:rPr>
          <w:rStyle w:val="normaltextrun"/>
          <w:rFonts w:eastAsiaTheme="majorEastAsia"/>
          <w:color w:val="000000"/>
          <w:shd w:val="clear" w:color="auto" w:fill="FFFFFF"/>
        </w:rPr>
        <w:t xml:space="preserve"> (Cth) (NGER Act), </w:t>
      </w:r>
      <w:r w:rsidRPr="000B0F8C" w:rsidDel="00E7435F">
        <w:rPr>
          <w:rStyle w:val="normaltextrun"/>
          <w:rFonts w:eastAsiaTheme="majorEastAsia"/>
          <w:bCs/>
          <w:color w:val="000000"/>
          <w:u w:val="single"/>
          <w:shd w:val="clear" w:color="auto" w:fill="FFFFFF"/>
        </w:rPr>
        <w:t>they will be required to disclose</w:t>
      </w:r>
      <w:r w:rsidRPr="000B0F8C" w:rsidDel="00E7435F">
        <w:rPr>
          <w:rStyle w:val="normaltextrun"/>
          <w:rFonts w:eastAsiaTheme="majorEastAsia"/>
          <w:color w:val="000000"/>
          <w:shd w:val="clear" w:color="auto" w:fill="FFFFFF"/>
        </w:rPr>
        <w:t xml:space="preserve"> regardless of size. </w:t>
      </w:r>
    </w:p>
    <w:p w14:paraId="46577B7E" w14:textId="6EB3C803" w:rsidR="00D95B99" w:rsidRPr="000E5E93" w:rsidDel="00E7435F" w:rsidRDefault="004801E2" w:rsidP="000E5E93">
      <w:pPr>
        <w:pStyle w:val="Dash"/>
      </w:pPr>
      <w:r w:rsidRPr="000E5E93" w:rsidDel="00E7435F">
        <w:t>Reporting by NGER-covered entities is appropriate and proportionate to the risks they face.</w:t>
      </w:r>
    </w:p>
    <w:p w14:paraId="068245A2" w14:textId="355563D2" w:rsidR="00050204" w:rsidRDefault="00050204" w:rsidP="00760F73">
      <w:pPr>
        <w:pStyle w:val="Bullet"/>
        <w:keepNext/>
        <w:numPr>
          <w:ilvl w:val="0"/>
          <w:numId w:val="0"/>
        </w:numPr>
      </w:pPr>
      <w:r w:rsidRPr="00050204">
        <w:rPr>
          <w:i/>
          <w:iCs/>
        </w:rPr>
        <w:lastRenderedPageBreak/>
        <w:t>Exemptions</w:t>
      </w:r>
    </w:p>
    <w:p w14:paraId="5376AA00" w14:textId="70AE6778" w:rsidR="00753E92" w:rsidRPr="000B0F8C" w:rsidRDefault="00A03D10" w:rsidP="000B0F8C">
      <w:pPr>
        <w:pStyle w:val="Bullet"/>
        <w:ind w:left="520" w:hanging="520"/>
        <w:rPr>
          <w:rStyle w:val="normaltextrun"/>
          <w:rFonts w:eastAsiaTheme="majorEastAsia"/>
        </w:rPr>
      </w:pPr>
      <w:r w:rsidRPr="000B0F8C">
        <w:rPr>
          <w:rStyle w:val="normaltextrun"/>
          <w:rFonts w:eastAsiaTheme="majorEastAsia"/>
          <w:color w:val="000000"/>
          <w:shd w:val="clear" w:color="auto" w:fill="FFFFFF"/>
        </w:rPr>
        <w:t xml:space="preserve">Small </w:t>
      </w:r>
      <w:r w:rsidR="00472AB4" w:rsidRPr="000B0F8C">
        <w:rPr>
          <w:rStyle w:val="normaltextrun"/>
          <w:rFonts w:eastAsiaTheme="majorEastAsia"/>
          <w:color w:val="000000"/>
          <w:shd w:val="clear" w:color="auto" w:fill="FFFFFF"/>
        </w:rPr>
        <w:t xml:space="preserve">and </w:t>
      </w:r>
      <w:r w:rsidR="00472AB4" w:rsidRPr="000B0F8C">
        <w:rPr>
          <w:rStyle w:val="normaltextrun"/>
          <w:rFonts w:eastAsiaTheme="majorEastAsia"/>
        </w:rPr>
        <w:t xml:space="preserve">medium businesses, below the </w:t>
      </w:r>
      <w:r w:rsidR="00FF78D6" w:rsidRPr="000B0F8C">
        <w:rPr>
          <w:rStyle w:val="normaltextrun"/>
          <w:rFonts w:eastAsiaTheme="majorEastAsia"/>
        </w:rPr>
        <w:t>relevant</w:t>
      </w:r>
      <w:r w:rsidR="00472AB4" w:rsidRPr="000B0F8C">
        <w:rPr>
          <w:rStyle w:val="normaltextrun"/>
          <w:rFonts w:eastAsiaTheme="majorEastAsia"/>
        </w:rPr>
        <w:t xml:space="preserve"> size thresholds </w:t>
      </w:r>
      <w:r w:rsidRPr="000B0F8C">
        <w:rPr>
          <w:rStyle w:val="normaltextrun"/>
          <w:rFonts w:eastAsiaTheme="majorEastAsia"/>
        </w:rPr>
        <w:t>compa</w:t>
      </w:r>
      <w:r w:rsidR="00936427" w:rsidRPr="000B0F8C">
        <w:rPr>
          <w:rStyle w:val="normaltextrun"/>
          <w:rFonts w:eastAsiaTheme="majorEastAsia"/>
        </w:rPr>
        <w:t xml:space="preserve">nies </w:t>
      </w:r>
      <w:r w:rsidR="008F543A" w:rsidRPr="000B0F8C">
        <w:rPr>
          <w:rStyle w:val="normaltextrun"/>
          <w:rFonts w:eastAsiaTheme="majorEastAsia"/>
        </w:rPr>
        <w:t xml:space="preserve">will be </w:t>
      </w:r>
      <w:r w:rsidR="001C33DC" w:rsidRPr="000B0F8C">
        <w:rPr>
          <w:rStyle w:val="normaltextrun"/>
          <w:rFonts w:eastAsiaTheme="majorEastAsia"/>
        </w:rPr>
        <w:t>exempt</w:t>
      </w:r>
      <w:r w:rsidR="004D17E0" w:rsidRPr="000B0F8C">
        <w:rPr>
          <w:rStyle w:val="normaltextrun"/>
          <w:rFonts w:eastAsiaTheme="majorEastAsia"/>
        </w:rPr>
        <w:t>.</w:t>
      </w:r>
    </w:p>
    <w:p w14:paraId="30FE66DD" w14:textId="757429D2" w:rsidR="0051148A" w:rsidRPr="003108AA" w:rsidRDefault="00050204" w:rsidP="000B0F8C">
      <w:pPr>
        <w:pStyle w:val="Bullet"/>
        <w:rPr>
          <w:rStyle w:val="normaltextrun"/>
          <w:rFonts w:eastAsiaTheme="majorEastAsia"/>
          <w:color w:val="000000"/>
          <w:shd w:val="clear" w:color="auto" w:fill="FFFFFF"/>
        </w:rPr>
      </w:pPr>
      <w:r w:rsidRPr="000B0F8C">
        <w:rPr>
          <w:rStyle w:val="normaltextrun"/>
          <w:rFonts w:eastAsiaTheme="majorEastAsia"/>
        </w:rPr>
        <w:t>Entities that are exempt from lodging financial reports under Chapter 2M of the Corporations Act</w:t>
      </w:r>
      <w:r w:rsidR="00B549FE" w:rsidRPr="000B0F8C">
        <w:rPr>
          <w:rStyle w:val="normaltextrun"/>
          <w:rFonts w:eastAsiaTheme="majorEastAsia"/>
        </w:rPr>
        <w:t xml:space="preserve">, </w:t>
      </w:r>
      <w:r w:rsidRPr="000B0F8C">
        <w:rPr>
          <w:rStyle w:val="normaltextrun"/>
          <w:rFonts w:eastAsiaTheme="majorEastAsia"/>
        </w:rPr>
        <w:t>including where exemptions have been made through ASIC class orders or where the entity is registered with the Australian Charities and Not-for-profits Commission</w:t>
      </w:r>
      <w:r w:rsidR="00B549FE" w:rsidRPr="000B0F8C">
        <w:rPr>
          <w:rStyle w:val="normaltextrun"/>
          <w:rFonts w:eastAsiaTheme="majorEastAsia"/>
        </w:rPr>
        <w:t>,</w:t>
      </w:r>
      <w:r w:rsidRPr="000B0F8C">
        <w:rPr>
          <w:rStyle w:val="normaltextrun"/>
          <w:rFonts w:eastAsiaTheme="majorEastAsia"/>
        </w:rPr>
        <w:t xml:space="preserve"> will not be required to make climate-related</w:t>
      </w:r>
      <w:r w:rsidRPr="003108AA">
        <w:rPr>
          <w:rStyle w:val="normaltextrun"/>
          <w:rFonts w:eastAsiaTheme="majorEastAsia"/>
          <w:color w:val="000000"/>
          <w:shd w:val="clear" w:color="auto" w:fill="FFFFFF"/>
        </w:rPr>
        <w:t xml:space="preserve"> financial disclosures.</w:t>
      </w:r>
    </w:p>
    <w:p w14:paraId="7F141993" w14:textId="61900B9B" w:rsidR="00050204" w:rsidRDefault="00050204" w:rsidP="00EB6526">
      <w:pPr>
        <w:pStyle w:val="Heading3"/>
      </w:pPr>
      <w:r>
        <w:t>Phasing</w:t>
      </w:r>
    </w:p>
    <w:p w14:paraId="62109A34" w14:textId="0E86D7C0" w:rsidR="005977FE" w:rsidRDefault="00B549FE" w:rsidP="000B0F8C">
      <w:pPr>
        <w:pStyle w:val="Bullet"/>
        <w:numPr>
          <w:ilvl w:val="0"/>
          <w:numId w:val="0"/>
        </w:numPr>
        <w:spacing w:after="240"/>
      </w:pPr>
      <w:r>
        <w:t>Entities subject to mandatory climate</w:t>
      </w:r>
      <w:r w:rsidR="00554655">
        <w:t>-related financial</w:t>
      </w:r>
      <w:r>
        <w:t xml:space="preserve"> disclosure would be phased in three groups, over a four</w:t>
      </w:r>
      <w:r>
        <w:noBreakHyphen/>
        <w:t xml:space="preserve">year period as set out in </w:t>
      </w:r>
      <w:r w:rsidR="0051148A">
        <w:t>the table</w:t>
      </w:r>
      <w:r>
        <w:t xml:space="preserve"> below. </w:t>
      </w:r>
    </w:p>
    <w:p w14:paraId="33AECFEC" w14:textId="62CACCAA" w:rsidR="00E90463" w:rsidRPr="00E90463" w:rsidRDefault="00E90463" w:rsidP="000B0F8C">
      <w:pPr>
        <w:pStyle w:val="Bullet"/>
        <w:numPr>
          <w:ilvl w:val="0"/>
          <w:numId w:val="0"/>
        </w:numPr>
        <w:spacing w:after="240"/>
      </w:pPr>
      <w:r w:rsidRPr="0004695D">
        <w:t>The commencement date for Group 1 entities included in the exposure draft of the legislation is 1</w:t>
      </w:r>
      <w:r w:rsidR="0096192D">
        <w:t> </w:t>
      </w:r>
      <w:r w:rsidRPr="0004695D">
        <w:t>July</w:t>
      </w:r>
      <w:r w:rsidR="0096192D">
        <w:t> </w:t>
      </w:r>
      <w:r w:rsidRPr="0004695D">
        <w:t xml:space="preserve">2024. The Government welcomes stakeholder feedback on whether amending legislation to require a 1 Jan 2025 commencement date for Group 1 </w:t>
      </w:r>
      <w:r w:rsidRPr="00E90463">
        <w:t>entities</w:t>
      </w:r>
      <w:r w:rsidRPr="0004695D">
        <w:t xml:space="preserve"> would improve the quality of reporting during the transition year.</w:t>
      </w:r>
    </w:p>
    <w:p w14:paraId="5D826242" w14:textId="7ED988C3" w:rsidR="00975FE5" w:rsidRDefault="00FC0D0C" w:rsidP="000B0F8C">
      <w:pPr>
        <w:pStyle w:val="Bullet"/>
        <w:numPr>
          <w:ilvl w:val="0"/>
          <w:numId w:val="0"/>
        </w:numPr>
        <w:spacing w:after="240"/>
      </w:pPr>
      <w:r>
        <w:t>A</w:t>
      </w:r>
      <w:r w:rsidR="00EB7D26">
        <w:t>n</w:t>
      </w:r>
      <w:r>
        <w:t xml:space="preserve"> </w:t>
      </w:r>
      <w:r w:rsidR="000E7E8B">
        <w:t>entity</w:t>
      </w:r>
      <w:r>
        <w:t xml:space="preserve"> will</w:t>
      </w:r>
      <w:r w:rsidR="002C4E70">
        <w:t xml:space="preserve"> be </w:t>
      </w:r>
      <w:r w:rsidR="00C91E56">
        <w:t xml:space="preserve">phased in on the basis </w:t>
      </w:r>
      <w:r w:rsidR="005977FE">
        <w:t xml:space="preserve">of size or level of emissions. The table below sets out when entities must </w:t>
      </w:r>
      <w:r w:rsidR="005977FE">
        <w:rPr>
          <w:rStyle w:val="normaltextrun"/>
          <w:rFonts w:eastAsiaTheme="majorEastAsia"/>
        </w:rPr>
        <w:t xml:space="preserve">commence mandatory disclosure on the assumption </w:t>
      </w:r>
      <w:r w:rsidR="002C4E70">
        <w:t xml:space="preserve">they </w:t>
      </w:r>
      <w:r w:rsidR="002E5FE6" w:rsidRPr="000B0F8C">
        <w:rPr>
          <w:rStyle w:val="normaltextrun"/>
          <w:rFonts w:eastAsiaTheme="majorEastAsia"/>
        </w:rPr>
        <w:t xml:space="preserve">are required to prepare and lodge annual reports under Chapter 2M of the Corporations Act </w:t>
      </w:r>
      <w:r w:rsidR="002E5FE6">
        <w:rPr>
          <w:rStyle w:val="normaltextrun"/>
          <w:rFonts w:eastAsiaTheme="majorEastAsia"/>
          <w:b/>
          <w:bCs/>
        </w:rPr>
        <w:t>and</w:t>
      </w:r>
      <w:r w:rsidR="002E5FE6">
        <w:rPr>
          <w:rStyle w:val="normaltextrun"/>
          <w:rFonts w:eastAsiaTheme="majorEastAsia"/>
        </w:rPr>
        <w:t xml:space="preserve"> they </w:t>
      </w:r>
      <w:r w:rsidR="00B17614">
        <w:t xml:space="preserve">fall within </w:t>
      </w:r>
      <w:r w:rsidR="00AD0F2E">
        <w:t xml:space="preserve">one </w:t>
      </w:r>
      <w:r w:rsidR="00C03024">
        <w:t>(</w:t>
      </w:r>
      <w:r w:rsidR="00AD0F2E">
        <w:t>or more</w:t>
      </w:r>
      <w:r w:rsidR="00C03024">
        <w:t>)</w:t>
      </w:r>
      <w:r w:rsidR="00AD0F2E">
        <w:t xml:space="preserve"> of the </w:t>
      </w:r>
      <w:r w:rsidR="00B17614">
        <w:t>following</w:t>
      </w:r>
      <w:r w:rsidR="00975FE5">
        <w:t xml:space="preserve"> three</w:t>
      </w:r>
      <w:r w:rsidR="00B17614">
        <w:t xml:space="preserve"> categories</w:t>
      </w:r>
      <w:r w:rsidR="00AA78B4">
        <w:t xml:space="preserve">. </w:t>
      </w:r>
    </w:p>
    <w:tbl>
      <w:tblPr>
        <w:tblStyle w:val="TableGrid"/>
        <w:tblW w:w="9445" w:type="dxa"/>
        <w:tblLook w:val="04A0" w:firstRow="1" w:lastRow="0" w:firstColumn="1" w:lastColumn="0" w:noHBand="0" w:noVBand="1"/>
      </w:tblPr>
      <w:tblGrid>
        <w:gridCol w:w="1517"/>
        <w:gridCol w:w="1531"/>
        <w:gridCol w:w="1531"/>
        <w:gridCol w:w="1531"/>
        <w:gridCol w:w="1667"/>
        <w:gridCol w:w="1668"/>
      </w:tblGrid>
      <w:tr w:rsidR="000A349B" w14:paraId="482C9A45" w14:textId="77777777" w:rsidTr="0053338B">
        <w:trPr>
          <w:cnfStyle w:val="100000000000" w:firstRow="1" w:lastRow="0" w:firstColumn="0" w:lastColumn="0" w:oddVBand="0" w:evenVBand="0" w:oddHBand="0" w:evenHBand="0" w:firstRowFirstColumn="0" w:firstRowLastColumn="0" w:lastRowFirstColumn="0" w:lastRowLastColumn="0"/>
        </w:trPr>
        <w:tc>
          <w:tcPr>
            <w:tcW w:w="1517" w:type="dxa"/>
            <w:vMerge w:val="restart"/>
            <w:tcBorders>
              <w:top w:val="single" w:sz="4" w:space="0" w:color="auto"/>
              <w:left w:val="single" w:sz="4" w:space="0" w:color="auto"/>
              <w:bottom w:val="single" w:sz="4" w:space="0" w:color="auto"/>
              <w:right w:val="single" w:sz="4" w:space="0" w:color="auto"/>
            </w:tcBorders>
            <w:vAlign w:val="center"/>
          </w:tcPr>
          <w:p w14:paraId="3CB01120" w14:textId="5C412596" w:rsidR="00322E13" w:rsidRDefault="00997D10" w:rsidP="00AC25F2">
            <w:pPr>
              <w:pStyle w:val="Bullet"/>
              <w:numPr>
                <w:ilvl w:val="0"/>
                <w:numId w:val="0"/>
              </w:numPr>
              <w:spacing w:before="96" w:after="96"/>
            </w:pPr>
            <w:r>
              <w:t>First a</w:t>
            </w:r>
            <w:r w:rsidR="006E528B">
              <w:t>nnual reporting period</w:t>
            </w:r>
            <w:r w:rsidR="006513DE">
              <w:t>s</w:t>
            </w:r>
            <w:r w:rsidR="006E528B">
              <w:t xml:space="preserve"> starting on or after</w:t>
            </w:r>
          </w:p>
        </w:tc>
        <w:tc>
          <w:tcPr>
            <w:tcW w:w="4593" w:type="dxa"/>
            <w:gridSpan w:val="3"/>
            <w:tcBorders>
              <w:top w:val="single" w:sz="4" w:space="0" w:color="auto"/>
              <w:left w:val="single" w:sz="4" w:space="0" w:color="auto"/>
              <w:right w:val="single" w:sz="4" w:space="0" w:color="auto"/>
            </w:tcBorders>
            <w:shd w:val="clear" w:color="auto" w:fill="9DADC5" w:themeFill="accent3" w:themeFillTint="99"/>
          </w:tcPr>
          <w:p w14:paraId="55D7BE9D" w14:textId="70DDD2B1" w:rsidR="00322E13" w:rsidRPr="00142ACF" w:rsidRDefault="000E7E8B" w:rsidP="00AD0F2E">
            <w:pPr>
              <w:pStyle w:val="Bullet"/>
              <w:numPr>
                <w:ilvl w:val="0"/>
                <w:numId w:val="0"/>
              </w:numPr>
              <w:spacing w:before="96" w:after="96"/>
              <w:rPr>
                <w:b w:val="0"/>
                <w:bCs/>
              </w:rPr>
            </w:pPr>
            <w:r>
              <w:t>Large</w:t>
            </w:r>
            <w:r w:rsidR="00810178">
              <w:t xml:space="preserve"> </w:t>
            </w:r>
            <w:r w:rsidR="003D0F72">
              <w:t xml:space="preserve">entities </w:t>
            </w:r>
            <w:r w:rsidR="00810178">
              <w:t xml:space="preserve">and </w:t>
            </w:r>
            <w:r w:rsidR="003D0F72">
              <w:t>their</w:t>
            </w:r>
            <w:r w:rsidR="00810178">
              <w:t xml:space="preserve"> controlled entities</w:t>
            </w:r>
            <w:r w:rsidR="006E528B">
              <w:t xml:space="preserve"> meeting </w:t>
            </w:r>
            <w:r w:rsidR="00102E72">
              <w:t xml:space="preserve">at least </w:t>
            </w:r>
            <w:r w:rsidR="006E528B" w:rsidRPr="00EE43C2">
              <w:rPr>
                <w:u w:val="single"/>
              </w:rPr>
              <w:t>two of three</w:t>
            </w:r>
            <w:r w:rsidR="006E528B">
              <w:t xml:space="preserve"> criteria</w:t>
            </w:r>
            <w:r w:rsidR="00EE43C2">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B2CEBF" w:themeFill="accent2" w:themeFillTint="66"/>
            <w:vAlign w:val="center"/>
          </w:tcPr>
          <w:p w14:paraId="50B87389" w14:textId="609BF04B" w:rsidR="00322E13" w:rsidRDefault="005977FE" w:rsidP="004801E2">
            <w:pPr>
              <w:spacing w:before="96" w:after="96"/>
            </w:pPr>
            <w:r w:rsidRPr="005977FE">
              <w:t xml:space="preserve">National Greenhouse and Energy Reporting </w:t>
            </w:r>
            <w:r>
              <w:t>(</w:t>
            </w:r>
            <w:r w:rsidR="00322E13">
              <w:t>NGER</w:t>
            </w:r>
            <w:r>
              <w:t>)</w:t>
            </w:r>
            <w:r w:rsidR="00142ACF">
              <w:t xml:space="preserve"> </w:t>
            </w:r>
            <w:r w:rsidR="002E5FE6">
              <w:t>Reporters</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F6CEB3" w:themeFill="accent6" w:themeFillTint="99"/>
            <w:vAlign w:val="center"/>
          </w:tcPr>
          <w:p w14:paraId="4F353B31" w14:textId="2ED88346" w:rsidR="00322E13" w:rsidRDefault="00322E13" w:rsidP="004801E2">
            <w:pPr>
              <w:spacing w:before="96" w:after="96"/>
            </w:pPr>
            <w:r>
              <w:t>Asset Owners</w:t>
            </w:r>
          </w:p>
        </w:tc>
      </w:tr>
      <w:tr w:rsidR="0097651E" w14:paraId="24B137C8" w14:textId="77777777" w:rsidTr="003B4895">
        <w:tc>
          <w:tcPr>
            <w:tcW w:w="1517" w:type="dxa"/>
            <w:vMerge/>
            <w:tcBorders>
              <w:top w:val="single" w:sz="4" w:space="0" w:color="auto"/>
              <w:left w:val="single" w:sz="4" w:space="0" w:color="auto"/>
              <w:bottom w:val="single" w:sz="4" w:space="0" w:color="auto"/>
              <w:right w:val="single" w:sz="4" w:space="0" w:color="auto"/>
            </w:tcBorders>
          </w:tcPr>
          <w:p w14:paraId="779D2027" w14:textId="77777777" w:rsidR="00322E13" w:rsidRDefault="00322E13" w:rsidP="001B48EC">
            <w:pPr>
              <w:pStyle w:val="Bullet"/>
              <w:numPr>
                <w:ilvl w:val="0"/>
                <w:numId w:val="0"/>
              </w:numPr>
              <w:spacing w:before="96" w:after="96"/>
            </w:pPr>
          </w:p>
        </w:tc>
        <w:tc>
          <w:tcPr>
            <w:tcW w:w="1531" w:type="dxa"/>
            <w:tcBorders>
              <w:left w:val="single" w:sz="4" w:space="0" w:color="auto"/>
              <w:bottom w:val="single" w:sz="4" w:space="0" w:color="auto"/>
            </w:tcBorders>
            <w:shd w:val="clear" w:color="auto" w:fill="DEE3EB" w:themeFill="accent3" w:themeFillTint="33"/>
          </w:tcPr>
          <w:p w14:paraId="61E775E5" w14:textId="061400FC" w:rsidR="00322E13" w:rsidRDefault="00322E13" w:rsidP="001B48EC">
            <w:pPr>
              <w:pStyle w:val="Bullet"/>
              <w:numPr>
                <w:ilvl w:val="0"/>
                <w:numId w:val="0"/>
              </w:numPr>
              <w:spacing w:before="96" w:after="96"/>
            </w:pPr>
            <w:r>
              <w:t>Consolidated revenue</w:t>
            </w:r>
          </w:p>
        </w:tc>
        <w:tc>
          <w:tcPr>
            <w:tcW w:w="1531" w:type="dxa"/>
            <w:tcBorders>
              <w:bottom w:val="single" w:sz="4" w:space="0" w:color="auto"/>
            </w:tcBorders>
            <w:shd w:val="clear" w:color="auto" w:fill="DEE3EB" w:themeFill="accent3" w:themeFillTint="33"/>
          </w:tcPr>
          <w:p w14:paraId="07A2CA9B" w14:textId="370A5949" w:rsidR="00322E13" w:rsidRDefault="00BB4067" w:rsidP="001B48EC">
            <w:pPr>
              <w:pStyle w:val="Bullet"/>
              <w:numPr>
                <w:ilvl w:val="0"/>
                <w:numId w:val="0"/>
              </w:numPr>
              <w:spacing w:before="96" w:after="96"/>
            </w:pPr>
            <w:r>
              <w:t>EOFY c</w:t>
            </w:r>
            <w:r w:rsidR="00322E13">
              <w:t>onsolidated gross assets</w:t>
            </w:r>
          </w:p>
        </w:tc>
        <w:tc>
          <w:tcPr>
            <w:tcW w:w="1531" w:type="dxa"/>
            <w:tcBorders>
              <w:bottom w:val="single" w:sz="4" w:space="0" w:color="auto"/>
              <w:right w:val="single" w:sz="4" w:space="0" w:color="auto"/>
            </w:tcBorders>
            <w:shd w:val="clear" w:color="auto" w:fill="DEE3EB" w:themeFill="accent3" w:themeFillTint="33"/>
          </w:tcPr>
          <w:p w14:paraId="0B434BD1" w14:textId="5A758FFF" w:rsidR="00322E13" w:rsidRDefault="00322E13" w:rsidP="001B48EC">
            <w:pPr>
              <w:pStyle w:val="Bullet"/>
              <w:numPr>
                <w:ilvl w:val="0"/>
                <w:numId w:val="0"/>
              </w:numPr>
              <w:spacing w:before="96" w:after="96"/>
            </w:pPr>
            <w:r>
              <w:t xml:space="preserve">EOFY </w:t>
            </w:r>
            <w:r w:rsidR="00951A64">
              <w:t>e</w:t>
            </w:r>
            <w:r>
              <w:t>mployees</w:t>
            </w:r>
          </w:p>
        </w:tc>
        <w:tc>
          <w:tcPr>
            <w:tcW w:w="1667" w:type="dxa"/>
            <w:vMerge/>
            <w:tcBorders>
              <w:top w:val="single" w:sz="4" w:space="0" w:color="auto"/>
              <w:left w:val="single" w:sz="4" w:space="0" w:color="auto"/>
              <w:bottom w:val="single" w:sz="4" w:space="0" w:color="auto"/>
              <w:right w:val="single" w:sz="4" w:space="0" w:color="auto"/>
            </w:tcBorders>
            <w:shd w:val="clear" w:color="auto" w:fill="B2CEBF" w:themeFill="accent2" w:themeFillTint="66"/>
          </w:tcPr>
          <w:p w14:paraId="2FC04A8C" w14:textId="171159F8" w:rsidR="00322E13" w:rsidRDefault="00322E13" w:rsidP="001B48EC">
            <w:pPr>
              <w:pStyle w:val="Bullet"/>
              <w:numPr>
                <w:ilvl w:val="0"/>
                <w:numId w:val="0"/>
              </w:numPr>
              <w:spacing w:before="96" w:after="96"/>
            </w:pPr>
          </w:p>
        </w:tc>
        <w:tc>
          <w:tcPr>
            <w:tcW w:w="1668" w:type="dxa"/>
            <w:vMerge/>
            <w:tcBorders>
              <w:top w:val="single" w:sz="4" w:space="0" w:color="auto"/>
              <w:left w:val="single" w:sz="4" w:space="0" w:color="auto"/>
              <w:bottom w:val="single" w:sz="4" w:space="0" w:color="auto"/>
              <w:right w:val="single" w:sz="4" w:space="0" w:color="auto"/>
            </w:tcBorders>
            <w:shd w:val="clear" w:color="auto" w:fill="F6CEB3" w:themeFill="accent6" w:themeFillTint="99"/>
          </w:tcPr>
          <w:p w14:paraId="7EF8AA7B" w14:textId="132E5C22" w:rsidR="00322E13" w:rsidRDefault="00322E13" w:rsidP="001B48EC">
            <w:pPr>
              <w:pStyle w:val="Bullet"/>
              <w:numPr>
                <w:ilvl w:val="0"/>
                <w:numId w:val="0"/>
              </w:numPr>
              <w:spacing w:before="96" w:after="96"/>
            </w:pPr>
          </w:p>
        </w:tc>
      </w:tr>
      <w:tr w:rsidR="00C803D1" w14:paraId="4F12724F" w14:textId="77777777" w:rsidTr="003B4895">
        <w:trPr>
          <w:trHeight w:val="669"/>
        </w:trPr>
        <w:tc>
          <w:tcPr>
            <w:tcW w:w="1517" w:type="dxa"/>
            <w:tcBorders>
              <w:top w:val="single" w:sz="4" w:space="0" w:color="auto"/>
              <w:left w:val="single" w:sz="4" w:space="0" w:color="auto"/>
              <w:bottom w:val="single" w:sz="4" w:space="0" w:color="auto"/>
              <w:right w:val="single" w:sz="4" w:space="0" w:color="auto"/>
            </w:tcBorders>
            <w:vAlign w:val="center"/>
          </w:tcPr>
          <w:p w14:paraId="3DB5BA50" w14:textId="4954EFF5" w:rsidR="006E528B" w:rsidRDefault="006E528B" w:rsidP="00003019">
            <w:pPr>
              <w:pStyle w:val="Bullet"/>
              <w:numPr>
                <w:ilvl w:val="0"/>
                <w:numId w:val="0"/>
              </w:numPr>
              <w:spacing w:before="0"/>
            </w:pPr>
            <w:r w:rsidRPr="004801E2">
              <w:rPr>
                <w:b/>
                <w:bCs/>
              </w:rPr>
              <w:t>1 July 2024</w:t>
            </w:r>
            <w:r w:rsidR="004801E2">
              <w:br/>
              <w:t>Group 1</w:t>
            </w:r>
          </w:p>
        </w:tc>
        <w:tc>
          <w:tcPr>
            <w:tcW w:w="1531" w:type="dxa"/>
            <w:tcBorders>
              <w:top w:val="single" w:sz="4" w:space="0" w:color="auto"/>
              <w:left w:val="single" w:sz="4" w:space="0" w:color="auto"/>
              <w:bottom w:val="single" w:sz="4" w:space="0" w:color="auto"/>
            </w:tcBorders>
            <w:vAlign w:val="center"/>
          </w:tcPr>
          <w:p w14:paraId="7FB973EA" w14:textId="2D47723B" w:rsidR="009F6015" w:rsidRDefault="00BB4067" w:rsidP="00003019">
            <w:pPr>
              <w:pStyle w:val="Bullet"/>
              <w:numPr>
                <w:ilvl w:val="0"/>
                <w:numId w:val="0"/>
              </w:numPr>
              <w:spacing w:before="0"/>
            </w:pPr>
            <w:r w:rsidRPr="00BB4067">
              <w:t>$500 million or more</w:t>
            </w:r>
          </w:p>
        </w:tc>
        <w:tc>
          <w:tcPr>
            <w:tcW w:w="1531" w:type="dxa"/>
            <w:tcBorders>
              <w:top w:val="single" w:sz="4" w:space="0" w:color="auto"/>
              <w:bottom w:val="single" w:sz="4" w:space="0" w:color="auto"/>
            </w:tcBorders>
            <w:vAlign w:val="center"/>
          </w:tcPr>
          <w:p w14:paraId="08A0C495" w14:textId="173DCBB1" w:rsidR="009F6015" w:rsidRDefault="00102E72" w:rsidP="00003019">
            <w:pPr>
              <w:pStyle w:val="Bullet"/>
              <w:numPr>
                <w:ilvl w:val="0"/>
                <w:numId w:val="0"/>
              </w:numPr>
              <w:spacing w:before="0"/>
            </w:pPr>
            <w:r>
              <w:t>$1 billion or more</w:t>
            </w:r>
          </w:p>
        </w:tc>
        <w:tc>
          <w:tcPr>
            <w:tcW w:w="1531" w:type="dxa"/>
            <w:tcBorders>
              <w:top w:val="single" w:sz="4" w:space="0" w:color="auto"/>
              <w:bottom w:val="single" w:sz="4" w:space="0" w:color="auto"/>
              <w:right w:val="single" w:sz="4" w:space="0" w:color="auto"/>
            </w:tcBorders>
            <w:vAlign w:val="center"/>
          </w:tcPr>
          <w:p w14:paraId="1AA24340" w14:textId="5797B341" w:rsidR="009F6015" w:rsidRDefault="00102E72" w:rsidP="00003019">
            <w:pPr>
              <w:pStyle w:val="Bullet"/>
              <w:numPr>
                <w:ilvl w:val="0"/>
                <w:numId w:val="0"/>
              </w:numPr>
              <w:spacing w:before="0"/>
            </w:pPr>
            <w:r w:rsidRPr="009905ED">
              <w:t>500 or more</w:t>
            </w:r>
          </w:p>
        </w:tc>
        <w:tc>
          <w:tcPr>
            <w:tcW w:w="1667" w:type="dxa"/>
            <w:tcBorders>
              <w:top w:val="single" w:sz="4" w:space="0" w:color="auto"/>
              <w:left w:val="single" w:sz="4" w:space="0" w:color="auto"/>
              <w:bottom w:val="single" w:sz="4" w:space="0" w:color="auto"/>
              <w:right w:val="single" w:sz="4" w:space="0" w:color="auto"/>
            </w:tcBorders>
            <w:vAlign w:val="center"/>
          </w:tcPr>
          <w:p w14:paraId="5DFAADCA" w14:textId="21D16A90" w:rsidR="009F6015" w:rsidRDefault="00102E72" w:rsidP="00003019">
            <w:pPr>
              <w:pStyle w:val="Bullet"/>
              <w:numPr>
                <w:ilvl w:val="0"/>
                <w:numId w:val="0"/>
              </w:numPr>
              <w:spacing w:before="0"/>
            </w:pPr>
            <w:r>
              <w:t>Above</w:t>
            </w:r>
            <w:r w:rsidR="00045662">
              <w:t xml:space="preserve"> NGER</w:t>
            </w:r>
            <w:r>
              <w:t xml:space="preserve"> publication threshold</w:t>
            </w:r>
          </w:p>
        </w:tc>
        <w:tc>
          <w:tcPr>
            <w:tcW w:w="1668" w:type="dxa"/>
            <w:tcBorders>
              <w:top w:val="single" w:sz="4" w:space="0" w:color="auto"/>
              <w:left w:val="single" w:sz="4" w:space="0" w:color="auto"/>
              <w:bottom w:val="single" w:sz="4" w:space="0" w:color="auto"/>
              <w:right w:val="single" w:sz="4" w:space="0" w:color="auto"/>
            </w:tcBorders>
            <w:vAlign w:val="center"/>
          </w:tcPr>
          <w:p w14:paraId="74E9F96B" w14:textId="7DC49219" w:rsidR="009F6015" w:rsidRDefault="00102E72" w:rsidP="00003019">
            <w:pPr>
              <w:pStyle w:val="Bullet"/>
              <w:numPr>
                <w:ilvl w:val="0"/>
                <w:numId w:val="0"/>
              </w:numPr>
              <w:spacing w:before="0"/>
            </w:pPr>
            <w:r>
              <w:t>N/A</w:t>
            </w:r>
          </w:p>
        </w:tc>
      </w:tr>
      <w:tr w:rsidR="00C803D1" w14:paraId="0D68D559" w14:textId="77777777" w:rsidTr="003B4895">
        <w:trPr>
          <w:trHeight w:val="893"/>
        </w:trPr>
        <w:tc>
          <w:tcPr>
            <w:tcW w:w="1517" w:type="dxa"/>
            <w:tcBorders>
              <w:top w:val="single" w:sz="4" w:space="0" w:color="auto"/>
              <w:left w:val="single" w:sz="4" w:space="0" w:color="auto"/>
              <w:bottom w:val="single" w:sz="4" w:space="0" w:color="auto"/>
              <w:right w:val="single" w:sz="4" w:space="0" w:color="auto"/>
            </w:tcBorders>
            <w:vAlign w:val="center"/>
          </w:tcPr>
          <w:p w14:paraId="11B82508" w14:textId="64FDCD50" w:rsidR="00102E72" w:rsidRDefault="00102E72" w:rsidP="00003019">
            <w:pPr>
              <w:pStyle w:val="Bullet"/>
              <w:numPr>
                <w:ilvl w:val="0"/>
                <w:numId w:val="0"/>
              </w:numPr>
              <w:spacing w:before="0"/>
            </w:pPr>
            <w:r w:rsidRPr="004801E2">
              <w:rPr>
                <w:b/>
                <w:bCs/>
              </w:rPr>
              <w:t>1 July 2026</w:t>
            </w:r>
            <w:r w:rsidR="004801E2">
              <w:br/>
              <w:t>Group 2</w:t>
            </w:r>
          </w:p>
        </w:tc>
        <w:tc>
          <w:tcPr>
            <w:tcW w:w="1531" w:type="dxa"/>
            <w:tcBorders>
              <w:top w:val="single" w:sz="4" w:space="0" w:color="auto"/>
              <w:left w:val="single" w:sz="4" w:space="0" w:color="auto"/>
              <w:bottom w:val="single" w:sz="4" w:space="0" w:color="auto"/>
            </w:tcBorders>
            <w:vAlign w:val="center"/>
          </w:tcPr>
          <w:p w14:paraId="60715FB3" w14:textId="63AD10AA" w:rsidR="009F6015" w:rsidRDefault="00102E72" w:rsidP="00003019">
            <w:pPr>
              <w:pStyle w:val="Bullet"/>
              <w:numPr>
                <w:ilvl w:val="0"/>
                <w:numId w:val="0"/>
              </w:numPr>
              <w:spacing w:before="0"/>
            </w:pPr>
            <w:r>
              <w:t>$200 million or more</w:t>
            </w:r>
          </w:p>
        </w:tc>
        <w:tc>
          <w:tcPr>
            <w:tcW w:w="1531" w:type="dxa"/>
            <w:tcBorders>
              <w:top w:val="single" w:sz="4" w:space="0" w:color="auto"/>
              <w:bottom w:val="single" w:sz="4" w:space="0" w:color="auto"/>
            </w:tcBorders>
            <w:vAlign w:val="center"/>
          </w:tcPr>
          <w:p w14:paraId="78712DEA" w14:textId="2E5F8492" w:rsidR="009F6015" w:rsidRDefault="00C06475" w:rsidP="00003019">
            <w:pPr>
              <w:pStyle w:val="Bullet"/>
              <w:numPr>
                <w:ilvl w:val="0"/>
                <w:numId w:val="0"/>
              </w:numPr>
              <w:spacing w:before="0"/>
            </w:pPr>
            <w:r>
              <w:t>$500 million or more</w:t>
            </w:r>
          </w:p>
        </w:tc>
        <w:tc>
          <w:tcPr>
            <w:tcW w:w="1531" w:type="dxa"/>
            <w:tcBorders>
              <w:top w:val="single" w:sz="4" w:space="0" w:color="auto"/>
              <w:bottom w:val="single" w:sz="4" w:space="0" w:color="auto"/>
              <w:right w:val="single" w:sz="4" w:space="0" w:color="auto"/>
            </w:tcBorders>
            <w:vAlign w:val="center"/>
          </w:tcPr>
          <w:p w14:paraId="28FB6CAF" w14:textId="5FFD41BC" w:rsidR="009F6015" w:rsidRDefault="00C06475" w:rsidP="00003019">
            <w:pPr>
              <w:pStyle w:val="Bullet"/>
              <w:numPr>
                <w:ilvl w:val="0"/>
                <w:numId w:val="0"/>
              </w:numPr>
              <w:spacing w:before="0"/>
            </w:pPr>
            <w:r>
              <w:t>250 or more</w:t>
            </w:r>
          </w:p>
        </w:tc>
        <w:tc>
          <w:tcPr>
            <w:tcW w:w="1667" w:type="dxa"/>
            <w:tcBorders>
              <w:top w:val="single" w:sz="4" w:space="0" w:color="auto"/>
              <w:left w:val="single" w:sz="4" w:space="0" w:color="auto"/>
              <w:bottom w:val="single" w:sz="4" w:space="0" w:color="auto"/>
              <w:right w:val="single" w:sz="4" w:space="0" w:color="auto"/>
            </w:tcBorders>
            <w:vAlign w:val="center"/>
          </w:tcPr>
          <w:p w14:paraId="50854705" w14:textId="070DA2BD" w:rsidR="009F6015" w:rsidRDefault="00B17614" w:rsidP="00003019">
            <w:pPr>
              <w:pStyle w:val="Bullet"/>
              <w:numPr>
                <w:ilvl w:val="0"/>
                <w:numId w:val="0"/>
              </w:numPr>
              <w:spacing w:before="0"/>
            </w:pPr>
            <w:r>
              <w:t>All</w:t>
            </w:r>
            <w:r w:rsidR="00FA5D12">
              <w:t xml:space="preserve"> </w:t>
            </w:r>
            <w:r w:rsidR="001F6F3D">
              <w:t xml:space="preserve">other </w:t>
            </w:r>
            <w:r w:rsidR="00FA5D12">
              <w:t>NGER</w:t>
            </w:r>
            <w:r w:rsidR="00FA5D12" w:rsidDel="004A7C3F">
              <w:t xml:space="preserve"> </w:t>
            </w:r>
            <w:r w:rsidR="002E5FE6">
              <w:t>reporters</w:t>
            </w:r>
          </w:p>
        </w:tc>
        <w:tc>
          <w:tcPr>
            <w:tcW w:w="1668" w:type="dxa"/>
            <w:tcBorders>
              <w:top w:val="single" w:sz="4" w:space="0" w:color="auto"/>
              <w:left w:val="single" w:sz="4" w:space="0" w:color="auto"/>
              <w:bottom w:val="single" w:sz="4" w:space="0" w:color="auto"/>
              <w:right w:val="single" w:sz="4" w:space="0" w:color="auto"/>
            </w:tcBorders>
            <w:vAlign w:val="center"/>
          </w:tcPr>
          <w:p w14:paraId="240275AB" w14:textId="63C71FAA" w:rsidR="009F6015" w:rsidRDefault="00E87DC0" w:rsidP="00003019">
            <w:pPr>
              <w:pStyle w:val="Bullet"/>
              <w:numPr>
                <w:ilvl w:val="0"/>
                <w:numId w:val="0"/>
              </w:numPr>
              <w:spacing w:before="0"/>
            </w:pPr>
            <w:r>
              <w:t>$5 billion</w:t>
            </w:r>
            <w:r w:rsidR="00443E6F">
              <w:t xml:space="preserve"> assets under management</w:t>
            </w:r>
            <w:r>
              <w:t xml:space="preserve"> or more</w:t>
            </w:r>
          </w:p>
        </w:tc>
      </w:tr>
      <w:tr w:rsidR="00C803D1" w14:paraId="6218CAAB" w14:textId="77777777" w:rsidTr="003B4895">
        <w:trPr>
          <w:trHeight w:val="635"/>
        </w:trPr>
        <w:tc>
          <w:tcPr>
            <w:tcW w:w="1517" w:type="dxa"/>
            <w:tcBorders>
              <w:top w:val="single" w:sz="4" w:space="0" w:color="auto"/>
              <w:left w:val="single" w:sz="4" w:space="0" w:color="auto"/>
              <w:bottom w:val="single" w:sz="4" w:space="0" w:color="auto"/>
              <w:right w:val="single" w:sz="4" w:space="0" w:color="auto"/>
            </w:tcBorders>
            <w:vAlign w:val="center"/>
          </w:tcPr>
          <w:p w14:paraId="06E443BD" w14:textId="1C8C3D02" w:rsidR="00086382" w:rsidRDefault="00086382" w:rsidP="00003019">
            <w:pPr>
              <w:pStyle w:val="Bullet"/>
              <w:numPr>
                <w:ilvl w:val="0"/>
                <w:numId w:val="0"/>
              </w:numPr>
              <w:spacing w:before="0"/>
            </w:pPr>
            <w:r w:rsidRPr="004801E2">
              <w:rPr>
                <w:b/>
                <w:bCs/>
              </w:rPr>
              <w:t>1 July 2027</w:t>
            </w:r>
            <w:r w:rsidR="004801E2">
              <w:br/>
              <w:t>Group 3</w:t>
            </w:r>
          </w:p>
        </w:tc>
        <w:tc>
          <w:tcPr>
            <w:tcW w:w="1531" w:type="dxa"/>
            <w:tcBorders>
              <w:top w:val="single" w:sz="4" w:space="0" w:color="auto"/>
              <w:left w:val="single" w:sz="4" w:space="0" w:color="auto"/>
              <w:bottom w:val="single" w:sz="4" w:space="0" w:color="auto"/>
            </w:tcBorders>
            <w:vAlign w:val="center"/>
          </w:tcPr>
          <w:p w14:paraId="19A0AF86" w14:textId="17C04FB0" w:rsidR="00086382" w:rsidRDefault="00086382" w:rsidP="00003019">
            <w:pPr>
              <w:pStyle w:val="Bullet"/>
              <w:numPr>
                <w:ilvl w:val="0"/>
                <w:numId w:val="0"/>
              </w:numPr>
              <w:spacing w:before="0"/>
            </w:pPr>
            <w:r>
              <w:t>$50 million or more</w:t>
            </w:r>
          </w:p>
        </w:tc>
        <w:tc>
          <w:tcPr>
            <w:tcW w:w="1531" w:type="dxa"/>
            <w:tcBorders>
              <w:top w:val="single" w:sz="4" w:space="0" w:color="auto"/>
              <w:bottom w:val="single" w:sz="4" w:space="0" w:color="auto"/>
            </w:tcBorders>
            <w:vAlign w:val="center"/>
          </w:tcPr>
          <w:p w14:paraId="447A5815" w14:textId="21FD6F57" w:rsidR="00086382" w:rsidRDefault="00086382" w:rsidP="00003019">
            <w:pPr>
              <w:pStyle w:val="Bullet"/>
              <w:numPr>
                <w:ilvl w:val="0"/>
                <w:numId w:val="0"/>
              </w:numPr>
              <w:spacing w:before="0"/>
            </w:pPr>
            <w:r>
              <w:t>$25 million or more</w:t>
            </w:r>
          </w:p>
        </w:tc>
        <w:tc>
          <w:tcPr>
            <w:tcW w:w="1531" w:type="dxa"/>
            <w:tcBorders>
              <w:top w:val="single" w:sz="4" w:space="0" w:color="auto"/>
              <w:bottom w:val="single" w:sz="4" w:space="0" w:color="auto"/>
              <w:right w:val="single" w:sz="4" w:space="0" w:color="auto"/>
            </w:tcBorders>
            <w:vAlign w:val="center"/>
          </w:tcPr>
          <w:p w14:paraId="7510FC42" w14:textId="22AEE7F2" w:rsidR="00086382" w:rsidRDefault="00086382" w:rsidP="00003019">
            <w:pPr>
              <w:pStyle w:val="Bullet"/>
              <w:numPr>
                <w:ilvl w:val="0"/>
                <w:numId w:val="0"/>
              </w:numPr>
              <w:spacing w:before="0"/>
            </w:pPr>
            <w:r>
              <w:t>100 or more</w:t>
            </w:r>
          </w:p>
        </w:tc>
        <w:tc>
          <w:tcPr>
            <w:tcW w:w="1667" w:type="dxa"/>
            <w:tcBorders>
              <w:top w:val="single" w:sz="4" w:space="0" w:color="auto"/>
              <w:left w:val="single" w:sz="4" w:space="0" w:color="auto"/>
              <w:bottom w:val="single" w:sz="4" w:space="0" w:color="auto"/>
              <w:right w:val="single" w:sz="4" w:space="0" w:color="auto"/>
            </w:tcBorders>
            <w:vAlign w:val="center"/>
          </w:tcPr>
          <w:p w14:paraId="27AA6817" w14:textId="027807FE" w:rsidR="00086382" w:rsidRDefault="00045662" w:rsidP="00003019">
            <w:pPr>
              <w:pStyle w:val="Bullet"/>
              <w:numPr>
                <w:ilvl w:val="0"/>
                <w:numId w:val="0"/>
              </w:numPr>
              <w:spacing w:before="0"/>
            </w:pPr>
            <w:r>
              <w:t>N/A</w:t>
            </w:r>
            <w:r w:rsidDel="00045662">
              <w:t xml:space="preserve"> </w:t>
            </w:r>
          </w:p>
        </w:tc>
        <w:tc>
          <w:tcPr>
            <w:tcW w:w="1668" w:type="dxa"/>
            <w:tcBorders>
              <w:top w:val="single" w:sz="4" w:space="0" w:color="auto"/>
              <w:left w:val="single" w:sz="4" w:space="0" w:color="auto"/>
              <w:bottom w:val="single" w:sz="4" w:space="0" w:color="auto"/>
              <w:right w:val="single" w:sz="4" w:space="0" w:color="auto"/>
            </w:tcBorders>
            <w:vAlign w:val="center"/>
          </w:tcPr>
          <w:p w14:paraId="4F67F46D" w14:textId="11CCE057" w:rsidR="00086382" w:rsidRDefault="00045662" w:rsidP="00003019">
            <w:pPr>
              <w:pStyle w:val="Bullet"/>
              <w:numPr>
                <w:ilvl w:val="0"/>
                <w:numId w:val="0"/>
              </w:numPr>
              <w:spacing w:before="0"/>
            </w:pPr>
            <w:r>
              <w:t>N/A</w:t>
            </w:r>
            <w:r w:rsidDel="00045662">
              <w:t xml:space="preserve"> </w:t>
            </w:r>
          </w:p>
        </w:tc>
      </w:tr>
    </w:tbl>
    <w:p w14:paraId="4F621A01" w14:textId="5D6EEE15" w:rsidR="00050204" w:rsidRDefault="00050204" w:rsidP="00EB6526">
      <w:pPr>
        <w:pStyle w:val="Heading3"/>
      </w:pPr>
      <w:r>
        <w:t>Reporting content</w:t>
      </w:r>
    </w:p>
    <w:p w14:paraId="4A1EAF53" w14:textId="4E6E9AC2" w:rsidR="00EF3733" w:rsidRDefault="0022267D" w:rsidP="00EF3733">
      <w:r>
        <w:t xml:space="preserve">Climate-related financial disclosures will include </w:t>
      </w:r>
      <w:r w:rsidR="00EF3733">
        <w:t xml:space="preserve">information about </w:t>
      </w:r>
      <w:r>
        <w:t xml:space="preserve">an entity’s </w:t>
      </w:r>
      <w:r w:rsidR="00EF3733" w:rsidRPr="00951D2A">
        <w:t>climate-related risks and opportunities</w:t>
      </w:r>
      <w:r>
        <w:t>,</w:t>
      </w:r>
      <w:r w:rsidR="00EF3733" w:rsidRPr="00951D2A">
        <w:t xml:space="preserve"> </w:t>
      </w:r>
      <w:r>
        <w:t xml:space="preserve">as required by </w:t>
      </w:r>
      <w:r w:rsidR="00EF3733" w:rsidRPr="00951D2A">
        <w:t>Australian climate disclosure standards</w:t>
      </w:r>
      <w:r w:rsidR="00EC3615" w:rsidDel="00C91E56">
        <w:t xml:space="preserve"> </w:t>
      </w:r>
      <w:r>
        <w:t>and including</w:t>
      </w:r>
      <w:r w:rsidR="00EF3733">
        <w:t xml:space="preserve">: </w:t>
      </w:r>
    </w:p>
    <w:p w14:paraId="1638E3E3" w14:textId="77777777" w:rsidR="00EF3733" w:rsidRPr="004D3705" w:rsidRDefault="00EF3733" w:rsidP="000B0F8C">
      <w:pPr>
        <w:pStyle w:val="Bullet"/>
        <w:rPr>
          <w:rStyle w:val="normaltextrun"/>
          <w:rFonts w:eastAsiaTheme="majorEastAsia"/>
          <w:color w:val="000000"/>
          <w:shd w:val="clear" w:color="auto" w:fill="FFFFFF"/>
        </w:rPr>
      </w:pPr>
      <w:r w:rsidRPr="004D3705">
        <w:rPr>
          <w:rStyle w:val="normaltextrun"/>
          <w:rFonts w:eastAsiaTheme="majorEastAsia"/>
          <w:color w:val="000000"/>
          <w:shd w:val="clear" w:color="auto" w:fill="FFFFFF"/>
        </w:rPr>
        <w:t>Information relating to governance, strategy, risk management and metrics and targets (</w:t>
      </w:r>
      <w:r w:rsidRPr="000B0F8C">
        <w:rPr>
          <w:rStyle w:val="normaltextrun"/>
          <w:rFonts w:eastAsiaTheme="majorEastAsia"/>
        </w:rPr>
        <w:t>including</w:t>
      </w:r>
      <w:r w:rsidRPr="004D3705">
        <w:rPr>
          <w:rStyle w:val="normaltextrun"/>
          <w:rFonts w:eastAsiaTheme="majorEastAsia"/>
          <w:color w:val="000000"/>
          <w:shd w:val="clear" w:color="auto" w:fill="FFFFFF"/>
        </w:rPr>
        <w:t xml:space="preserve"> Scope 1 and Scope 2 greenhouse gas emissions) will be required from the first year of reporting. </w:t>
      </w:r>
    </w:p>
    <w:p w14:paraId="03B07E3D" w14:textId="385B8747" w:rsidR="00050204" w:rsidRDefault="00EF3733" w:rsidP="000B0F8C">
      <w:pPr>
        <w:pStyle w:val="Bullet"/>
        <w:rPr>
          <w:rStyle w:val="eop"/>
          <w:color w:val="000000"/>
          <w:shd w:val="clear" w:color="auto" w:fill="FFFFFF"/>
        </w:rPr>
      </w:pPr>
      <w:r w:rsidRPr="000B0F8C">
        <w:rPr>
          <w:rStyle w:val="normaltextrun"/>
          <w:rFonts w:eastAsiaTheme="majorEastAsia"/>
        </w:rPr>
        <w:t>Scope</w:t>
      </w:r>
      <w:r w:rsidRPr="004D3705">
        <w:rPr>
          <w:rStyle w:val="normaltextrun"/>
          <w:rFonts w:eastAsiaTheme="majorEastAsia"/>
          <w:color w:val="000000"/>
          <w:shd w:val="clear" w:color="auto" w:fill="FFFFFF"/>
        </w:rPr>
        <w:t xml:space="preserve"> 3 emissions (i.e. emissions that occur up or down their supply chain and emissions associated with their financing or investment activities) will be required from the second year of reporting. Scope 3 disclosures would represent information that is available at the reporting date without undue cost or effort.</w:t>
      </w:r>
      <w:r w:rsidRPr="00346697">
        <w:rPr>
          <w:rStyle w:val="eop"/>
          <w:color w:val="000000"/>
          <w:shd w:val="clear" w:color="auto" w:fill="FFFFFF"/>
        </w:rPr>
        <w:t> </w:t>
      </w:r>
    </w:p>
    <w:p w14:paraId="658D8C6B" w14:textId="68B179B1" w:rsidR="00685235" w:rsidRDefault="00685235" w:rsidP="00685235">
      <w:pPr>
        <w:pStyle w:val="Heading4"/>
        <w:rPr>
          <w:rStyle w:val="eop"/>
        </w:rPr>
      </w:pPr>
      <w:r>
        <w:rPr>
          <w:rStyle w:val="eop"/>
        </w:rPr>
        <w:lastRenderedPageBreak/>
        <w:t xml:space="preserve">Group 3 </w:t>
      </w:r>
      <w:r w:rsidR="001F6F3D">
        <w:rPr>
          <w:rStyle w:val="eop"/>
        </w:rPr>
        <w:t xml:space="preserve">materiality </w:t>
      </w:r>
      <w:r>
        <w:rPr>
          <w:rStyle w:val="eop"/>
        </w:rPr>
        <w:t>exemption</w:t>
      </w:r>
      <w:r w:rsidR="001F6F3D">
        <w:rPr>
          <w:rStyle w:val="eop"/>
        </w:rPr>
        <w:t xml:space="preserve"> </w:t>
      </w:r>
    </w:p>
    <w:p w14:paraId="192DC7B6" w14:textId="7AB5BFD1" w:rsidR="00685235" w:rsidRPr="00606F65" w:rsidDel="001F6F3D" w:rsidRDefault="0022662F" w:rsidP="00606F65">
      <w:r>
        <w:t xml:space="preserve">Group 3 </w:t>
      </w:r>
      <w:r w:rsidR="00685235">
        <w:t xml:space="preserve">entities </w:t>
      </w:r>
      <w:r>
        <w:t>(</w:t>
      </w:r>
      <w:r w:rsidR="00045662">
        <w:t xml:space="preserve">entities </w:t>
      </w:r>
      <w:r w:rsidR="00783B1F">
        <w:t>that</w:t>
      </w:r>
      <w:r w:rsidR="00554655">
        <w:t xml:space="preserve"> are </w:t>
      </w:r>
      <w:r w:rsidR="00733938">
        <w:t xml:space="preserve">in-scope </w:t>
      </w:r>
      <w:r w:rsidR="00606F65">
        <w:t>for reporting but that do not meet the thresholds for Group 2</w:t>
      </w:r>
      <w:r w:rsidR="00554655">
        <w:t xml:space="preserve">) </w:t>
      </w:r>
      <w:r w:rsidR="00045662">
        <w:t>would only be required to make climate-related financial disclosures</w:t>
      </w:r>
      <w:r w:rsidR="001F6F3D">
        <w:t xml:space="preserve"> in line with </w:t>
      </w:r>
      <w:r w:rsidR="00554655">
        <w:t xml:space="preserve">the </w:t>
      </w:r>
      <w:r w:rsidR="004A7C3F">
        <w:t xml:space="preserve">climate disclosure </w:t>
      </w:r>
      <w:r w:rsidR="001F6F3D">
        <w:t>standards</w:t>
      </w:r>
      <w:r w:rsidR="00554655">
        <w:t>,</w:t>
      </w:r>
      <w:r w:rsidR="00045662">
        <w:t xml:space="preserve"> if they face material climate-related risks or opportunities for the financial reporting period. Where Group 3 entities asse</w:t>
      </w:r>
      <w:r w:rsidR="001E4028">
        <w:t>s</w:t>
      </w:r>
      <w:r w:rsidR="00045662">
        <w:t xml:space="preserve">s that they do not have material risks or opportunities, they would only be required to disclose a statement to that effect. </w:t>
      </w:r>
    </w:p>
    <w:p w14:paraId="6BFAAA5B" w14:textId="77777777" w:rsidR="0093557A" w:rsidRDefault="0093557A" w:rsidP="00EB6526">
      <w:pPr>
        <w:pStyle w:val="Heading4"/>
        <w:rPr>
          <w:color w:val="000000"/>
          <w:shd w:val="clear" w:color="auto" w:fill="FFFFFF"/>
        </w:rPr>
      </w:pPr>
      <w:r w:rsidRPr="00C60269">
        <w:t>Interaction with climate disclosure standards</w:t>
      </w:r>
    </w:p>
    <w:p w14:paraId="157374C6" w14:textId="049E0D7A" w:rsidR="004F6F05" w:rsidRDefault="003B3084" w:rsidP="001E037A">
      <w:pPr>
        <w:rPr>
          <w:color w:val="2C384A" w:themeColor="accent1"/>
          <w:szCs w:val="22"/>
        </w:rPr>
      </w:pPr>
      <w:r w:rsidRPr="009524D2">
        <w:rPr>
          <w:color w:val="000000"/>
          <w:shd w:val="clear" w:color="auto" w:fill="FFFFFF"/>
        </w:rPr>
        <w:t>The Government</w:t>
      </w:r>
      <w:r w:rsidR="003C266B">
        <w:rPr>
          <w:color w:val="000000"/>
          <w:shd w:val="clear" w:color="auto" w:fill="FFFFFF"/>
        </w:rPr>
        <w:t xml:space="preserve"> endorses </w:t>
      </w:r>
      <w:r w:rsidR="0014216F">
        <w:rPr>
          <w:color w:val="000000"/>
          <w:shd w:val="clear" w:color="auto" w:fill="FFFFFF"/>
        </w:rPr>
        <w:t>full adoption of</w:t>
      </w:r>
      <w:r w:rsidR="003C266B">
        <w:rPr>
          <w:color w:val="000000"/>
          <w:shd w:val="clear" w:color="auto" w:fill="FFFFFF"/>
        </w:rPr>
        <w:t xml:space="preserve"> </w:t>
      </w:r>
      <w:r w:rsidRPr="009524D2">
        <w:rPr>
          <w:color w:val="000000"/>
          <w:shd w:val="clear" w:color="auto" w:fill="FFFFFF"/>
        </w:rPr>
        <w:t xml:space="preserve">the ISSB’s </w:t>
      </w:r>
      <w:r w:rsidRPr="009524D2">
        <w:rPr>
          <w:i/>
          <w:iCs/>
          <w:color w:val="000000"/>
          <w:shd w:val="clear" w:color="auto" w:fill="FFFFFF"/>
        </w:rPr>
        <w:t>IFRS S2 Climate-related Disclosures standard</w:t>
      </w:r>
      <w:r w:rsidRPr="009524D2">
        <w:rPr>
          <w:color w:val="000000"/>
          <w:position w:val="6"/>
          <w:shd w:val="clear" w:color="auto" w:fill="FFFFFF"/>
          <w:vertAlign w:val="superscript"/>
        </w:rPr>
        <w:footnoteReference w:id="2"/>
      </w:r>
      <w:r w:rsidR="0014216F">
        <w:rPr>
          <w:i/>
          <w:iCs/>
          <w:color w:val="000000"/>
          <w:shd w:val="clear" w:color="auto" w:fill="FFFFFF"/>
        </w:rPr>
        <w:t xml:space="preserve"> </w:t>
      </w:r>
      <w:r w:rsidR="0014216F" w:rsidRPr="0014216F">
        <w:rPr>
          <w:color w:val="000000"/>
          <w:shd w:val="clear" w:color="auto" w:fill="FFFFFF"/>
        </w:rPr>
        <w:t>in Australia</w:t>
      </w:r>
      <w:r w:rsidR="001762F2">
        <w:rPr>
          <w:color w:val="000000"/>
          <w:shd w:val="clear" w:color="auto" w:fill="FFFFFF"/>
        </w:rPr>
        <w:t>, with</w:t>
      </w:r>
      <w:r w:rsidRPr="009524D2">
        <w:rPr>
          <w:color w:val="000000"/>
          <w:shd w:val="clear" w:color="auto" w:fill="FFFFFF"/>
        </w:rPr>
        <w:t xml:space="preserve"> </w:t>
      </w:r>
      <w:r w:rsidR="001762F2">
        <w:rPr>
          <w:color w:val="000000"/>
          <w:shd w:val="clear" w:color="auto" w:fill="FFFFFF"/>
        </w:rPr>
        <w:t>m</w:t>
      </w:r>
      <w:r w:rsidRPr="009524D2">
        <w:rPr>
          <w:color w:val="000000"/>
          <w:shd w:val="clear" w:color="auto" w:fill="FFFFFF"/>
        </w:rPr>
        <w:t>odifications</w:t>
      </w:r>
      <w:r w:rsidR="003338BA">
        <w:rPr>
          <w:color w:val="000000"/>
          <w:shd w:val="clear" w:color="auto" w:fill="FFFFFF"/>
        </w:rPr>
        <w:t xml:space="preserve"> limited to those</w:t>
      </w:r>
      <w:r w:rsidRPr="009524D2">
        <w:rPr>
          <w:color w:val="000000"/>
          <w:shd w:val="clear" w:color="auto" w:fill="FFFFFF"/>
        </w:rPr>
        <w:t xml:space="preserve"> necessary to ensure standards are fit for purpose for Australia</w:t>
      </w:r>
      <w:r w:rsidR="00FA1BEC">
        <w:rPr>
          <w:color w:val="000000"/>
          <w:shd w:val="clear" w:color="auto" w:fill="FFFFFF"/>
        </w:rPr>
        <w:t>.</w:t>
      </w:r>
      <w:r w:rsidR="00DB2653">
        <w:rPr>
          <w:color w:val="000000"/>
          <w:shd w:val="clear" w:color="auto" w:fill="FFFFFF"/>
        </w:rPr>
        <w:t xml:space="preserve"> </w:t>
      </w:r>
      <w:r w:rsidR="00FA1BEC">
        <w:rPr>
          <w:color w:val="000000"/>
          <w:shd w:val="clear" w:color="auto" w:fill="FFFFFF"/>
        </w:rPr>
        <w:t>This</w:t>
      </w:r>
      <w:r w:rsidRPr="009524D2">
        <w:rPr>
          <w:color w:val="000000"/>
          <w:shd w:val="clear" w:color="auto" w:fill="FFFFFF"/>
        </w:rPr>
        <w:t xml:space="preserve"> </w:t>
      </w:r>
      <w:r w:rsidR="00DB2653">
        <w:rPr>
          <w:color w:val="000000"/>
          <w:shd w:val="clear" w:color="auto" w:fill="FFFFFF"/>
        </w:rPr>
        <w:t>should</w:t>
      </w:r>
      <w:r w:rsidRPr="009524D2">
        <w:rPr>
          <w:color w:val="000000"/>
          <w:shd w:val="clear" w:color="auto" w:fill="FFFFFF"/>
        </w:rPr>
        <w:t xml:space="preserve"> incorporate Australia’s greenhouse gas emissions estimation methodologies and international climate change commitments.</w:t>
      </w:r>
      <w:r>
        <w:rPr>
          <w:color w:val="2C384A" w:themeColor="accent1"/>
          <w:szCs w:val="22"/>
        </w:rPr>
        <w:t xml:space="preserve"> </w:t>
      </w:r>
    </w:p>
    <w:p w14:paraId="2D51182F" w14:textId="243114B6" w:rsidR="001E037A" w:rsidRPr="000F2B01" w:rsidRDefault="001E037A" w:rsidP="001E037A">
      <w:pPr>
        <w:rPr>
          <w:rFonts w:eastAsiaTheme="majorEastAsia" w:cstheme="minorHAnsi"/>
          <w:color w:val="000000"/>
          <w:shd w:val="clear" w:color="auto" w:fill="FFFFFF"/>
        </w:rPr>
      </w:pPr>
      <w:r w:rsidRPr="000F2B01">
        <w:rPr>
          <w:rStyle w:val="normaltextrun"/>
          <w:rFonts w:eastAsiaTheme="majorEastAsia" w:cstheme="minorHAnsi"/>
          <w:color w:val="000000"/>
          <w:shd w:val="clear" w:color="auto" w:fill="FFFFFF"/>
        </w:rPr>
        <w:t xml:space="preserve">The Government supports adoption of ISSB’s </w:t>
      </w:r>
      <w:r w:rsidRPr="000F2B01">
        <w:rPr>
          <w:rStyle w:val="normaltextrun"/>
          <w:rFonts w:eastAsiaTheme="majorEastAsia" w:cstheme="minorHAnsi"/>
          <w:i/>
          <w:color w:val="000000"/>
          <w:shd w:val="clear" w:color="auto" w:fill="FFFFFF"/>
        </w:rPr>
        <w:t>IFRS S1 General Requirements for Disclosure of Sustainability-related Financial Information</w:t>
      </w:r>
      <w:r w:rsidRPr="000F2B01">
        <w:rPr>
          <w:rStyle w:val="normaltextrun"/>
          <w:rFonts w:eastAsiaTheme="majorEastAsia" w:cstheme="minorHAnsi"/>
          <w:color w:val="000000"/>
          <w:shd w:val="clear" w:color="auto" w:fill="FFFFFF"/>
        </w:rPr>
        <w:t xml:space="preserve">, where required to give effect to climate disclosure standards. </w:t>
      </w:r>
    </w:p>
    <w:p w14:paraId="47E8ECED" w14:textId="18252CD9" w:rsidR="00CF6AF0" w:rsidRDefault="00981584" w:rsidP="0093557A">
      <w:pPr>
        <w:pStyle w:val="Bullet"/>
        <w:numPr>
          <w:ilvl w:val="0"/>
          <w:numId w:val="0"/>
        </w:numPr>
        <w:tabs>
          <w:tab w:val="clear" w:pos="720"/>
          <w:tab w:val="left" w:pos="0"/>
        </w:tabs>
        <w:spacing w:after="120"/>
        <w:rPr>
          <w:color w:val="000000"/>
          <w:shd w:val="clear" w:color="auto" w:fill="FFFFFF"/>
        </w:rPr>
      </w:pPr>
      <w:r>
        <w:rPr>
          <w:color w:val="2C384A" w:themeColor="accent1"/>
          <w:szCs w:val="22"/>
        </w:rPr>
        <w:t xml:space="preserve">The </w:t>
      </w:r>
      <w:r>
        <w:rPr>
          <w:color w:val="000000"/>
          <w:shd w:val="clear" w:color="auto" w:fill="FFFFFF"/>
        </w:rPr>
        <w:t>Australian Accounting Standards Board (AASB) published its draft</w:t>
      </w:r>
      <w:r w:rsidR="00C55CFB">
        <w:rPr>
          <w:color w:val="000000"/>
          <w:shd w:val="clear" w:color="auto" w:fill="FFFFFF"/>
        </w:rPr>
        <w:t xml:space="preserve"> standard</w:t>
      </w:r>
      <w:r>
        <w:rPr>
          <w:color w:val="000000"/>
          <w:shd w:val="clear" w:color="auto" w:fill="FFFFFF"/>
        </w:rPr>
        <w:t xml:space="preserve"> </w:t>
      </w:r>
      <w:r w:rsidRPr="00606F65">
        <w:rPr>
          <w:i/>
          <w:color w:val="000000"/>
          <w:shd w:val="clear" w:color="auto" w:fill="FFFFFF"/>
        </w:rPr>
        <w:t>SR1 Australian Sustainability Reporting Standards – Disclosure of Climate-related Financial Information</w:t>
      </w:r>
      <w:r>
        <w:rPr>
          <w:color w:val="000000"/>
          <w:shd w:val="clear" w:color="auto" w:fill="FFFFFF"/>
        </w:rPr>
        <w:t xml:space="preserve"> in October</w:t>
      </w:r>
      <w:r w:rsidR="00515A7E">
        <w:rPr>
          <w:color w:val="000000"/>
          <w:shd w:val="clear" w:color="auto" w:fill="FFFFFF"/>
        </w:rPr>
        <w:t> </w:t>
      </w:r>
      <w:r>
        <w:rPr>
          <w:color w:val="000000"/>
          <w:shd w:val="clear" w:color="auto" w:fill="FFFFFF"/>
        </w:rPr>
        <w:t xml:space="preserve">2023. </w:t>
      </w:r>
      <w:r w:rsidR="00887F31">
        <w:rPr>
          <w:color w:val="000000"/>
          <w:shd w:val="clear" w:color="auto" w:fill="FFFFFF"/>
        </w:rPr>
        <w:t>T</w:t>
      </w:r>
      <w:r w:rsidR="006C42A8">
        <w:rPr>
          <w:color w:val="000000"/>
          <w:shd w:val="clear" w:color="auto" w:fill="FFFFFF"/>
        </w:rPr>
        <w:t>he Government expec</w:t>
      </w:r>
      <w:r w:rsidR="001E037A">
        <w:rPr>
          <w:color w:val="000000"/>
          <w:shd w:val="clear" w:color="auto" w:fill="FFFFFF"/>
        </w:rPr>
        <w:t>ts</w:t>
      </w:r>
      <w:r w:rsidR="006C42A8">
        <w:rPr>
          <w:color w:val="000000"/>
          <w:shd w:val="clear" w:color="auto" w:fill="FFFFFF"/>
        </w:rPr>
        <w:t xml:space="preserve"> </w:t>
      </w:r>
      <w:r w:rsidR="00887F31">
        <w:rPr>
          <w:color w:val="000000"/>
          <w:shd w:val="clear" w:color="auto" w:fill="FFFFFF"/>
        </w:rPr>
        <w:t xml:space="preserve">Australian </w:t>
      </w:r>
      <w:r w:rsidR="00C2233F">
        <w:rPr>
          <w:color w:val="000000"/>
          <w:shd w:val="clear" w:color="auto" w:fill="FFFFFF"/>
        </w:rPr>
        <w:t xml:space="preserve">standards </w:t>
      </w:r>
      <w:r w:rsidR="00AE2861">
        <w:rPr>
          <w:color w:val="000000"/>
          <w:shd w:val="clear" w:color="auto" w:fill="FFFFFF"/>
        </w:rPr>
        <w:t>should</w:t>
      </w:r>
      <w:r w:rsidR="00C2233F">
        <w:rPr>
          <w:color w:val="000000"/>
          <w:shd w:val="clear" w:color="auto" w:fill="FFFFFF"/>
        </w:rPr>
        <w:t xml:space="preserve"> require the followi</w:t>
      </w:r>
      <w:r w:rsidR="007D4442">
        <w:rPr>
          <w:color w:val="000000"/>
          <w:shd w:val="clear" w:color="auto" w:fill="FFFFFF"/>
        </w:rPr>
        <w:t xml:space="preserve">ng disclosures. However, </w:t>
      </w:r>
      <w:r w:rsidR="00CB029B">
        <w:rPr>
          <w:color w:val="000000"/>
          <w:shd w:val="clear" w:color="auto" w:fill="FFFFFF"/>
        </w:rPr>
        <w:t xml:space="preserve">the AASB is responsible for the </w:t>
      </w:r>
      <w:r w:rsidR="006C42A8">
        <w:rPr>
          <w:color w:val="000000"/>
          <w:shd w:val="clear" w:color="auto" w:fill="FFFFFF"/>
        </w:rPr>
        <w:t xml:space="preserve">final </w:t>
      </w:r>
      <w:r w:rsidR="00CB029B">
        <w:rPr>
          <w:color w:val="000000"/>
          <w:shd w:val="clear" w:color="auto" w:fill="FFFFFF"/>
        </w:rPr>
        <w:t>standards</w:t>
      </w:r>
      <w:r w:rsidR="006C42A8">
        <w:rPr>
          <w:color w:val="000000"/>
          <w:shd w:val="clear" w:color="auto" w:fill="FFFFFF"/>
        </w:rPr>
        <w:t>.</w:t>
      </w:r>
      <w:r w:rsidRPr="00981584">
        <w:rPr>
          <w:color w:val="2C384A" w:themeColor="accent1"/>
          <w:szCs w:val="22"/>
        </w:rPr>
        <w:t xml:space="preserve"> </w:t>
      </w:r>
    </w:p>
    <w:p w14:paraId="5A50259D" w14:textId="562D3B4F" w:rsidR="004F6F05" w:rsidRPr="00C758F7" w:rsidRDefault="006264FD" w:rsidP="00C758F7">
      <w:pPr>
        <w:pStyle w:val="Bullet"/>
        <w:numPr>
          <w:ilvl w:val="0"/>
          <w:numId w:val="0"/>
        </w:numPr>
        <w:ind w:left="520" w:hanging="520"/>
        <w:rPr>
          <w:b/>
          <w:bCs/>
          <w:szCs w:val="22"/>
        </w:rPr>
      </w:pPr>
      <w:r w:rsidRPr="00C758F7">
        <w:rPr>
          <w:rStyle w:val="Heading4Char"/>
          <w:b/>
          <w:bCs/>
          <w:color w:val="auto"/>
        </w:rPr>
        <w:t>C</w:t>
      </w:r>
      <w:r w:rsidR="004F6F05" w:rsidRPr="00C758F7">
        <w:rPr>
          <w:rStyle w:val="Heading4Char"/>
          <w:b/>
          <w:bCs/>
          <w:color w:val="auto"/>
        </w:rPr>
        <w:t>limate resilience assessments</w:t>
      </w:r>
      <w:r w:rsidR="004F6F05" w:rsidRPr="00C758F7">
        <w:rPr>
          <w:b/>
          <w:bCs/>
          <w:szCs w:val="22"/>
        </w:rPr>
        <w:t xml:space="preserve"> </w:t>
      </w:r>
    </w:p>
    <w:p w14:paraId="4FBFDFE3" w14:textId="35754C0F" w:rsidR="004F6F05" w:rsidRPr="004F6F05" w:rsidRDefault="004F6F05" w:rsidP="000B0F8C">
      <w:pPr>
        <w:pStyle w:val="Bullet"/>
      </w:pPr>
      <w:r w:rsidRPr="004F6F05">
        <w:t>Entities should be permitted to commence with qualitative scenario analysis, with quantitative analysis required for financial years commencing on or after 1 July 2027</w:t>
      </w:r>
      <w:r w:rsidR="000C77A8">
        <w:t>.</w:t>
      </w:r>
    </w:p>
    <w:p w14:paraId="0EFCD7DE" w14:textId="35AD109D" w:rsidR="004F6F05" w:rsidRPr="004F6F05" w:rsidRDefault="004F6F05" w:rsidP="000B0F8C">
      <w:pPr>
        <w:pStyle w:val="Bullet"/>
        <w:rPr>
          <w:color w:val="2C384A" w:themeColor="accent1"/>
        </w:rPr>
      </w:pPr>
      <w:r w:rsidRPr="004F6F05">
        <w:t xml:space="preserve">Entities should use at least two possible future scenarios and one of these scenarios must align with the most ambitious global temperature goal in the </w:t>
      </w:r>
      <w:r w:rsidRPr="004F6F05">
        <w:rPr>
          <w:i/>
          <w:iCs/>
        </w:rPr>
        <w:t>Climate Change Act 2022</w:t>
      </w:r>
      <w:r w:rsidRPr="004F6F05">
        <w:t xml:space="preserve"> </w:t>
      </w:r>
      <w:r w:rsidRPr="00D764AE">
        <w:t xml:space="preserve">(Cth) </w:t>
      </w:r>
      <w:r w:rsidRPr="004F6F05">
        <w:t>(i.e.</w:t>
      </w:r>
      <w:r w:rsidR="00873C3F">
        <w:t> </w:t>
      </w:r>
      <w:r w:rsidRPr="004F6F05">
        <w:t xml:space="preserve">limiting global warming to 1.5 degrees). </w:t>
      </w:r>
    </w:p>
    <w:p w14:paraId="2541EAE5" w14:textId="5D1959DD" w:rsidR="004F6F05" w:rsidRPr="00C758F7" w:rsidRDefault="004F6F05" w:rsidP="00C758F7">
      <w:pPr>
        <w:pStyle w:val="Bullet"/>
        <w:numPr>
          <w:ilvl w:val="0"/>
          <w:numId w:val="0"/>
        </w:numPr>
        <w:ind w:left="520" w:hanging="520"/>
        <w:rPr>
          <w:rStyle w:val="Heading4Char"/>
          <w:b/>
          <w:bCs/>
          <w:color w:val="auto"/>
        </w:rPr>
      </w:pPr>
      <w:r w:rsidRPr="00C758F7">
        <w:rPr>
          <w:rStyle w:val="Heading4Char"/>
          <w:b/>
          <w:bCs/>
          <w:color w:val="auto"/>
        </w:rPr>
        <w:t>Scope 1 and 2 emissions</w:t>
      </w:r>
    </w:p>
    <w:p w14:paraId="6CDD1893" w14:textId="04F54515" w:rsidR="004F6F05" w:rsidRPr="004F6F05" w:rsidRDefault="0070049C" w:rsidP="004F6F05">
      <w:pPr>
        <w:pStyle w:val="Bullet"/>
        <w:spacing w:before="96" w:after="96"/>
        <w:rPr>
          <w:szCs w:val="22"/>
        </w:rPr>
      </w:pPr>
      <w:r>
        <w:rPr>
          <w:szCs w:val="22"/>
        </w:rPr>
        <w:t>The e</w:t>
      </w:r>
      <w:r w:rsidR="004F6F05" w:rsidRPr="004F6F05">
        <w:rPr>
          <w:szCs w:val="22"/>
        </w:rPr>
        <w:t xml:space="preserve">stimation methodologies and frameworks </w:t>
      </w:r>
      <w:r w:rsidR="002C1414">
        <w:rPr>
          <w:szCs w:val="22"/>
        </w:rPr>
        <w:t xml:space="preserve">used </w:t>
      </w:r>
      <w:r w:rsidR="006761FC">
        <w:rPr>
          <w:szCs w:val="22"/>
        </w:rPr>
        <w:t xml:space="preserve">should be </w:t>
      </w:r>
      <w:r w:rsidR="004F6F05" w:rsidRPr="004F6F05">
        <w:rPr>
          <w:szCs w:val="22"/>
        </w:rPr>
        <w:t xml:space="preserve">consistent with those included in the </w:t>
      </w:r>
      <w:r w:rsidR="004F6F05" w:rsidRPr="00CF54D9">
        <w:rPr>
          <w:i/>
          <w:szCs w:val="22"/>
        </w:rPr>
        <w:t>National Greenhouse and Energy Reporting (Measurement) Determination 2008</w:t>
      </w:r>
      <w:r w:rsidR="004F6F05" w:rsidRPr="004F6F05">
        <w:rPr>
          <w:szCs w:val="22"/>
        </w:rPr>
        <w:t xml:space="preserve"> where available, or the relevant annual National Greenhouse Accounts Factors publication, where entities are reporting Australian-based emissions</w:t>
      </w:r>
      <w:r w:rsidR="00073121">
        <w:rPr>
          <w:szCs w:val="22"/>
        </w:rPr>
        <w:t>.</w:t>
      </w:r>
    </w:p>
    <w:p w14:paraId="7904A0E2" w14:textId="0E7C89E5" w:rsidR="004F6F05" w:rsidRPr="004F6F05" w:rsidRDefault="004F6F05" w:rsidP="004F6F05">
      <w:pPr>
        <w:pStyle w:val="Bullet"/>
        <w:spacing w:before="96" w:after="96"/>
        <w:rPr>
          <w:szCs w:val="22"/>
        </w:rPr>
      </w:pPr>
      <w:r w:rsidRPr="004F6F05">
        <w:rPr>
          <w:szCs w:val="22"/>
        </w:rPr>
        <w:t xml:space="preserve">Market-based (in addition to location-based) Scope 2 emissions should be disclosed if required under the NGER legislation and no later than </w:t>
      </w:r>
      <w:r w:rsidR="00567952">
        <w:rPr>
          <w:szCs w:val="22"/>
        </w:rPr>
        <w:t>financial years commencing on or after 1 July 2027</w:t>
      </w:r>
      <w:r w:rsidRPr="004F6F05">
        <w:rPr>
          <w:szCs w:val="22"/>
        </w:rPr>
        <w:t xml:space="preserve">.  </w:t>
      </w:r>
    </w:p>
    <w:p w14:paraId="6E4FEE5B" w14:textId="054396F7" w:rsidR="00B92BD0" w:rsidRPr="00B92BD0" w:rsidRDefault="00B92BD0" w:rsidP="00B92BD0">
      <w:pPr>
        <w:pStyle w:val="Bullet"/>
        <w:numPr>
          <w:ilvl w:val="0"/>
          <w:numId w:val="0"/>
        </w:numPr>
        <w:ind w:left="520" w:hanging="520"/>
        <w:rPr>
          <w:rStyle w:val="Heading4Char"/>
          <w:b/>
          <w:bCs/>
          <w:color w:val="auto"/>
        </w:rPr>
      </w:pPr>
      <w:r w:rsidRPr="00B92BD0">
        <w:rPr>
          <w:rStyle w:val="Heading4Char"/>
          <w:b/>
          <w:bCs/>
          <w:color w:val="auto"/>
        </w:rPr>
        <w:t>Scope 3 emissions</w:t>
      </w:r>
    </w:p>
    <w:p w14:paraId="4CC618A5" w14:textId="156C3A56" w:rsidR="0075626B" w:rsidRPr="006761FC" w:rsidRDefault="0075626B" w:rsidP="004F6F05">
      <w:pPr>
        <w:pStyle w:val="Bullet"/>
        <w:numPr>
          <w:ilvl w:val="0"/>
          <w:numId w:val="41"/>
        </w:numPr>
        <w:tabs>
          <w:tab w:val="clear" w:pos="720"/>
          <w:tab w:val="left" w:pos="0"/>
        </w:tabs>
        <w:spacing w:before="96" w:after="96"/>
        <w:rPr>
          <w:szCs w:val="22"/>
        </w:rPr>
      </w:pPr>
      <w:r>
        <w:rPr>
          <w:szCs w:val="22"/>
        </w:rPr>
        <w:t xml:space="preserve">Scope 3 emissions </w:t>
      </w:r>
      <w:r w:rsidR="006761FC" w:rsidRPr="00EA0C9E">
        <w:rPr>
          <w:szCs w:val="22"/>
        </w:rPr>
        <w:t>must</w:t>
      </w:r>
      <w:r w:rsidR="006761FC">
        <w:rPr>
          <w:szCs w:val="22"/>
        </w:rPr>
        <w:t xml:space="preserve"> be </w:t>
      </w:r>
      <w:r>
        <w:rPr>
          <w:szCs w:val="22"/>
        </w:rPr>
        <w:t>report</w:t>
      </w:r>
      <w:r w:rsidR="006761FC">
        <w:rPr>
          <w:szCs w:val="22"/>
        </w:rPr>
        <w:t>ed</w:t>
      </w:r>
      <w:r>
        <w:rPr>
          <w:szCs w:val="22"/>
        </w:rPr>
        <w:t xml:space="preserve"> from an entity’s second reporting year onwards. </w:t>
      </w:r>
      <w:r w:rsidR="006761FC">
        <w:rPr>
          <w:szCs w:val="22"/>
        </w:rPr>
        <w:t>This requirement will be established in legislation.</w:t>
      </w:r>
      <w:r>
        <w:rPr>
          <w:szCs w:val="22"/>
        </w:rPr>
        <w:t xml:space="preserve"> </w:t>
      </w:r>
    </w:p>
    <w:p w14:paraId="419CE414" w14:textId="1CE1A149" w:rsidR="004F6F05" w:rsidRPr="004F6F05" w:rsidRDefault="0075626B" w:rsidP="004F6F05">
      <w:pPr>
        <w:pStyle w:val="Bullet"/>
        <w:numPr>
          <w:ilvl w:val="0"/>
          <w:numId w:val="41"/>
        </w:numPr>
        <w:tabs>
          <w:tab w:val="clear" w:pos="720"/>
          <w:tab w:val="left" w:pos="0"/>
        </w:tabs>
        <w:spacing w:before="96" w:after="96"/>
        <w:rPr>
          <w:color w:val="2C384A" w:themeColor="accent1"/>
          <w:szCs w:val="22"/>
        </w:rPr>
      </w:pPr>
      <w:r>
        <w:rPr>
          <w:szCs w:val="22"/>
        </w:rPr>
        <w:t>A</w:t>
      </w:r>
      <w:r w:rsidR="004F6F05" w:rsidRPr="004F6F05">
        <w:rPr>
          <w:szCs w:val="22"/>
        </w:rPr>
        <w:t>dditional relief should be provided to allow companies to disclose estimates of their Scope 3 emissions relating to any one-year period</w:t>
      </w:r>
      <w:r w:rsidR="00F2321B">
        <w:rPr>
          <w:szCs w:val="22"/>
        </w:rPr>
        <w:t>,</w:t>
      </w:r>
      <w:r w:rsidR="004F6F05" w:rsidRPr="004F6F05">
        <w:rPr>
          <w:szCs w:val="22"/>
        </w:rPr>
        <w:t xml:space="preserve"> up to 12 months prior to the relevant reporting period (for example, 2027-28 financial year reporting requirements could be met by disclosing Scope 3 emissions incurred in the 2027 calendar year or 2026-27 financial year). </w:t>
      </w:r>
    </w:p>
    <w:p w14:paraId="229EAA11" w14:textId="3424987D" w:rsidR="00B92BD0" w:rsidRPr="00B92BD0" w:rsidRDefault="00B92BD0" w:rsidP="00B92BD0">
      <w:pPr>
        <w:pStyle w:val="Bullet"/>
        <w:numPr>
          <w:ilvl w:val="0"/>
          <w:numId w:val="0"/>
        </w:numPr>
        <w:ind w:left="520" w:hanging="520"/>
        <w:rPr>
          <w:rStyle w:val="Heading4Char"/>
          <w:b/>
          <w:bCs/>
          <w:color w:val="auto"/>
        </w:rPr>
      </w:pPr>
      <w:r w:rsidRPr="00B92BD0">
        <w:rPr>
          <w:rStyle w:val="Heading4Char"/>
          <w:b/>
          <w:bCs/>
          <w:color w:val="auto"/>
        </w:rPr>
        <w:t>Industry-based metrics</w:t>
      </w:r>
    </w:p>
    <w:p w14:paraId="3AE6B559" w14:textId="5E816B10" w:rsidR="004F6F05" w:rsidRPr="004F6F05" w:rsidRDefault="004F6F05" w:rsidP="004F6F05">
      <w:pPr>
        <w:pStyle w:val="Bullet"/>
        <w:numPr>
          <w:ilvl w:val="0"/>
          <w:numId w:val="41"/>
        </w:numPr>
        <w:tabs>
          <w:tab w:val="clear" w:pos="720"/>
          <w:tab w:val="left" w:pos="0"/>
        </w:tabs>
        <w:spacing w:beforeLines="40" w:before="96" w:afterLines="40" w:after="96"/>
        <w:rPr>
          <w:rStyle w:val="normaltextrun"/>
          <w:color w:val="2C384A" w:themeColor="accent1"/>
          <w:szCs w:val="22"/>
        </w:rPr>
      </w:pPr>
      <w:r w:rsidRPr="004F6F05">
        <w:rPr>
          <w:szCs w:val="22"/>
        </w:rPr>
        <w:t>Entities should only be required to disclose against well-established and understood industry-based metrics from 1 July 2030 onwards.</w:t>
      </w:r>
      <w:r w:rsidR="00BC7480">
        <w:rPr>
          <w:szCs w:val="22"/>
        </w:rPr>
        <w:t xml:space="preserve"> Entities may choose to </w:t>
      </w:r>
      <w:r w:rsidR="006D606D">
        <w:rPr>
          <w:szCs w:val="22"/>
        </w:rPr>
        <w:t xml:space="preserve">disclose </w:t>
      </w:r>
      <w:r w:rsidR="00155A7F">
        <w:rPr>
          <w:szCs w:val="22"/>
        </w:rPr>
        <w:t xml:space="preserve">relevant </w:t>
      </w:r>
      <w:r w:rsidR="006D606D">
        <w:rPr>
          <w:szCs w:val="22"/>
        </w:rPr>
        <w:t>industry-based metrics voluntarily prior to that date.</w:t>
      </w:r>
    </w:p>
    <w:p w14:paraId="632CC447" w14:textId="4CADA1B3" w:rsidR="00050204" w:rsidRDefault="00050204" w:rsidP="00E326BD">
      <w:pPr>
        <w:pStyle w:val="Heading3"/>
      </w:pPr>
      <w:r>
        <w:t>Reporting framework</w:t>
      </w:r>
    </w:p>
    <w:p w14:paraId="2E879C54" w14:textId="0B984892" w:rsidR="00E13C11" w:rsidRDefault="00E13C11" w:rsidP="00B7364F">
      <w:pPr>
        <w:pStyle w:val="Bullet"/>
        <w:numPr>
          <w:ilvl w:val="0"/>
          <w:numId w:val="0"/>
        </w:numPr>
      </w:pPr>
      <w:r w:rsidRPr="00495CCB">
        <w:t>Climate-related financial disclosures will</w:t>
      </w:r>
      <w:r w:rsidR="005D456B">
        <w:t xml:space="preserve"> sit within a sustainability report, which will</w:t>
      </w:r>
      <w:r w:rsidRPr="00495CCB">
        <w:t xml:space="preserve"> form </w:t>
      </w:r>
      <w:r w:rsidR="005D456B">
        <w:t xml:space="preserve">the fourth report required as </w:t>
      </w:r>
      <w:r w:rsidRPr="00495CCB">
        <w:t xml:space="preserve">part of annual </w:t>
      </w:r>
      <w:r w:rsidR="005D456B">
        <w:t xml:space="preserve">financial </w:t>
      </w:r>
      <w:r w:rsidRPr="00495CCB">
        <w:t>reporting obligations</w:t>
      </w:r>
      <w:r>
        <w:t xml:space="preserve"> and </w:t>
      </w:r>
      <w:r w:rsidR="00424962">
        <w:t>be</w:t>
      </w:r>
      <w:r w:rsidR="003D0F72">
        <w:t xml:space="preserve"> </w:t>
      </w:r>
      <w:r>
        <w:t xml:space="preserve">contained in </w:t>
      </w:r>
      <w:r w:rsidR="00155A7F">
        <w:t>a</w:t>
      </w:r>
      <w:r w:rsidR="00424962">
        <w:t>n</w:t>
      </w:r>
      <w:r w:rsidR="00155A7F">
        <w:t xml:space="preserve"> </w:t>
      </w:r>
      <w:r w:rsidR="003D0F72">
        <w:t>entity</w:t>
      </w:r>
      <w:r w:rsidR="00155A7F">
        <w:t xml:space="preserve">’s </w:t>
      </w:r>
      <w:r>
        <w:t xml:space="preserve">annual report. </w:t>
      </w:r>
      <w:r w:rsidR="004801E2">
        <w:rPr>
          <w:rStyle w:val="normaltextrun"/>
          <w:rFonts w:eastAsiaTheme="majorEastAsia" w:cstheme="minorHAnsi"/>
          <w:color w:val="000000"/>
          <w:shd w:val="clear" w:color="auto" w:fill="FFFFFF"/>
        </w:rPr>
        <w:t xml:space="preserve">Entities should </w:t>
      </w:r>
      <w:r w:rsidR="004801E2" w:rsidRPr="00E9540D">
        <w:rPr>
          <w:rStyle w:val="normaltextrun"/>
          <w:rFonts w:eastAsiaTheme="majorEastAsia" w:cstheme="minorHAnsi"/>
          <w:color w:val="000000"/>
          <w:shd w:val="clear" w:color="auto" w:fill="FFFFFF"/>
        </w:rPr>
        <w:t xml:space="preserve">include an index table within their annual report that </w:t>
      </w:r>
      <w:r w:rsidR="004801E2">
        <w:rPr>
          <w:rStyle w:val="normaltextrun"/>
          <w:rFonts w:eastAsiaTheme="majorEastAsia" w:cstheme="minorHAnsi"/>
          <w:color w:val="000000"/>
          <w:shd w:val="clear" w:color="auto" w:fill="FFFFFF"/>
        </w:rPr>
        <w:t xml:space="preserve">enables users to easily navigate the </w:t>
      </w:r>
      <w:r w:rsidR="004801E2" w:rsidRPr="00E9540D">
        <w:rPr>
          <w:rStyle w:val="normaltextrun"/>
          <w:rFonts w:eastAsiaTheme="majorEastAsia" w:cstheme="minorHAnsi"/>
          <w:color w:val="000000"/>
          <w:shd w:val="clear" w:color="auto" w:fill="FFFFFF"/>
        </w:rPr>
        <w:t xml:space="preserve">climate </w:t>
      </w:r>
      <w:r w:rsidR="004801E2">
        <w:rPr>
          <w:rStyle w:val="normaltextrun"/>
          <w:rFonts w:eastAsiaTheme="majorEastAsia" w:cstheme="minorHAnsi"/>
          <w:color w:val="000000"/>
          <w:shd w:val="clear" w:color="auto" w:fill="FFFFFF"/>
        </w:rPr>
        <w:t xml:space="preserve">disclosures. </w:t>
      </w:r>
      <w:r w:rsidR="000B0F8C">
        <w:rPr>
          <w:rStyle w:val="normaltextrun"/>
          <w:rFonts w:eastAsiaTheme="majorEastAsia" w:cstheme="minorHAnsi"/>
          <w:color w:val="000000"/>
          <w:shd w:val="clear" w:color="auto" w:fill="FFFFFF"/>
        </w:rPr>
        <w:t>T</w:t>
      </w:r>
      <w:r>
        <w:t xml:space="preserve">iming of annual report lodgement, including </w:t>
      </w:r>
      <w:r w:rsidR="000B0F8C">
        <w:t xml:space="preserve">for </w:t>
      </w:r>
      <w:r>
        <w:t xml:space="preserve">those required to lodge with Australian Securities and Investment Commission (ASIC), will stay consistent with current requirements under section 319 of the Corporations Act. </w:t>
      </w:r>
    </w:p>
    <w:p w14:paraId="24142C36" w14:textId="324E1F21" w:rsidR="00050204" w:rsidRDefault="00050204" w:rsidP="00E326BD">
      <w:pPr>
        <w:pStyle w:val="Heading3"/>
      </w:pPr>
      <w:r>
        <w:t>Assurance requirements</w:t>
      </w:r>
    </w:p>
    <w:p w14:paraId="7637A2EE" w14:textId="635FDC04" w:rsidR="00272901" w:rsidRPr="00BA7DAF" w:rsidRDefault="00272901" w:rsidP="00272901">
      <w:r w:rsidRPr="00F56AB1">
        <w:t xml:space="preserve">Climate disclosures </w:t>
      </w:r>
      <w:r>
        <w:t>will</w:t>
      </w:r>
      <w:r w:rsidRPr="00F56AB1">
        <w:t xml:space="preserve"> be subject to similar assurance requirements</w:t>
      </w:r>
      <w:r>
        <w:t xml:space="preserve"> to those currently in the </w:t>
      </w:r>
      <w:r w:rsidRPr="00F56AB1">
        <w:t>Corporations Act</w:t>
      </w:r>
      <w:r w:rsidR="003D0F72">
        <w:t xml:space="preserve"> for financial reports</w:t>
      </w:r>
      <w:r>
        <w:t>,</w:t>
      </w:r>
      <w:r w:rsidR="003D0F72">
        <w:t xml:space="preserve"> and will</w:t>
      </w:r>
      <w:r>
        <w:t xml:space="preserve"> </w:t>
      </w:r>
      <w:r w:rsidRPr="00F56AB1">
        <w:t xml:space="preserve">require entities to </w:t>
      </w:r>
      <w:r w:rsidR="003D0F72">
        <w:t xml:space="preserve">obtain an assurance report from their </w:t>
      </w:r>
      <w:r>
        <w:t xml:space="preserve">financial auditors </w:t>
      </w:r>
      <w:r w:rsidR="003D0F72">
        <w:t>who will use</w:t>
      </w:r>
      <w:r>
        <w:t xml:space="preserve"> </w:t>
      </w:r>
      <w:r w:rsidRPr="00BF3938">
        <w:t>technical climate and sustainability experts whe</w:t>
      </w:r>
      <w:r>
        <w:t>re</w:t>
      </w:r>
      <w:r w:rsidRPr="00BF3938">
        <w:t xml:space="preserve"> required</w:t>
      </w:r>
      <w:r>
        <w:t>. These requirements will be set out</w:t>
      </w:r>
      <w:r w:rsidRPr="00F56AB1">
        <w:t xml:space="preserve"> </w:t>
      </w:r>
      <w:r>
        <w:t>in Australian assurance standards for climate disclosures</w:t>
      </w:r>
      <w:r w:rsidRPr="00F56AB1">
        <w:t>. </w:t>
      </w:r>
    </w:p>
    <w:p w14:paraId="0AC08B5D" w14:textId="2A7B3FE1" w:rsidR="00050204" w:rsidRDefault="00B7364F" w:rsidP="00E326BD">
      <w:pPr>
        <w:pStyle w:val="Heading4"/>
      </w:pPr>
      <w:r>
        <w:t>Interaction with climate disclosure standards</w:t>
      </w:r>
    </w:p>
    <w:p w14:paraId="6FFAD628" w14:textId="1E93B677" w:rsidR="000B6ABD" w:rsidRDefault="006830B6" w:rsidP="006830B6">
      <w:pPr>
        <w:rPr>
          <w:rStyle w:val="normaltextrun"/>
          <w:rFonts w:eastAsiaTheme="majorEastAsia"/>
          <w:color w:val="000000"/>
          <w:shd w:val="clear" w:color="auto" w:fill="FFFFFF"/>
        </w:rPr>
      </w:pPr>
      <w:r>
        <w:t xml:space="preserve">The Australian Auditing and Assurance Board (AUASB) will develop assurance standards in line with the International Auditing and Assurance Standards Board’s (IAASB) final standard. </w:t>
      </w:r>
      <w:r w:rsidR="003D0F72">
        <w:t>The AUASB may also provide standards or guidance under the local sustainability reporting framework. In particular, t</w:t>
      </w:r>
      <w:r>
        <w:t xml:space="preserve">he AUASB will also </w:t>
      </w:r>
      <w:r w:rsidRPr="00A16EBF">
        <w:t>set out a pathway for phasing</w:t>
      </w:r>
      <w:r>
        <w:t xml:space="preserve"> in requirements over time, which would commence with assurance of </w:t>
      </w:r>
      <w:r w:rsidRPr="0068741D">
        <w:t xml:space="preserve">Scope 1 and 2 emissions disclosures from </w:t>
      </w:r>
      <w:r w:rsidR="003D0F72">
        <w:t xml:space="preserve">years commencing </w:t>
      </w:r>
      <w:r w:rsidRPr="0068741D">
        <w:t>1 July 2024 onwards</w:t>
      </w:r>
      <w:r>
        <w:t xml:space="preserve"> and end with assurance of a</w:t>
      </w:r>
      <w:r>
        <w:rPr>
          <w:rStyle w:val="normaltextrun"/>
          <w:rFonts w:eastAsiaTheme="majorEastAsia"/>
          <w:color w:val="000000"/>
          <w:shd w:val="clear" w:color="auto" w:fill="FFFFFF"/>
        </w:rPr>
        <w:t xml:space="preserve">ll climate disclosures made from </w:t>
      </w:r>
      <w:r w:rsidR="003D0F72">
        <w:rPr>
          <w:rStyle w:val="normaltextrun"/>
          <w:rFonts w:eastAsiaTheme="majorEastAsia"/>
          <w:color w:val="000000"/>
          <w:shd w:val="clear" w:color="auto" w:fill="FFFFFF"/>
        </w:rPr>
        <w:t>years commencing</w:t>
      </w:r>
      <w:r>
        <w:rPr>
          <w:rStyle w:val="normaltextrun"/>
          <w:rFonts w:eastAsiaTheme="majorEastAsia"/>
          <w:color w:val="000000"/>
          <w:shd w:val="clear" w:color="auto" w:fill="FFFFFF"/>
        </w:rPr>
        <w:t xml:space="preserve"> 1 July 2030 onwards.</w:t>
      </w:r>
    </w:p>
    <w:p w14:paraId="0D54A667" w14:textId="77F50830" w:rsidR="00050204" w:rsidRPr="00050204" w:rsidRDefault="00050204" w:rsidP="00E326BD">
      <w:pPr>
        <w:pStyle w:val="Heading3"/>
      </w:pPr>
      <w:r>
        <w:t>Liability framework</w:t>
      </w:r>
    </w:p>
    <w:p w14:paraId="209C74F6" w14:textId="77777777" w:rsidR="006A1D8E" w:rsidRPr="00183F6A" w:rsidRDefault="006A1D8E" w:rsidP="006A1D8E">
      <w:r>
        <w:t>C</w:t>
      </w:r>
      <w:r w:rsidRPr="00183F6A">
        <w:t>limate disclosure</w:t>
      </w:r>
      <w:r>
        <w:t>s will be subject to</w:t>
      </w:r>
      <w:r w:rsidRPr="00183F6A" w:rsidDel="009F1678">
        <w:t xml:space="preserve"> </w:t>
      </w:r>
      <w:r w:rsidRPr="00183F6A">
        <w:t>the existing liability</w:t>
      </w:r>
      <w:r>
        <w:t xml:space="preserve"> framework under the Corporations Act and </w:t>
      </w:r>
      <w:r w:rsidRPr="00AC5058">
        <w:rPr>
          <w:i/>
          <w:iCs/>
        </w:rPr>
        <w:t xml:space="preserve">Australian Securities </w:t>
      </w:r>
      <w:r>
        <w:rPr>
          <w:i/>
          <w:iCs/>
        </w:rPr>
        <w:t xml:space="preserve">and </w:t>
      </w:r>
      <w:r w:rsidRPr="00AC5058">
        <w:rPr>
          <w:i/>
          <w:iCs/>
        </w:rPr>
        <w:t>Investments Commission Act 2001</w:t>
      </w:r>
      <w:r>
        <w:t xml:space="preserve"> </w:t>
      </w:r>
      <w:r w:rsidRPr="00D764AE">
        <w:t>(Cth)</w:t>
      </w:r>
      <w:r>
        <w:rPr>
          <w:i/>
          <w:iCs/>
        </w:rPr>
        <w:t xml:space="preserve"> </w:t>
      </w:r>
      <w:r>
        <w:t>including: director’s duties, misleading and deceptive conduct</w:t>
      </w:r>
      <w:r w:rsidRPr="00183F6A">
        <w:t xml:space="preserve"> </w:t>
      </w:r>
      <w:r>
        <w:t>provisions,</w:t>
      </w:r>
      <w:r w:rsidRPr="00183F6A">
        <w:t xml:space="preserve"> </w:t>
      </w:r>
      <w:r>
        <w:t xml:space="preserve">and general disclosure obligations. </w:t>
      </w:r>
      <w:r w:rsidRPr="00183F6A" w:rsidDel="009B49C5">
        <w:t>This is appropriate to ensure directors engage fully with climate disclosure obligations and to support investor confidence in the information disclosed.</w:t>
      </w:r>
    </w:p>
    <w:p w14:paraId="2D3FB212" w14:textId="578B11BD" w:rsidR="006A1D8E" w:rsidRPr="00E326BD" w:rsidRDefault="006A1D8E" w:rsidP="00E326BD">
      <w:pPr>
        <w:rPr>
          <w:b/>
          <w:bCs/>
        </w:rPr>
      </w:pPr>
      <w:r w:rsidRPr="00E326BD">
        <w:rPr>
          <w:b/>
          <w:bCs/>
        </w:rPr>
        <w:t xml:space="preserve">Modified liability for climate disclosure </w:t>
      </w:r>
    </w:p>
    <w:p w14:paraId="7F9F38EC" w14:textId="4DCA0E37" w:rsidR="006A1D8E" w:rsidRDefault="000B6ABD" w:rsidP="006A1D8E">
      <w:r>
        <w:t xml:space="preserve">Entities will be provided relief for a </w:t>
      </w:r>
      <w:r w:rsidRPr="00E326BD">
        <w:rPr>
          <w:u w:val="single"/>
        </w:rPr>
        <w:t xml:space="preserve">fixed </w:t>
      </w:r>
      <w:r w:rsidR="00E326BD" w:rsidRPr="00E326BD">
        <w:rPr>
          <w:u w:val="single"/>
        </w:rPr>
        <w:t>three-year</w:t>
      </w:r>
      <w:r w:rsidRPr="00E326BD">
        <w:rPr>
          <w:u w:val="single"/>
        </w:rPr>
        <w:t xml:space="preserve"> period</w:t>
      </w:r>
      <w:r>
        <w:t xml:space="preserve"> </w:t>
      </w:r>
      <w:r w:rsidR="00B56721">
        <w:t>for</w:t>
      </w:r>
      <w:r w:rsidR="006A1D8E">
        <w:t xml:space="preserve"> disclosures relating to Scope 3 emissions and</w:t>
      </w:r>
      <w:r w:rsidR="00180705">
        <w:t xml:space="preserve"> certain</w:t>
      </w:r>
      <w:r w:rsidR="006A1D8E">
        <w:t xml:space="preserve"> climate-related forward-looking statements.</w:t>
      </w:r>
    </w:p>
    <w:p w14:paraId="1A57B484" w14:textId="623749CF" w:rsidR="006A1D8E" w:rsidRPr="00183F6A" w:rsidRDefault="00720F8C" w:rsidP="006A1D8E">
      <w:r>
        <w:t>For r</w:t>
      </w:r>
      <w:r w:rsidR="00A31AA7">
        <w:t xml:space="preserve">eports </w:t>
      </w:r>
      <w:r w:rsidR="005B41C1">
        <w:t>issued</w:t>
      </w:r>
      <w:r w:rsidR="00A31AA7">
        <w:t xml:space="preserve"> b</w:t>
      </w:r>
      <w:r w:rsidR="006A1D8E" w:rsidRPr="00183F6A">
        <w:t>etween 1 July 2025 and 30 June 202</w:t>
      </w:r>
      <w:r w:rsidR="00022CFF">
        <w:t>8</w:t>
      </w:r>
      <w:r w:rsidR="006A1D8E" w:rsidRPr="00183F6A">
        <w:t xml:space="preserve">, </w:t>
      </w:r>
      <w:r w:rsidR="006A1D8E">
        <w:t xml:space="preserve">only the regulator will be able to bring action relating to breaches of relevant provisions made in disclosures of scope 3 emissions and climate-related forward-looking statements, and the remedies available </w:t>
      </w:r>
      <w:r w:rsidR="005B41C1">
        <w:t xml:space="preserve">to the regulator will </w:t>
      </w:r>
      <w:r w:rsidR="006A1D8E">
        <w:t xml:space="preserve">be limited to injunctions and declarations. </w:t>
      </w:r>
    </w:p>
    <w:p w14:paraId="31B4EC51" w14:textId="67602B8A" w:rsidR="006A1D8E" w:rsidRDefault="006A1D8E" w:rsidP="006A1D8E">
      <w:pPr>
        <w:spacing w:before="240"/>
        <w:rPr>
          <w:rStyle w:val="eop"/>
          <w:rFonts w:ascii="Arial" w:hAnsi="Arial" w:cs="Arial"/>
          <w:color w:val="000000"/>
          <w:shd w:val="clear" w:color="auto" w:fill="FFFFFF"/>
        </w:rPr>
      </w:pPr>
      <w:r w:rsidRPr="00183F6A">
        <w:t>Beyond this period</w:t>
      </w:r>
      <w:r>
        <w:t>,</w:t>
      </w:r>
      <w:r w:rsidRPr="00183F6A">
        <w:t xml:space="preserve"> the </w:t>
      </w:r>
      <w:r>
        <w:t>existing</w:t>
      </w:r>
      <w:r w:rsidRPr="00183F6A">
        <w:t xml:space="preserve"> liability arrangements will </w:t>
      </w:r>
      <w:r w:rsidR="00760F73">
        <w:t>apply</w:t>
      </w:r>
      <w:r w:rsidRPr="00183F6A">
        <w:t>.</w:t>
      </w:r>
      <w:r w:rsidRPr="00183F6A">
        <w:rPr>
          <w:rStyle w:val="eop"/>
          <w:rFonts w:ascii="Arial" w:hAnsi="Arial" w:cs="Arial"/>
          <w:color w:val="000000"/>
          <w:shd w:val="clear" w:color="auto" w:fill="FFFFFF"/>
        </w:rPr>
        <w:t> </w:t>
      </w:r>
    </w:p>
    <w:p w14:paraId="48DCB3F3" w14:textId="1B09EF1B" w:rsidR="00050204" w:rsidRDefault="00837BEF" w:rsidP="00E326BD">
      <w:pPr>
        <w:pStyle w:val="Heading3"/>
      </w:pPr>
      <w:r>
        <w:t>Review of climate-related financial disclosure requirements</w:t>
      </w:r>
    </w:p>
    <w:p w14:paraId="76CDA6D1" w14:textId="5E798B59" w:rsidR="008A1370" w:rsidRDefault="008A1370" w:rsidP="008A1370">
      <w:r>
        <w:t>The Government will conduct a review of climate disclosure requirements in 2028</w:t>
      </w:r>
      <w:r>
        <w:noBreakHyphen/>
        <w:t xml:space="preserve">29. The review will be led by Treasury, working with the Council of Financial Regulators. </w:t>
      </w:r>
    </w:p>
    <w:p w14:paraId="36C886E0" w14:textId="24A455FB" w:rsidR="00E10D39" w:rsidRDefault="008A1370" w:rsidP="00D0797D">
      <w:r>
        <w:t>At a minimum, the review will examine</w:t>
      </w:r>
      <w:r w:rsidRPr="005558B2">
        <w:t xml:space="preserve"> the effectiveness of coverage settings (particularly the approach to Group 3 entities), appropriateness of the liability framework and whether there are any other barriers that may be affecting company’s ability to make quality disclosures, including data availability, and supporting materials. </w:t>
      </w:r>
      <w:r>
        <w:t xml:space="preserve"> </w:t>
      </w:r>
      <w:bookmarkEnd w:id="0"/>
    </w:p>
    <w:sectPr w:rsidR="00E10D39" w:rsidSect="004F6F05">
      <w:headerReference w:type="even" r:id="rId8"/>
      <w:headerReference w:type="default" r:id="rId9"/>
      <w:footerReference w:type="even" r:id="rId10"/>
      <w:footerReference w:type="default" r:id="rId11"/>
      <w:pgSz w:w="11906" w:h="16838" w:code="9"/>
      <w:pgMar w:top="1319" w:right="1418" w:bottom="851" w:left="1418" w:header="284" w:footer="9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E59E" w14:textId="77777777" w:rsidR="00B64788" w:rsidRDefault="00B64788">
      <w:pPr>
        <w:spacing w:before="0" w:after="0"/>
      </w:pPr>
      <w:r>
        <w:separator/>
      </w:r>
    </w:p>
  </w:endnote>
  <w:endnote w:type="continuationSeparator" w:id="0">
    <w:p w14:paraId="3B49308D" w14:textId="77777777" w:rsidR="00B64788" w:rsidRDefault="00B64788">
      <w:pPr>
        <w:spacing w:before="0" w:after="0"/>
      </w:pPr>
      <w:r>
        <w:continuationSeparator/>
      </w:r>
    </w:p>
  </w:endnote>
  <w:endnote w:type="continuationNotice" w:id="1">
    <w:p w14:paraId="687020E3" w14:textId="77777777" w:rsidR="00B64788" w:rsidRDefault="00B64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03E1"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49F3" w14:textId="243CDBDC" w:rsidR="00E81A40" w:rsidRPr="00E13E90" w:rsidRDefault="00E81A40" w:rsidP="00E13E90">
    <w:pPr>
      <w:pStyle w:val="Footer"/>
    </w:pPr>
    <w:r w:rsidRPr="00742366">
      <w:drawing>
        <wp:anchor distT="0" distB="0" distL="114300" distR="114300" simplePos="0" relativeHeight="251658241" behindDoc="1" locked="1" layoutInCell="1" allowOverlap="1" wp14:anchorId="2E95BBBB" wp14:editId="414FD42B">
          <wp:simplePos x="0" y="0"/>
          <wp:positionH relativeFrom="margin">
            <wp:posOffset>5459095</wp:posOffset>
          </wp:positionH>
          <wp:positionV relativeFrom="page">
            <wp:posOffset>3280410</wp:posOffset>
          </wp:positionV>
          <wp:extent cx="7574280" cy="1043940"/>
          <wp:effectExtent l="762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2E8B4A4B" wp14:editId="30ADDC77">
          <wp:extent cx="1324800" cy="201600"/>
          <wp:effectExtent l="0" t="0" r="0" b="8255"/>
          <wp:docPr id="75" name="Picture 7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1B5376">
      <w:fldChar w:fldCharType="begin"/>
    </w:r>
    <w:r w:rsidR="001B5376">
      <w:instrText xml:space="preserve"> STYLEREF  "Heading 1"  \* MERGEFORMAT </w:instrText>
    </w:r>
    <w:r w:rsidR="001B5376">
      <w:fldChar w:fldCharType="separate"/>
    </w:r>
    <w:r w:rsidR="001B5376">
      <w:t>Mandatory climate-related financial disclosures</w:t>
    </w:r>
    <w:r w:rsidR="001B5376">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BFD0" w14:textId="77777777" w:rsidR="00B64788" w:rsidRDefault="00B64788">
      <w:pPr>
        <w:spacing w:before="0" w:after="0"/>
      </w:pPr>
      <w:r>
        <w:separator/>
      </w:r>
    </w:p>
  </w:footnote>
  <w:footnote w:type="continuationSeparator" w:id="0">
    <w:p w14:paraId="443284A4" w14:textId="77777777" w:rsidR="00B64788" w:rsidRDefault="00B64788">
      <w:pPr>
        <w:spacing w:before="0" w:after="0"/>
      </w:pPr>
      <w:r>
        <w:continuationSeparator/>
      </w:r>
    </w:p>
  </w:footnote>
  <w:footnote w:type="continuationNotice" w:id="1">
    <w:p w14:paraId="58B93AC6" w14:textId="77777777" w:rsidR="00B64788" w:rsidRDefault="00B64788">
      <w:pPr>
        <w:spacing w:before="0" w:after="0"/>
      </w:pPr>
    </w:p>
  </w:footnote>
  <w:footnote w:id="2">
    <w:p w14:paraId="75A2293F" w14:textId="2D537004" w:rsidR="003B3084" w:rsidRDefault="003B3084" w:rsidP="00250CF4">
      <w:pPr>
        <w:pStyle w:val="FootnoteText"/>
        <w:spacing w:after="120"/>
        <w:ind w:left="0" w:firstLine="0"/>
      </w:pPr>
      <w:r>
        <w:rPr>
          <w:rStyle w:val="FootnoteReference"/>
        </w:rPr>
        <w:footnoteRef/>
      </w:r>
      <w:r w:rsidR="009E66D4">
        <w:t xml:space="preserve"> </w:t>
      </w:r>
      <w:hyperlink r:id="rId1" w:history="1">
        <w:r w:rsidR="0059230F" w:rsidRPr="0059230F">
          <w:rPr>
            <w:rStyle w:val="Hyperlink"/>
          </w:rPr>
          <w:t>www.ifrs.org/issued-standards/ifrs-sustainability-standards-navigator/ifrs-s2-climate-related-disclosures/</w:t>
        </w:r>
      </w:hyperlink>
      <w:r w:rsidR="00E55708">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0420"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D9E8" w14:textId="77777777" w:rsidR="00E81A40" w:rsidRPr="00963E8D" w:rsidRDefault="00E81A40" w:rsidP="008A0253">
    <w:r>
      <w:rPr>
        <w:noProof/>
      </w:rPr>
      <w:drawing>
        <wp:anchor distT="0" distB="0" distL="114300" distR="114300" simplePos="0" relativeHeight="251658240" behindDoc="1" locked="1" layoutInCell="1" allowOverlap="1" wp14:anchorId="2A05795B" wp14:editId="2F0D5C2B">
          <wp:simplePos x="0" y="0"/>
          <wp:positionH relativeFrom="page">
            <wp:align>center</wp:align>
          </wp:positionH>
          <wp:positionV relativeFrom="page">
            <wp:align>top</wp:align>
          </wp:positionV>
          <wp:extent cx="7570800" cy="1044000"/>
          <wp:effectExtent l="0" t="0" r="0" b="381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F37"/>
    <w:multiLevelType w:val="multilevel"/>
    <w:tmpl w:val="6026FD7A"/>
    <w:lvl w:ilvl="0">
      <w:start w:val="1"/>
      <w:numFmt w:val="bullet"/>
      <w:lvlText w:val=""/>
      <w:lvlJc w:val="left"/>
      <w:pPr>
        <w:tabs>
          <w:tab w:val="num" w:pos="520"/>
        </w:tabs>
        <w:ind w:left="520" w:hanging="520"/>
      </w:pPr>
      <w:rPr>
        <w:rFonts w:ascii="Symbol" w:hAnsi="Symbol" w:hint="default"/>
        <w:color w:val="auto"/>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3B3391"/>
    <w:multiLevelType w:val="hybridMultilevel"/>
    <w:tmpl w:val="C3B46E7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0930DF"/>
    <w:multiLevelType w:val="multilevel"/>
    <w:tmpl w:val="4E7A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7447F6"/>
    <w:multiLevelType w:val="multilevel"/>
    <w:tmpl w:val="7C5C63B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CC4E5D"/>
    <w:multiLevelType w:val="multilevel"/>
    <w:tmpl w:val="D10E9CF6"/>
    <w:numStyleLink w:val="OneLevelList"/>
  </w:abstractNum>
  <w:abstractNum w:abstractNumId="8"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9"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E230B3"/>
    <w:multiLevelType w:val="multilevel"/>
    <w:tmpl w:val="F6E6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E80739"/>
    <w:multiLevelType w:val="multilevel"/>
    <w:tmpl w:val="8F5C5022"/>
    <w:lvl w:ilvl="0">
      <w:start w:val="1"/>
      <w:numFmt w:val="bullet"/>
      <w:lvlText w:val=""/>
      <w:lvlJc w:val="left"/>
      <w:pPr>
        <w:tabs>
          <w:tab w:val="num" w:pos="520"/>
        </w:tabs>
        <w:ind w:left="520" w:hanging="520"/>
      </w:pPr>
      <w:rPr>
        <w:rFonts w:ascii="Symbol" w:hAnsi="Symbol" w:hint="default"/>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0D2021"/>
    <w:multiLevelType w:val="multilevel"/>
    <w:tmpl w:val="72F8140E"/>
    <w:numStyleLink w:val="OutlineList"/>
  </w:abstractNum>
  <w:abstractNum w:abstractNumId="16" w15:restartNumberingAfterBreak="0">
    <w:nsid w:val="6F7411EA"/>
    <w:multiLevelType w:val="multilevel"/>
    <w:tmpl w:val="C2468A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8B16110"/>
    <w:multiLevelType w:val="multilevel"/>
    <w:tmpl w:val="97A2AD90"/>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D6B5224"/>
    <w:multiLevelType w:val="multilevel"/>
    <w:tmpl w:val="57000EF8"/>
    <w:lvl w:ilvl="0">
      <w:start w:val="1"/>
      <w:numFmt w:val="bullet"/>
      <w:pStyle w:val="Bullet"/>
      <w:lvlText w:val="•"/>
      <w:lvlJc w:val="left"/>
      <w:pPr>
        <w:tabs>
          <w:tab w:val="num" w:pos="1560"/>
        </w:tabs>
        <w:ind w:left="1560" w:hanging="520"/>
      </w:pPr>
      <w:rPr>
        <w:rFonts w:ascii="Times New Roman" w:hAnsi="Times New Roman" w:cs="Times New Roman"/>
        <w:color w:val="auto"/>
      </w:rPr>
    </w:lvl>
    <w:lvl w:ilvl="1">
      <w:start w:val="1"/>
      <w:numFmt w:val="bullet"/>
      <w:lvlText w:val="–"/>
      <w:lvlJc w:val="left"/>
      <w:pPr>
        <w:tabs>
          <w:tab w:val="num" w:pos="2080"/>
        </w:tabs>
        <w:ind w:left="2080" w:hanging="520"/>
      </w:pPr>
      <w:rPr>
        <w:rFonts w:ascii="Times New Roman" w:hAnsi="Times New Roman" w:cs="Times New Roman"/>
      </w:rPr>
    </w:lvl>
    <w:lvl w:ilvl="2">
      <w:start w:val="1"/>
      <w:numFmt w:val="bullet"/>
      <w:lvlText w:val=":"/>
      <w:lvlJc w:val="left"/>
      <w:pPr>
        <w:tabs>
          <w:tab w:val="num" w:pos="2600"/>
        </w:tabs>
        <w:ind w:left="2600" w:hanging="520"/>
      </w:pPr>
      <w:rPr>
        <w:rFonts w:ascii="Times New Roman" w:hAnsi="Times New Roman" w:cs="Times New Roman"/>
      </w:rPr>
    </w:lvl>
    <w:lvl w:ilvl="3">
      <w:start w:val="1"/>
      <w:numFmt w:val="decimal"/>
      <w:lvlText w:val="(%4)"/>
      <w:lvlJc w:val="left"/>
      <w:pPr>
        <w:ind w:left="2480" w:hanging="360"/>
      </w:pPr>
    </w:lvl>
    <w:lvl w:ilvl="4">
      <w:start w:val="1"/>
      <w:numFmt w:val="lowerLetter"/>
      <w:lvlText w:val="(%5)"/>
      <w:lvlJc w:val="left"/>
      <w:pPr>
        <w:ind w:left="2840" w:hanging="360"/>
      </w:pPr>
    </w:lvl>
    <w:lvl w:ilvl="5">
      <w:start w:val="1"/>
      <w:numFmt w:val="lowerRoman"/>
      <w:lvlText w:val="(%6)"/>
      <w:lvlJc w:val="left"/>
      <w:pPr>
        <w:ind w:left="3200" w:hanging="360"/>
      </w:pPr>
    </w:lvl>
    <w:lvl w:ilvl="6">
      <w:start w:val="1"/>
      <w:numFmt w:val="decimal"/>
      <w:lvlText w:val="%7."/>
      <w:lvlJc w:val="left"/>
      <w:pPr>
        <w:ind w:left="3560" w:hanging="360"/>
      </w:pPr>
    </w:lvl>
    <w:lvl w:ilvl="7">
      <w:start w:val="1"/>
      <w:numFmt w:val="lowerLetter"/>
      <w:lvlText w:val="%8."/>
      <w:lvlJc w:val="left"/>
      <w:pPr>
        <w:ind w:left="3920" w:hanging="360"/>
      </w:pPr>
    </w:lvl>
    <w:lvl w:ilvl="8">
      <w:start w:val="1"/>
      <w:numFmt w:val="lowerRoman"/>
      <w:lvlText w:val="%9."/>
      <w:lvlJc w:val="left"/>
      <w:pPr>
        <w:ind w:left="4280" w:hanging="360"/>
      </w:pPr>
    </w:lvl>
  </w:abstractNum>
  <w:abstractNum w:abstractNumId="19"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0" w15:restartNumberingAfterBreak="0">
    <w:nsid w:val="7F676263"/>
    <w:multiLevelType w:val="multilevel"/>
    <w:tmpl w:val="7CB6F1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2"/>
  </w:num>
  <w:num w:numId="3">
    <w:abstractNumId w:val="12"/>
  </w:num>
  <w:num w:numId="4">
    <w:abstractNumId w:val="4"/>
  </w:num>
  <w:num w:numId="5">
    <w:abstractNumId w:val="7"/>
  </w:num>
  <w:num w:numId="6">
    <w:abstractNumId w:val="15"/>
  </w:num>
  <w:num w:numId="7">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8"/>
  </w:num>
  <w:num w:numId="9">
    <w:abstractNumId w:val="3"/>
  </w:num>
  <w:num w:numId="10">
    <w:abstractNumId w:val="9"/>
  </w:num>
  <w:num w:numId="11">
    <w:abstractNumId w:val="19"/>
  </w:num>
  <w:num w:numId="12">
    <w:abstractNumId w:val="15"/>
  </w:num>
  <w:num w:numId="13">
    <w:abstractNumId w:val="9"/>
  </w:num>
  <w:num w:numId="14">
    <w:abstractNumId w:val="11"/>
  </w:num>
  <w:num w:numId="15">
    <w:abstractNumId w:val="9"/>
  </w:num>
  <w:num w:numId="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10"/>
  </w:num>
  <w:num w:numId="21">
    <w:abstractNumId w:val="10"/>
  </w:num>
  <w:num w:numId="22">
    <w:abstractNumId w:val="10"/>
  </w:num>
  <w:num w:numId="23">
    <w:abstractNumId w:val="10"/>
  </w:num>
  <w:num w:numId="24">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11"/>
  </w:num>
  <w:num w:numId="26">
    <w:abstractNumId w:val="8"/>
  </w:num>
  <w:num w:numId="27">
    <w:abstractNumId w:val="8"/>
  </w:num>
  <w:num w:numId="28">
    <w:abstractNumId w:val="8"/>
  </w:num>
  <w:num w:numId="29">
    <w:abstractNumId w:val="7"/>
  </w:num>
  <w:num w:numId="30">
    <w:abstractNumId w:val="12"/>
  </w:num>
  <w:num w:numId="31">
    <w:abstractNumId w:val="15"/>
  </w:num>
  <w:num w:numId="32">
    <w:abstractNumId w:val="15"/>
  </w:num>
  <w:num w:numId="33">
    <w:abstractNumId w:val="15"/>
  </w:num>
  <w:num w:numId="34">
    <w:abstractNumId w:val="4"/>
  </w:num>
  <w:num w:numId="35">
    <w:abstractNumId w:val="9"/>
  </w:num>
  <w:num w:numId="36">
    <w:abstractNumId w:val="1"/>
  </w:num>
  <w:num w:numId="37">
    <w:abstractNumId w:val="20"/>
  </w:num>
  <w:num w:numId="38">
    <w:abstractNumId w:val="5"/>
  </w:num>
  <w:num w:numId="39">
    <w:abstractNumId w:val="16"/>
  </w:num>
  <w:num w:numId="40">
    <w:abstractNumId w:val="13"/>
  </w:num>
  <w:num w:numId="41">
    <w:abstractNumId w:val="17"/>
  </w:num>
  <w:num w:numId="42">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 w:numId="46">
    <w:abstractNumId w:val="14"/>
  </w:num>
  <w:num w:numId="4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52"/>
    <w:rsid w:val="00003019"/>
    <w:rsid w:val="00011111"/>
    <w:rsid w:val="00011725"/>
    <w:rsid w:val="00012C62"/>
    <w:rsid w:val="00014070"/>
    <w:rsid w:val="0001734F"/>
    <w:rsid w:val="000216B0"/>
    <w:rsid w:val="00022CFF"/>
    <w:rsid w:val="00024281"/>
    <w:rsid w:val="0002544D"/>
    <w:rsid w:val="00032765"/>
    <w:rsid w:val="000342E8"/>
    <w:rsid w:val="000343E5"/>
    <w:rsid w:val="0004096B"/>
    <w:rsid w:val="00041361"/>
    <w:rsid w:val="00041A8B"/>
    <w:rsid w:val="0004274D"/>
    <w:rsid w:val="00044C0A"/>
    <w:rsid w:val="00045662"/>
    <w:rsid w:val="0004695D"/>
    <w:rsid w:val="00050204"/>
    <w:rsid w:val="00051D60"/>
    <w:rsid w:val="00056880"/>
    <w:rsid w:val="00056FDC"/>
    <w:rsid w:val="000650F6"/>
    <w:rsid w:val="000675D1"/>
    <w:rsid w:val="0007102C"/>
    <w:rsid w:val="0007113B"/>
    <w:rsid w:val="00072352"/>
    <w:rsid w:val="00072CF6"/>
    <w:rsid w:val="00073121"/>
    <w:rsid w:val="00073521"/>
    <w:rsid w:val="00074B36"/>
    <w:rsid w:val="000775DE"/>
    <w:rsid w:val="00082FC2"/>
    <w:rsid w:val="000855E3"/>
    <w:rsid w:val="000858F2"/>
    <w:rsid w:val="000859F4"/>
    <w:rsid w:val="00086382"/>
    <w:rsid w:val="00087FAF"/>
    <w:rsid w:val="0009151A"/>
    <w:rsid w:val="00092102"/>
    <w:rsid w:val="00094F51"/>
    <w:rsid w:val="000951DF"/>
    <w:rsid w:val="00096757"/>
    <w:rsid w:val="00096D1E"/>
    <w:rsid w:val="000A09E5"/>
    <w:rsid w:val="000A3496"/>
    <w:rsid w:val="000A349B"/>
    <w:rsid w:val="000A5564"/>
    <w:rsid w:val="000A7027"/>
    <w:rsid w:val="000B0719"/>
    <w:rsid w:val="000B0F8C"/>
    <w:rsid w:val="000B2836"/>
    <w:rsid w:val="000B693F"/>
    <w:rsid w:val="000B6ABD"/>
    <w:rsid w:val="000C03B4"/>
    <w:rsid w:val="000C1C70"/>
    <w:rsid w:val="000C5F40"/>
    <w:rsid w:val="000C6A5D"/>
    <w:rsid w:val="000C77A8"/>
    <w:rsid w:val="000D094C"/>
    <w:rsid w:val="000D1284"/>
    <w:rsid w:val="000D154F"/>
    <w:rsid w:val="000D2F77"/>
    <w:rsid w:val="000D6F9B"/>
    <w:rsid w:val="000D7E08"/>
    <w:rsid w:val="000E0B74"/>
    <w:rsid w:val="000E3D71"/>
    <w:rsid w:val="000E5E32"/>
    <w:rsid w:val="000E5E35"/>
    <w:rsid w:val="000E5E93"/>
    <w:rsid w:val="000E7E8B"/>
    <w:rsid w:val="000F0BF8"/>
    <w:rsid w:val="000F0ED6"/>
    <w:rsid w:val="000F237F"/>
    <w:rsid w:val="000F29DC"/>
    <w:rsid w:val="000F7517"/>
    <w:rsid w:val="001012F2"/>
    <w:rsid w:val="00102E72"/>
    <w:rsid w:val="00103628"/>
    <w:rsid w:val="001113D5"/>
    <w:rsid w:val="00113B83"/>
    <w:rsid w:val="001170F5"/>
    <w:rsid w:val="001179A1"/>
    <w:rsid w:val="00125EBD"/>
    <w:rsid w:val="00127DFC"/>
    <w:rsid w:val="00133E60"/>
    <w:rsid w:val="0013453D"/>
    <w:rsid w:val="0014091C"/>
    <w:rsid w:val="00141DEA"/>
    <w:rsid w:val="0014216F"/>
    <w:rsid w:val="00142ACF"/>
    <w:rsid w:val="00145502"/>
    <w:rsid w:val="00146465"/>
    <w:rsid w:val="0015193D"/>
    <w:rsid w:val="001522A3"/>
    <w:rsid w:val="0015262A"/>
    <w:rsid w:val="00155131"/>
    <w:rsid w:val="00155A7F"/>
    <w:rsid w:val="001576B2"/>
    <w:rsid w:val="00157C83"/>
    <w:rsid w:val="001606CF"/>
    <w:rsid w:val="00160A73"/>
    <w:rsid w:val="0016128D"/>
    <w:rsid w:val="00161B2D"/>
    <w:rsid w:val="00164A01"/>
    <w:rsid w:val="0017033C"/>
    <w:rsid w:val="0017089D"/>
    <w:rsid w:val="00171B81"/>
    <w:rsid w:val="001762F2"/>
    <w:rsid w:val="00176D31"/>
    <w:rsid w:val="0018022D"/>
    <w:rsid w:val="00180705"/>
    <w:rsid w:val="001846A3"/>
    <w:rsid w:val="00184961"/>
    <w:rsid w:val="00184AB4"/>
    <w:rsid w:val="0018535A"/>
    <w:rsid w:val="00186357"/>
    <w:rsid w:val="0019101A"/>
    <w:rsid w:val="001923CC"/>
    <w:rsid w:val="0019438A"/>
    <w:rsid w:val="00195E50"/>
    <w:rsid w:val="00197D9F"/>
    <w:rsid w:val="001A6669"/>
    <w:rsid w:val="001B12DD"/>
    <w:rsid w:val="001B1636"/>
    <w:rsid w:val="001B48EC"/>
    <w:rsid w:val="001B5376"/>
    <w:rsid w:val="001B5D10"/>
    <w:rsid w:val="001C329F"/>
    <w:rsid w:val="001C33DC"/>
    <w:rsid w:val="001C358D"/>
    <w:rsid w:val="001C37A8"/>
    <w:rsid w:val="001C6EDA"/>
    <w:rsid w:val="001D040C"/>
    <w:rsid w:val="001D0C87"/>
    <w:rsid w:val="001D117D"/>
    <w:rsid w:val="001D19B3"/>
    <w:rsid w:val="001D4EAA"/>
    <w:rsid w:val="001D5BBF"/>
    <w:rsid w:val="001D7257"/>
    <w:rsid w:val="001D76D5"/>
    <w:rsid w:val="001E037A"/>
    <w:rsid w:val="001E4028"/>
    <w:rsid w:val="001E4140"/>
    <w:rsid w:val="001E4F92"/>
    <w:rsid w:val="001F0C60"/>
    <w:rsid w:val="001F45C8"/>
    <w:rsid w:val="001F6899"/>
    <w:rsid w:val="001F6F3D"/>
    <w:rsid w:val="00200703"/>
    <w:rsid w:val="00201C9E"/>
    <w:rsid w:val="00202650"/>
    <w:rsid w:val="00210923"/>
    <w:rsid w:val="0021117E"/>
    <w:rsid w:val="0021125B"/>
    <w:rsid w:val="002124F6"/>
    <w:rsid w:val="00212544"/>
    <w:rsid w:val="00217C52"/>
    <w:rsid w:val="002209EA"/>
    <w:rsid w:val="00221565"/>
    <w:rsid w:val="0022190E"/>
    <w:rsid w:val="0022267D"/>
    <w:rsid w:val="0022577C"/>
    <w:rsid w:val="0022662F"/>
    <w:rsid w:val="0023045A"/>
    <w:rsid w:val="00231049"/>
    <w:rsid w:val="002314D2"/>
    <w:rsid w:val="00231A27"/>
    <w:rsid w:val="002372A6"/>
    <w:rsid w:val="00250176"/>
    <w:rsid w:val="00250CF4"/>
    <w:rsid w:val="0025178A"/>
    <w:rsid w:val="00254FAE"/>
    <w:rsid w:val="0025525E"/>
    <w:rsid w:val="00256AA6"/>
    <w:rsid w:val="00257AEE"/>
    <w:rsid w:val="00263B6C"/>
    <w:rsid w:val="00267C46"/>
    <w:rsid w:val="00270B9E"/>
    <w:rsid w:val="00271ED1"/>
    <w:rsid w:val="0027259D"/>
    <w:rsid w:val="0027263D"/>
    <w:rsid w:val="00272901"/>
    <w:rsid w:val="002736DD"/>
    <w:rsid w:val="0027590B"/>
    <w:rsid w:val="00277E2C"/>
    <w:rsid w:val="00285969"/>
    <w:rsid w:val="0028691D"/>
    <w:rsid w:val="00291214"/>
    <w:rsid w:val="002922D8"/>
    <w:rsid w:val="002940EC"/>
    <w:rsid w:val="002964FD"/>
    <w:rsid w:val="002B2D49"/>
    <w:rsid w:val="002B3829"/>
    <w:rsid w:val="002B4D4D"/>
    <w:rsid w:val="002B5C39"/>
    <w:rsid w:val="002B5EF0"/>
    <w:rsid w:val="002B6360"/>
    <w:rsid w:val="002C117A"/>
    <w:rsid w:val="002C1414"/>
    <w:rsid w:val="002C4E70"/>
    <w:rsid w:val="002D1F90"/>
    <w:rsid w:val="002D488F"/>
    <w:rsid w:val="002D72DD"/>
    <w:rsid w:val="002E07F3"/>
    <w:rsid w:val="002E124E"/>
    <w:rsid w:val="002E4675"/>
    <w:rsid w:val="002E5FE6"/>
    <w:rsid w:val="002F3DB7"/>
    <w:rsid w:val="002F4C35"/>
    <w:rsid w:val="002F617F"/>
    <w:rsid w:val="002F6A76"/>
    <w:rsid w:val="003038E0"/>
    <w:rsid w:val="00304A59"/>
    <w:rsid w:val="003108AA"/>
    <w:rsid w:val="003122F4"/>
    <w:rsid w:val="0031276E"/>
    <w:rsid w:val="00312A8C"/>
    <w:rsid w:val="00313D74"/>
    <w:rsid w:val="003141A8"/>
    <w:rsid w:val="003161BB"/>
    <w:rsid w:val="00316E2D"/>
    <w:rsid w:val="00320D94"/>
    <w:rsid w:val="00322E13"/>
    <w:rsid w:val="00324E00"/>
    <w:rsid w:val="003268D5"/>
    <w:rsid w:val="00330789"/>
    <w:rsid w:val="003338BA"/>
    <w:rsid w:val="003359F1"/>
    <w:rsid w:val="00337871"/>
    <w:rsid w:val="00340C1E"/>
    <w:rsid w:val="00343D1B"/>
    <w:rsid w:val="00344779"/>
    <w:rsid w:val="00351B65"/>
    <w:rsid w:val="00351D4F"/>
    <w:rsid w:val="00352830"/>
    <w:rsid w:val="00354D27"/>
    <w:rsid w:val="00354EFB"/>
    <w:rsid w:val="00354FBB"/>
    <w:rsid w:val="00355DCF"/>
    <w:rsid w:val="003623DE"/>
    <w:rsid w:val="00363490"/>
    <w:rsid w:val="0036572A"/>
    <w:rsid w:val="00365F10"/>
    <w:rsid w:val="00373336"/>
    <w:rsid w:val="003734AD"/>
    <w:rsid w:val="00374720"/>
    <w:rsid w:val="003777DD"/>
    <w:rsid w:val="003839F0"/>
    <w:rsid w:val="00383F81"/>
    <w:rsid w:val="0038511C"/>
    <w:rsid w:val="003858A6"/>
    <w:rsid w:val="0038724E"/>
    <w:rsid w:val="00392DCC"/>
    <w:rsid w:val="00393490"/>
    <w:rsid w:val="0039605C"/>
    <w:rsid w:val="00397946"/>
    <w:rsid w:val="003A0CD7"/>
    <w:rsid w:val="003A199F"/>
    <w:rsid w:val="003A1B71"/>
    <w:rsid w:val="003A394F"/>
    <w:rsid w:val="003A3C06"/>
    <w:rsid w:val="003A6EB1"/>
    <w:rsid w:val="003A710B"/>
    <w:rsid w:val="003B065B"/>
    <w:rsid w:val="003B1F8D"/>
    <w:rsid w:val="003B3084"/>
    <w:rsid w:val="003B3C7C"/>
    <w:rsid w:val="003B4895"/>
    <w:rsid w:val="003C266B"/>
    <w:rsid w:val="003C435F"/>
    <w:rsid w:val="003C4801"/>
    <w:rsid w:val="003C5D1B"/>
    <w:rsid w:val="003C67CE"/>
    <w:rsid w:val="003D0F72"/>
    <w:rsid w:val="003D2489"/>
    <w:rsid w:val="003D55A5"/>
    <w:rsid w:val="003D6164"/>
    <w:rsid w:val="003D7D72"/>
    <w:rsid w:val="003E38B0"/>
    <w:rsid w:val="003E4D87"/>
    <w:rsid w:val="003F1781"/>
    <w:rsid w:val="003F1936"/>
    <w:rsid w:val="003F3799"/>
    <w:rsid w:val="003F4474"/>
    <w:rsid w:val="003F71F2"/>
    <w:rsid w:val="00402A52"/>
    <w:rsid w:val="004060E6"/>
    <w:rsid w:val="00413A8C"/>
    <w:rsid w:val="00413BCC"/>
    <w:rsid w:val="00416762"/>
    <w:rsid w:val="00421351"/>
    <w:rsid w:val="00424962"/>
    <w:rsid w:val="00426AE7"/>
    <w:rsid w:val="00427EEC"/>
    <w:rsid w:val="00433C07"/>
    <w:rsid w:val="00434241"/>
    <w:rsid w:val="004345AB"/>
    <w:rsid w:val="004360D5"/>
    <w:rsid w:val="0043628B"/>
    <w:rsid w:val="00440169"/>
    <w:rsid w:val="0044284D"/>
    <w:rsid w:val="00442EFA"/>
    <w:rsid w:val="0044399B"/>
    <w:rsid w:val="00443E6F"/>
    <w:rsid w:val="004449ED"/>
    <w:rsid w:val="00445265"/>
    <w:rsid w:val="004453D6"/>
    <w:rsid w:val="0045375F"/>
    <w:rsid w:val="004559CE"/>
    <w:rsid w:val="00456233"/>
    <w:rsid w:val="004563F0"/>
    <w:rsid w:val="004569BB"/>
    <w:rsid w:val="0046252E"/>
    <w:rsid w:val="004626B6"/>
    <w:rsid w:val="004642DD"/>
    <w:rsid w:val="00465436"/>
    <w:rsid w:val="00471A5D"/>
    <w:rsid w:val="00472AB4"/>
    <w:rsid w:val="00472C77"/>
    <w:rsid w:val="004749A4"/>
    <w:rsid w:val="00475B7B"/>
    <w:rsid w:val="00475F4D"/>
    <w:rsid w:val="004801E2"/>
    <w:rsid w:val="00482AD1"/>
    <w:rsid w:val="00483049"/>
    <w:rsid w:val="004866DC"/>
    <w:rsid w:val="00492FCB"/>
    <w:rsid w:val="004938D1"/>
    <w:rsid w:val="004951A8"/>
    <w:rsid w:val="004952E4"/>
    <w:rsid w:val="0049622E"/>
    <w:rsid w:val="00496994"/>
    <w:rsid w:val="004978FB"/>
    <w:rsid w:val="00497CC8"/>
    <w:rsid w:val="004A077D"/>
    <w:rsid w:val="004A410D"/>
    <w:rsid w:val="004A7BC2"/>
    <w:rsid w:val="004A7C3F"/>
    <w:rsid w:val="004B2C77"/>
    <w:rsid w:val="004C06D8"/>
    <w:rsid w:val="004C15A7"/>
    <w:rsid w:val="004C2A00"/>
    <w:rsid w:val="004C3E43"/>
    <w:rsid w:val="004C753D"/>
    <w:rsid w:val="004D01CC"/>
    <w:rsid w:val="004D104F"/>
    <w:rsid w:val="004D17E0"/>
    <w:rsid w:val="004D36EE"/>
    <w:rsid w:val="004D5494"/>
    <w:rsid w:val="004E089F"/>
    <w:rsid w:val="004E5AC0"/>
    <w:rsid w:val="004F1164"/>
    <w:rsid w:val="004F1D29"/>
    <w:rsid w:val="004F3780"/>
    <w:rsid w:val="004F4109"/>
    <w:rsid w:val="004F6F05"/>
    <w:rsid w:val="004F75BB"/>
    <w:rsid w:val="005058AB"/>
    <w:rsid w:val="00506A7A"/>
    <w:rsid w:val="0051094C"/>
    <w:rsid w:val="0051148A"/>
    <w:rsid w:val="0051164C"/>
    <w:rsid w:val="00513C27"/>
    <w:rsid w:val="00515A7E"/>
    <w:rsid w:val="00516785"/>
    <w:rsid w:val="00517DB4"/>
    <w:rsid w:val="005211BB"/>
    <w:rsid w:val="0052234B"/>
    <w:rsid w:val="0052294D"/>
    <w:rsid w:val="0052419D"/>
    <w:rsid w:val="005271F8"/>
    <w:rsid w:val="005301F8"/>
    <w:rsid w:val="005312FC"/>
    <w:rsid w:val="0053338B"/>
    <w:rsid w:val="00533D61"/>
    <w:rsid w:val="00534013"/>
    <w:rsid w:val="00534068"/>
    <w:rsid w:val="0053603D"/>
    <w:rsid w:val="005374FC"/>
    <w:rsid w:val="00540CF4"/>
    <w:rsid w:val="005416E1"/>
    <w:rsid w:val="005421F8"/>
    <w:rsid w:val="00553B34"/>
    <w:rsid w:val="00554655"/>
    <w:rsid w:val="00554D51"/>
    <w:rsid w:val="00555D14"/>
    <w:rsid w:val="00556BAA"/>
    <w:rsid w:val="005609A9"/>
    <w:rsid w:val="005614BB"/>
    <w:rsid w:val="005644B4"/>
    <w:rsid w:val="00565E51"/>
    <w:rsid w:val="005670E8"/>
    <w:rsid w:val="00567952"/>
    <w:rsid w:val="005700CA"/>
    <w:rsid w:val="00572506"/>
    <w:rsid w:val="00575DFD"/>
    <w:rsid w:val="0057696C"/>
    <w:rsid w:val="00583B3F"/>
    <w:rsid w:val="005868DE"/>
    <w:rsid w:val="00587E80"/>
    <w:rsid w:val="00590730"/>
    <w:rsid w:val="00591590"/>
    <w:rsid w:val="0059230F"/>
    <w:rsid w:val="00595203"/>
    <w:rsid w:val="005958C6"/>
    <w:rsid w:val="005977FE"/>
    <w:rsid w:val="00597FE6"/>
    <w:rsid w:val="005A3EDD"/>
    <w:rsid w:val="005A57CF"/>
    <w:rsid w:val="005A6687"/>
    <w:rsid w:val="005A777E"/>
    <w:rsid w:val="005B0111"/>
    <w:rsid w:val="005B12BF"/>
    <w:rsid w:val="005B2B14"/>
    <w:rsid w:val="005B41C1"/>
    <w:rsid w:val="005C1ADF"/>
    <w:rsid w:val="005C5180"/>
    <w:rsid w:val="005C63FA"/>
    <w:rsid w:val="005C6B06"/>
    <w:rsid w:val="005D357A"/>
    <w:rsid w:val="005D456B"/>
    <w:rsid w:val="005D76E2"/>
    <w:rsid w:val="005E366D"/>
    <w:rsid w:val="005F17EA"/>
    <w:rsid w:val="005F1A05"/>
    <w:rsid w:val="005F2A9B"/>
    <w:rsid w:val="005F39F0"/>
    <w:rsid w:val="005F4EDF"/>
    <w:rsid w:val="00600200"/>
    <w:rsid w:val="006016A6"/>
    <w:rsid w:val="0060595B"/>
    <w:rsid w:val="00605AFD"/>
    <w:rsid w:val="00605EE1"/>
    <w:rsid w:val="00606F65"/>
    <w:rsid w:val="00607C7C"/>
    <w:rsid w:val="006123D4"/>
    <w:rsid w:val="00612792"/>
    <w:rsid w:val="006149FA"/>
    <w:rsid w:val="00616164"/>
    <w:rsid w:val="00616FE6"/>
    <w:rsid w:val="00623EE5"/>
    <w:rsid w:val="00624CED"/>
    <w:rsid w:val="00625598"/>
    <w:rsid w:val="00625603"/>
    <w:rsid w:val="00625E8F"/>
    <w:rsid w:val="00626464"/>
    <w:rsid w:val="006264FD"/>
    <w:rsid w:val="00633C1C"/>
    <w:rsid w:val="006360B0"/>
    <w:rsid w:val="00637BAB"/>
    <w:rsid w:val="00637C14"/>
    <w:rsid w:val="00641AF1"/>
    <w:rsid w:val="00642FBC"/>
    <w:rsid w:val="00645D3C"/>
    <w:rsid w:val="0064607E"/>
    <w:rsid w:val="006513DE"/>
    <w:rsid w:val="00654DED"/>
    <w:rsid w:val="00656356"/>
    <w:rsid w:val="0066156B"/>
    <w:rsid w:val="0066593A"/>
    <w:rsid w:val="00667F04"/>
    <w:rsid w:val="00675172"/>
    <w:rsid w:val="00675396"/>
    <w:rsid w:val="006755BF"/>
    <w:rsid w:val="006761FC"/>
    <w:rsid w:val="006828D2"/>
    <w:rsid w:val="006830B6"/>
    <w:rsid w:val="00685235"/>
    <w:rsid w:val="006854AC"/>
    <w:rsid w:val="00686165"/>
    <w:rsid w:val="00691CB5"/>
    <w:rsid w:val="0069617F"/>
    <w:rsid w:val="006A1D8E"/>
    <w:rsid w:val="006A1F67"/>
    <w:rsid w:val="006A5CC0"/>
    <w:rsid w:val="006A6EE1"/>
    <w:rsid w:val="006B0338"/>
    <w:rsid w:val="006B5E7C"/>
    <w:rsid w:val="006B7C13"/>
    <w:rsid w:val="006C42A8"/>
    <w:rsid w:val="006C4FF1"/>
    <w:rsid w:val="006C5DA4"/>
    <w:rsid w:val="006C6110"/>
    <w:rsid w:val="006C645D"/>
    <w:rsid w:val="006D16D0"/>
    <w:rsid w:val="006D42C7"/>
    <w:rsid w:val="006D4C8C"/>
    <w:rsid w:val="006D5697"/>
    <w:rsid w:val="006D606D"/>
    <w:rsid w:val="006D73B4"/>
    <w:rsid w:val="006E0E3C"/>
    <w:rsid w:val="006E2FB3"/>
    <w:rsid w:val="006E3AB3"/>
    <w:rsid w:val="006E3CC3"/>
    <w:rsid w:val="006E528B"/>
    <w:rsid w:val="006E781C"/>
    <w:rsid w:val="006F3DD6"/>
    <w:rsid w:val="006F62C3"/>
    <w:rsid w:val="006F656C"/>
    <w:rsid w:val="0070049C"/>
    <w:rsid w:val="00700B4A"/>
    <w:rsid w:val="00701CFD"/>
    <w:rsid w:val="007048CC"/>
    <w:rsid w:val="00706C4C"/>
    <w:rsid w:val="00707014"/>
    <w:rsid w:val="00710E13"/>
    <w:rsid w:val="007127B0"/>
    <w:rsid w:val="00713CEB"/>
    <w:rsid w:val="00714DC2"/>
    <w:rsid w:val="00717DAC"/>
    <w:rsid w:val="00720329"/>
    <w:rsid w:val="007208E4"/>
    <w:rsid w:val="00720BF2"/>
    <w:rsid w:val="00720F8C"/>
    <w:rsid w:val="007240F9"/>
    <w:rsid w:val="00725EB0"/>
    <w:rsid w:val="0072764E"/>
    <w:rsid w:val="00733938"/>
    <w:rsid w:val="00733F00"/>
    <w:rsid w:val="00735EBC"/>
    <w:rsid w:val="00737B4A"/>
    <w:rsid w:val="00741E00"/>
    <w:rsid w:val="007453C4"/>
    <w:rsid w:val="00745A87"/>
    <w:rsid w:val="00746881"/>
    <w:rsid w:val="00752304"/>
    <w:rsid w:val="00753E92"/>
    <w:rsid w:val="00753EDF"/>
    <w:rsid w:val="0075459E"/>
    <w:rsid w:val="0075626B"/>
    <w:rsid w:val="00757816"/>
    <w:rsid w:val="00757976"/>
    <w:rsid w:val="00760F73"/>
    <w:rsid w:val="007620AB"/>
    <w:rsid w:val="00764764"/>
    <w:rsid w:val="00764DA2"/>
    <w:rsid w:val="00765605"/>
    <w:rsid w:val="00767C78"/>
    <w:rsid w:val="00772A9A"/>
    <w:rsid w:val="007739DC"/>
    <w:rsid w:val="00774B23"/>
    <w:rsid w:val="00775702"/>
    <w:rsid w:val="00783B1F"/>
    <w:rsid w:val="0078509F"/>
    <w:rsid w:val="00794499"/>
    <w:rsid w:val="007A4465"/>
    <w:rsid w:val="007A4775"/>
    <w:rsid w:val="007B01A8"/>
    <w:rsid w:val="007B3228"/>
    <w:rsid w:val="007B4C13"/>
    <w:rsid w:val="007B6DDB"/>
    <w:rsid w:val="007B7096"/>
    <w:rsid w:val="007C0845"/>
    <w:rsid w:val="007C0B8B"/>
    <w:rsid w:val="007C2DA7"/>
    <w:rsid w:val="007C316C"/>
    <w:rsid w:val="007C4830"/>
    <w:rsid w:val="007D08CB"/>
    <w:rsid w:val="007D335F"/>
    <w:rsid w:val="007D4442"/>
    <w:rsid w:val="007D48B8"/>
    <w:rsid w:val="007D5049"/>
    <w:rsid w:val="007D5AA6"/>
    <w:rsid w:val="007E2AB9"/>
    <w:rsid w:val="007E56E6"/>
    <w:rsid w:val="007E5845"/>
    <w:rsid w:val="007E6456"/>
    <w:rsid w:val="007F11B3"/>
    <w:rsid w:val="007F3A99"/>
    <w:rsid w:val="00801EBA"/>
    <w:rsid w:val="008023D6"/>
    <w:rsid w:val="00802B54"/>
    <w:rsid w:val="008043EA"/>
    <w:rsid w:val="0080511E"/>
    <w:rsid w:val="00806279"/>
    <w:rsid w:val="00810178"/>
    <w:rsid w:val="0081446E"/>
    <w:rsid w:val="008155D0"/>
    <w:rsid w:val="00823A66"/>
    <w:rsid w:val="008258CE"/>
    <w:rsid w:val="00825B39"/>
    <w:rsid w:val="0082725E"/>
    <w:rsid w:val="00834243"/>
    <w:rsid w:val="008361B4"/>
    <w:rsid w:val="00837BEF"/>
    <w:rsid w:val="00841120"/>
    <w:rsid w:val="00844076"/>
    <w:rsid w:val="00847B1B"/>
    <w:rsid w:val="0085196F"/>
    <w:rsid w:val="008534E0"/>
    <w:rsid w:val="00855086"/>
    <w:rsid w:val="00855618"/>
    <w:rsid w:val="00857969"/>
    <w:rsid w:val="00860329"/>
    <w:rsid w:val="00860FE7"/>
    <w:rsid w:val="00861BC3"/>
    <w:rsid w:val="00864F4E"/>
    <w:rsid w:val="008730C0"/>
    <w:rsid w:val="00873C3F"/>
    <w:rsid w:val="00874805"/>
    <w:rsid w:val="008805B3"/>
    <w:rsid w:val="00884BD3"/>
    <w:rsid w:val="00885138"/>
    <w:rsid w:val="00887AF2"/>
    <w:rsid w:val="00887F31"/>
    <w:rsid w:val="008972E1"/>
    <w:rsid w:val="008A0253"/>
    <w:rsid w:val="008A04FF"/>
    <w:rsid w:val="008A1187"/>
    <w:rsid w:val="008A1370"/>
    <w:rsid w:val="008A71BF"/>
    <w:rsid w:val="008B0741"/>
    <w:rsid w:val="008B1499"/>
    <w:rsid w:val="008B23F0"/>
    <w:rsid w:val="008B56EA"/>
    <w:rsid w:val="008B7E75"/>
    <w:rsid w:val="008C15AE"/>
    <w:rsid w:val="008C1660"/>
    <w:rsid w:val="008C4DE4"/>
    <w:rsid w:val="008D1705"/>
    <w:rsid w:val="008D339F"/>
    <w:rsid w:val="008D595C"/>
    <w:rsid w:val="008D60B7"/>
    <w:rsid w:val="008D7F38"/>
    <w:rsid w:val="008E6292"/>
    <w:rsid w:val="008E7C6B"/>
    <w:rsid w:val="008E7D6E"/>
    <w:rsid w:val="008F044C"/>
    <w:rsid w:val="008F08DB"/>
    <w:rsid w:val="008F2E0C"/>
    <w:rsid w:val="008F543A"/>
    <w:rsid w:val="008F5F84"/>
    <w:rsid w:val="008F6AC8"/>
    <w:rsid w:val="009059C3"/>
    <w:rsid w:val="00910C6F"/>
    <w:rsid w:val="00916303"/>
    <w:rsid w:val="009164CD"/>
    <w:rsid w:val="00921F1E"/>
    <w:rsid w:val="00923556"/>
    <w:rsid w:val="009245B4"/>
    <w:rsid w:val="00925AA5"/>
    <w:rsid w:val="009300E0"/>
    <w:rsid w:val="0093071D"/>
    <w:rsid w:val="009312E8"/>
    <w:rsid w:val="009319CE"/>
    <w:rsid w:val="00931DF5"/>
    <w:rsid w:val="0093557A"/>
    <w:rsid w:val="00936427"/>
    <w:rsid w:val="00937581"/>
    <w:rsid w:val="00937E57"/>
    <w:rsid w:val="0094019D"/>
    <w:rsid w:val="00941942"/>
    <w:rsid w:val="00942C11"/>
    <w:rsid w:val="00945075"/>
    <w:rsid w:val="00950C8A"/>
    <w:rsid w:val="00950FC9"/>
    <w:rsid w:val="00951A64"/>
    <w:rsid w:val="009524D2"/>
    <w:rsid w:val="00954AC4"/>
    <w:rsid w:val="00956939"/>
    <w:rsid w:val="00956DF0"/>
    <w:rsid w:val="0096192D"/>
    <w:rsid w:val="00961D48"/>
    <w:rsid w:val="0096317F"/>
    <w:rsid w:val="00963E8D"/>
    <w:rsid w:val="00970263"/>
    <w:rsid w:val="00970AD6"/>
    <w:rsid w:val="009732EC"/>
    <w:rsid w:val="00974078"/>
    <w:rsid w:val="00975FE5"/>
    <w:rsid w:val="0097651E"/>
    <w:rsid w:val="00981584"/>
    <w:rsid w:val="009821CE"/>
    <w:rsid w:val="00983BA7"/>
    <w:rsid w:val="009852CF"/>
    <w:rsid w:val="009871AE"/>
    <w:rsid w:val="009905ED"/>
    <w:rsid w:val="00990D01"/>
    <w:rsid w:val="00991BFC"/>
    <w:rsid w:val="00991D8A"/>
    <w:rsid w:val="009927E5"/>
    <w:rsid w:val="0099284E"/>
    <w:rsid w:val="00993F39"/>
    <w:rsid w:val="0099496B"/>
    <w:rsid w:val="009959A9"/>
    <w:rsid w:val="00997072"/>
    <w:rsid w:val="00997D10"/>
    <w:rsid w:val="009A4610"/>
    <w:rsid w:val="009A4BD3"/>
    <w:rsid w:val="009A658F"/>
    <w:rsid w:val="009A668A"/>
    <w:rsid w:val="009A74D6"/>
    <w:rsid w:val="009B1A65"/>
    <w:rsid w:val="009B439B"/>
    <w:rsid w:val="009C05CB"/>
    <w:rsid w:val="009C4AC8"/>
    <w:rsid w:val="009C56DC"/>
    <w:rsid w:val="009C5858"/>
    <w:rsid w:val="009C5872"/>
    <w:rsid w:val="009C64A0"/>
    <w:rsid w:val="009C7B2F"/>
    <w:rsid w:val="009D2E56"/>
    <w:rsid w:val="009E2092"/>
    <w:rsid w:val="009E4761"/>
    <w:rsid w:val="009E66D4"/>
    <w:rsid w:val="009F4D97"/>
    <w:rsid w:val="009F6015"/>
    <w:rsid w:val="00A01AB5"/>
    <w:rsid w:val="00A01C96"/>
    <w:rsid w:val="00A03D10"/>
    <w:rsid w:val="00A149F9"/>
    <w:rsid w:val="00A166F7"/>
    <w:rsid w:val="00A16E03"/>
    <w:rsid w:val="00A17F9E"/>
    <w:rsid w:val="00A2274C"/>
    <w:rsid w:val="00A227CA"/>
    <w:rsid w:val="00A24230"/>
    <w:rsid w:val="00A260CD"/>
    <w:rsid w:val="00A30F6C"/>
    <w:rsid w:val="00A31AA7"/>
    <w:rsid w:val="00A3749B"/>
    <w:rsid w:val="00A401EA"/>
    <w:rsid w:val="00A42513"/>
    <w:rsid w:val="00A4344C"/>
    <w:rsid w:val="00A470B5"/>
    <w:rsid w:val="00A55992"/>
    <w:rsid w:val="00A61019"/>
    <w:rsid w:val="00A61294"/>
    <w:rsid w:val="00A62E42"/>
    <w:rsid w:val="00A63E79"/>
    <w:rsid w:val="00A64332"/>
    <w:rsid w:val="00A64A71"/>
    <w:rsid w:val="00A652B8"/>
    <w:rsid w:val="00A6568C"/>
    <w:rsid w:val="00A6661E"/>
    <w:rsid w:val="00A67630"/>
    <w:rsid w:val="00A7591E"/>
    <w:rsid w:val="00A75EB7"/>
    <w:rsid w:val="00A81D58"/>
    <w:rsid w:val="00A82349"/>
    <w:rsid w:val="00A827A2"/>
    <w:rsid w:val="00A82A60"/>
    <w:rsid w:val="00A86B50"/>
    <w:rsid w:val="00A932EC"/>
    <w:rsid w:val="00A9349E"/>
    <w:rsid w:val="00A95FBE"/>
    <w:rsid w:val="00A979F6"/>
    <w:rsid w:val="00AA1128"/>
    <w:rsid w:val="00AA126A"/>
    <w:rsid w:val="00AA49BA"/>
    <w:rsid w:val="00AA717F"/>
    <w:rsid w:val="00AA78B4"/>
    <w:rsid w:val="00AB0655"/>
    <w:rsid w:val="00AB587D"/>
    <w:rsid w:val="00AB6791"/>
    <w:rsid w:val="00AB7858"/>
    <w:rsid w:val="00AC25F2"/>
    <w:rsid w:val="00AC33EB"/>
    <w:rsid w:val="00AC3C95"/>
    <w:rsid w:val="00AC72D3"/>
    <w:rsid w:val="00AD0BDD"/>
    <w:rsid w:val="00AD0F2E"/>
    <w:rsid w:val="00AD1C34"/>
    <w:rsid w:val="00AD1FB3"/>
    <w:rsid w:val="00AD52B6"/>
    <w:rsid w:val="00AD5F70"/>
    <w:rsid w:val="00AD5FCE"/>
    <w:rsid w:val="00AD7486"/>
    <w:rsid w:val="00AE1DD0"/>
    <w:rsid w:val="00AE2861"/>
    <w:rsid w:val="00AE2F90"/>
    <w:rsid w:val="00AE4DBC"/>
    <w:rsid w:val="00AE5A3B"/>
    <w:rsid w:val="00AE6015"/>
    <w:rsid w:val="00AE7D86"/>
    <w:rsid w:val="00AE7E12"/>
    <w:rsid w:val="00AF0AC0"/>
    <w:rsid w:val="00AF4431"/>
    <w:rsid w:val="00AF4A8D"/>
    <w:rsid w:val="00AF5F04"/>
    <w:rsid w:val="00AF7135"/>
    <w:rsid w:val="00AF79E0"/>
    <w:rsid w:val="00B0263E"/>
    <w:rsid w:val="00B0335B"/>
    <w:rsid w:val="00B038F2"/>
    <w:rsid w:val="00B06C4E"/>
    <w:rsid w:val="00B06D77"/>
    <w:rsid w:val="00B119FA"/>
    <w:rsid w:val="00B13743"/>
    <w:rsid w:val="00B13BC8"/>
    <w:rsid w:val="00B15A8D"/>
    <w:rsid w:val="00B17614"/>
    <w:rsid w:val="00B20397"/>
    <w:rsid w:val="00B24E49"/>
    <w:rsid w:val="00B256CD"/>
    <w:rsid w:val="00B3149D"/>
    <w:rsid w:val="00B31752"/>
    <w:rsid w:val="00B3353B"/>
    <w:rsid w:val="00B35548"/>
    <w:rsid w:val="00B36DC0"/>
    <w:rsid w:val="00B41A08"/>
    <w:rsid w:val="00B42CAD"/>
    <w:rsid w:val="00B43E56"/>
    <w:rsid w:val="00B460D8"/>
    <w:rsid w:val="00B47692"/>
    <w:rsid w:val="00B50B6F"/>
    <w:rsid w:val="00B5307A"/>
    <w:rsid w:val="00B53BC5"/>
    <w:rsid w:val="00B549FE"/>
    <w:rsid w:val="00B56721"/>
    <w:rsid w:val="00B57425"/>
    <w:rsid w:val="00B62C02"/>
    <w:rsid w:val="00B64788"/>
    <w:rsid w:val="00B64F2D"/>
    <w:rsid w:val="00B66567"/>
    <w:rsid w:val="00B66896"/>
    <w:rsid w:val="00B709FD"/>
    <w:rsid w:val="00B70ECA"/>
    <w:rsid w:val="00B7364F"/>
    <w:rsid w:val="00B75B49"/>
    <w:rsid w:val="00B770FF"/>
    <w:rsid w:val="00B82EF9"/>
    <w:rsid w:val="00B85F47"/>
    <w:rsid w:val="00B87927"/>
    <w:rsid w:val="00B92619"/>
    <w:rsid w:val="00B92BD0"/>
    <w:rsid w:val="00B96752"/>
    <w:rsid w:val="00BA02AA"/>
    <w:rsid w:val="00BA1737"/>
    <w:rsid w:val="00BA5947"/>
    <w:rsid w:val="00BA5C86"/>
    <w:rsid w:val="00BB2104"/>
    <w:rsid w:val="00BB2A53"/>
    <w:rsid w:val="00BB4067"/>
    <w:rsid w:val="00BB6D02"/>
    <w:rsid w:val="00BC3FE6"/>
    <w:rsid w:val="00BC414D"/>
    <w:rsid w:val="00BC4936"/>
    <w:rsid w:val="00BC5420"/>
    <w:rsid w:val="00BC7480"/>
    <w:rsid w:val="00BD2CB0"/>
    <w:rsid w:val="00BD36B3"/>
    <w:rsid w:val="00BD51B2"/>
    <w:rsid w:val="00BD5650"/>
    <w:rsid w:val="00BD5A67"/>
    <w:rsid w:val="00BD63BD"/>
    <w:rsid w:val="00BE1A38"/>
    <w:rsid w:val="00BE32E1"/>
    <w:rsid w:val="00BF0CA7"/>
    <w:rsid w:val="00BF21D1"/>
    <w:rsid w:val="00BF389C"/>
    <w:rsid w:val="00BF3E0F"/>
    <w:rsid w:val="00BF623A"/>
    <w:rsid w:val="00C012CB"/>
    <w:rsid w:val="00C03024"/>
    <w:rsid w:val="00C03783"/>
    <w:rsid w:val="00C03DEE"/>
    <w:rsid w:val="00C03E7C"/>
    <w:rsid w:val="00C04694"/>
    <w:rsid w:val="00C055B3"/>
    <w:rsid w:val="00C06475"/>
    <w:rsid w:val="00C07C1A"/>
    <w:rsid w:val="00C14634"/>
    <w:rsid w:val="00C14C60"/>
    <w:rsid w:val="00C2233F"/>
    <w:rsid w:val="00C2416D"/>
    <w:rsid w:val="00C26404"/>
    <w:rsid w:val="00C30297"/>
    <w:rsid w:val="00C3539F"/>
    <w:rsid w:val="00C3552C"/>
    <w:rsid w:val="00C40988"/>
    <w:rsid w:val="00C45FAA"/>
    <w:rsid w:val="00C518BB"/>
    <w:rsid w:val="00C520ED"/>
    <w:rsid w:val="00C52890"/>
    <w:rsid w:val="00C54E4E"/>
    <w:rsid w:val="00C55CFB"/>
    <w:rsid w:val="00C60269"/>
    <w:rsid w:val="00C648FB"/>
    <w:rsid w:val="00C663AB"/>
    <w:rsid w:val="00C70987"/>
    <w:rsid w:val="00C71EE2"/>
    <w:rsid w:val="00C72687"/>
    <w:rsid w:val="00C758F7"/>
    <w:rsid w:val="00C75BB3"/>
    <w:rsid w:val="00C75E74"/>
    <w:rsid w:val="00C76FFA"/>
    <w:rsid w:val="00C77100"/>
    <w:rsid w:val="00C77A40"/>
    <w:rsid w:val="00C803D1"/>
    <w:rsid w:val="00C80467"/>
    <w:rsid w:val="00C8345C"/>
    <w:rsid w:val="00C8396A"/>
    <w:rsid w:val="00C85314"/>
    <w:rsid w:val="00C91E56"/>
    <w:rsid w:val="00CA0BA9"/>
    <w:rsid w:val="00CA29A7"/>
    <w:rsid w:val="00CA46D6"/>
    <w:rsid w:val="00CA4BC0"/>
    <w:rsid w:val="00CA551E"/>
    <w:rsid w:val="00CA5F1F"/>
    <w:rsid w:val="00CB029B"/>
    <w:rsid w:val="00CB59CF"/>
    <w:rsid w:val="00CB7579"/>
    <w:rsid w:val="00CB7A6E"/>
    <w:rsid w:val="00CC1423"/>
    <w:rsid w:val="00CC559D"/>
    <w:rsid w:val="00CC60D3"/>
    <w:rsid w:val="00CC62F0"/>
    <w:rsid w:val="00CD0226"/>
    <w:rsid w:val="00CD654B"/>
    <w:rsid w:val="00CD6BD4"/>
    <w:rsid w:val="00CE0EAC"/>
    <w:rsid w:val="00CE223E"/>
    <w:rsid w:val="00CE43D7"/>
    <w:rsid w:val="00CE5B0C"/>
    <w:rsid w:val="00CF0911"/>
    <w:rsid w:val="00CF1183"/>
    <w:rsid w:val="00CF4D22"/>
    <w:rsid w:val="00CF54D9"/>
    <w:rsid w:val="00CF69BA"/>
    <w:rsid w:val="00CF6AF0"/>
    <w:rsid w:val="00CF6DC8"/>
    <w:rsid w:val="00D042C4"/>
    <w:rsid w:val="00D0797D"/>
    <w:rsid w:val="00D11BB2"/>
    <w:rsid w:val="00D12FE9"/>
    <w:rsid w:val="00D145F5"/>
    <w:rsid w:val="00D1675B"/>
    <w:rsid w:val="00D22350"/>
    <w:rsid w:val="00D308BA"/>
    <w:rsid w:val="00D32FBF"/>
    <w:rsid w:val="00D334FA"/>
    <w:rsid w:val="00D355F0"/>
    <w:rsid w:val="00D35AFD"/>
    <w:rsid w:val="00D4096A"/>
    <w:rsid w:val="00D416A2"/>
    <w:rsid w:val="00D45AF8"/>
    <w:rsid w:val="00D462F3"/>
    <w:rsid w:val="00D46425"/>
    <w:rsid w:val="00D46791"/>
    <w:rsid w:val="00D515D4"/>
    <w:rsid w:val="00D51C05"/>
    <w:rsid w:val="00D5347C"/>
    <w:rsid w:val="00D53695"/>
    <w:rsid w:val="00D53EED"/>
    <w:rsid w:val="00D564CE"/>
    <w:rsid w:val="00D61A2E"/>
    <w:rsid w:val="00D61B82"/>
    <w:rsid w:val="00D743AE"/>
    <w:rsid w:val="00D754C1"/>
    <w:rsid w:val="00D75AB0"/>
    <w:rsid w:val="00D764AE"/>
    <w:rsid w:val="00D819B4"/>
    <w:rsid w:val="00D81C81"/>
    <w:rsid w:val="00D83BD9"/>
    <w:rsid w:val="00D84901"/>
    <w:rsid w:val="00D854A0"/>
    <w:rsid w:val="00D872D6"/>
    <w:rsid w:val="00D903AD"/>
    <w:rsid w:val="00D905E2"/>
    <w:rsid w:val="00D91F8F"/>
    <w:rsid w:val="00D93265"/>
    <w:rsid w:val="00D95B99"/>
    <w:rsid w:val="00D95FB9"/>
    <w:rsid w:val="00D96ED3"/>
    <w:rsid w:val="00DA3270"/>
    <w:rsid w:val="00DA3927"/>
    <w:rsid w:val="00DA528B"/>
    <w:rsid w:val="00DA5AB3"/>
    <w:rsid w:val="00DA686B"/>
    <w:rsid w:val="00DA6DC1"/>
    <w:rsid w:val="00DB11D2"/>
    <w:rsid w:val="00DB2653"/>
    <w:rsid w:val="00DB45D7"/>
    <w:rsid w:val="00DB5E48"/>
    <w:rsid w:val="00DB7F09"/>
    <w:rsid w:val="00DC00E8"/>
    <w:rsid w:val="00DC08AB"/>
    <w:rsid w:val="00DC5EE0"/>
    <w:rsid w:val="00DD0640"/>
    <w:rsid w:val="00DD06F4"/>
    <w:rsid w:val="00DD5C46"/>
    <w:rsid w:val="00DD662F"/>
    <w:rsid w:val="00DF157D"/>
    <w:rsid w:val="00DF1745"/>
    <w:rsid w:val="00DF27E0"/>
    <w:rsid w:val="00DF4981"/>
    <w:rsid w:val="00E05E6E"/>
    <w:rsid w:val="00E069FC"/>
    <w:rsid w:val="00E10D39"/>
    <w:rsid w:val="00E1136B"/>
    <w:rsid w:val="00E13C11"/>
    <w:rsid w:val="00E13E90"/>
    <w:rsid w:val="00E161CC"/>
    <w:rsid w:val="00E173D2"/>
    <w:rsid w:val="00E17586"/>
    <w:rsid w:val="00E2162F"/>
    <w:rsid w:val="00E22D51"/>
    <w:rsid w:val="00E25C72"/>
    <w:rsid w:val="00E27E9E"/>
    <w:rsid w:val="00E3153D"/>
    <w:rsid w:val="00E326BD"/>
    <w:rsid w:val="00E327E0"/>
    <w:rsid w:val="00E33414"/>
    <w:rsid w:val="00E34826"/>
    <w:rsid w:val="00E35FA1"/>
    <w:rsid w:val="00E37840"/>
    <w:rsid w:val="00E40F9F"/>
    <w:rsid w:val="00E44BD7"/>
    <w:rsid w:val="00E50E7C"/>
    <w:rsid w:val="00E51545"/>
    <w:rsid w:val="00E522B6"/>
    <w:rsid w:val="00E55326"/>
    <w:rsid w:val="00E55708"/>
    <w:rsid w:val="00E55AD2"/>
    <w:rsid w:val="00E5712E"/>
    <w:rsid w:val="00E60C1A"/>
    <w:rsid w:val="00E60DD5"/>
    <w:rsid w:val="00E6138F"/>
    <w:rsid w:val="00E61D5B"/>
    <w:rsid w:val="00E62599"/>
    <w:rsid w:val="00E64F9A"/>
    <w:rsid w:val="00E6543D"/>
    <w:rsid w:val="00E711D7"/>
    <w:rsid w:val="00E723B7"/>
    <w:rsid w:val="00E7435F"/>
    <w:rsid w:val="00E750D6"/>
    <w:rsid w:val="00E77809"/>
    <w:rsid w:val="00E81A40"/>
    <w:rsid w:val="00E87DC0"/>
    <w:rsid w:val="00E902B0"/>
    <w:rsid w:val="00E902E8"/>
    <w:rsid w:val="00E90463"/>
    <w:rsid w:val="00EA02FD"/>
    <w:rsid w:val="00EA0C9E"/>
    <w:rsid w:val="00EA2A7A"/>
    <w:rsid w:val="00EA511A"/>
    <w:rsid w:val="00EB030F"/>
    <w:rsid w:val="00EB1203"/>
    <w:rsid w:val="00EB3845"/>
    <w:rsid w:val="00EB4B94"/>
    <w:rsid w:val="00EB4C6E"/>
    <w:rsid w:val="00EB529B"/>
    <w:rsid w:val="00EB6526"/>
    <w:rsid w:val="00EB6A24"/>
    <w:rsid w:val="00EB6E81"/>
    <w:rsid w:val="00EB7D26"/>
    <w:rsid w:val="00EC2A4D"/>
    <w:rsid w:val="00EC3009"/>
    <w:rsid w:val="00EC3615"/>
    <w:rsid w:val="00EC3F7C"/>
    <w:rsid w:val="00EC5F5D"/>
    <w:rsid w:val="00EC6B16"/>
    <w:rsid w:val="00ED0B8A"/>
    <w:rsid w:val="00ED14FB"/>
    <w:rsid w:val="00ED5D45"/>
    <w:rsid w:val="00EE323D"/>
    <w:rsid w:val="00EE3A1D"/>
    <w:rsid w:val="00EE4349"/>
    <w:rsid w:val="00EE43C2"/>
    <w:rsid w:val="00EE4EEE"/>
    <w:rsid w:val="00EE677F"/>
    <w:rsid w:val="00EF2FBF"/>
    <w:rsid w:val="00EF35D3"/>
    <w:rsid w:val="00EF3733"/>
    <w:rsid w:val="00EF4AA5"/>
    <w:rsid w:val="00EF6E39"/>
    <w:rsid w:val="00F0082D"/>
    <w:rsid w:val="00F019A9"/>
    <w:rsid w:val="00F05D37"/>
    <w:rsid w:val="00F07C90"/>
    <w:rsid w:val="00F100C2"/>
    <w:rsid w:val="00F20469"/>
    <w:rsid w:val="00F22955"/>
    <w:rsid w:val="00F2321B"/>
    <w:rsid w:val="00F2517C"/>
    <w:rsid w:val="00F251AF"/>
    <w:rsid w:val="00F268BA"/>
    <w:rsid w:val="00F347A4"/>
    <w:rsid w:val="00F351F1"/>
    <w:rsid w:val="00F358AA"/>
    <w:rsid w:val="00F40104"/>
    <w:rsid w:val="00F422D6"/>
    <w:rsid w:val="00F4253C"/>
    <w:rsid w:val="00F45006"/>
    <w:rsid w:val="00F457AB"/>
    <w:rsid w:val="00F4646F"/>
    <w:rsid w:val="00F512C5"/>
    <w:rsid w:val="00F526B7"/>
    <w:rsid w:val="00F534A2"/>
    <w:rsid w:val="00F56CD9"/>
    <w:rsid w:val="00F62840"/>
    <w:rsid w:val="00F62FD1"/>
    <w:rsid w:val="00F66B9F"/>
    <w:rsid w:val="00F705D2"/>
    <w:rsid w:val="00F71A0E"/>
    <w:rsid w:val="00F72D5B"/>
    <w:rsid w:val="00F7781B"/>
    <w:rsid w:val="00F81B88"/>
    <w:rsid w:val="00F87328"/>
    <w:rsid w:val="00F904B6"/>
    <w:rsid w:val="00F92279"/>
    <w:rsid w:val="00F970A3"/>
    <w:rsid w:val="00FA1BEC"/>
    <w:rsid w:val="00FA448B"/>
    <w:rsid w:val="00FA5D12"/>
    <w:rsid w:val="00FA5D5C"/>
    <w:rsid w:val="00FB108D"/>
    <w:rsid w:val="00FB47B0"/>
    <w:rsid w:val="00FB5ADD"/>
    <w:rsid w:val="00FB64AA"/>
    <w:rsid w:val="00FB721B"/>
    <w:rsid w:val="00FB74F3"/>
    <w:rsid w:val="00FC0D0C"/>
    <w:rsid w:val="00FC5578"/>
    <w:rsid w:val="00FC670B"/>
    <w:rsid w:val="00FC6ADA"/>
    <w:rsid w:val="00FD6B2B"/>
    <w:rsid w:val="00FE21F2"/>
    <w:rsid w:val="00FE41CD"/>
    <w:rsid w:val="00FE7004"/>
    <w:rsid w:val="00FF476F"/>
    <w:rsid w:val="00FF4F22"/>
    <w:rsid w:val="00FF59C3"/>
    <w:rsid w:val="00FF78D6"/>
    <w:rsid w:val="0899DD2F"/>
    <w:rsid w:val="08BA28C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A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35"/>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0B0F8C"/>
    <w:pPr>
      <w:numPr>
        <w:numId w:val="17"/>
      </w:numPr>
      <w:tabs>
        <w:tab w:val="left" w:pos="720"/>
      </w:tabs>
      <w:spacing w:after="0"/>
      <w:ind w:left="522" w:hanging="522"/>
    </w:pPr>
  </w:style>
  <w:style w:type="paragraph" w:customStyle="1" w:styleId="ChartandTableFootnoteAlpha">
    <w:name w:val="Chart and Table Footnote Alpha"/>
    <w:rsid w:val="008043EA"/>
    <w:pPr>
      <w:numPr>
        <w:numId w:val="14"/>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Bullet"/>
    <w:link w:val="DashChar"/>
    <w:qFormat/>
    <w:rsid w:val="000B0F8C"/>
    <w:pPr>
      <w:numPr>
        <w:ilvl w:val="1"/>
        <w:numId w:val="45"/>
      </w:numPr>
      <w:tabs>
        <w:tab w:val="clear" w:pos="720"/>
        <w:tab w:val="left" w:pos="1134"/>
      </w:tabs>
    </w:pPr>
  </w:style>
  <w:style w:type="paragraph" w:customStyle="1" w:styleId="DoubleDot">
    <w:name w:val="Double Dot"/>
    <w:basedOn w:val="Normal"/>
    <w:link w:val="DoubleDotChar"/>
    <w:qFormat/>
    <w:rsid w:val="008043EA"/>
    <w:pPr>
      <w:numPr>
        <w:ilvl w:val="2"/>
        <w:numId w:val="23"/>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6"/>
      </w:numPr>
      <w:spacing w:before="0"/>
    </w:pPr>
  </w:style>
  <w:style w:type="paragraph" w:customStyle="1" w:styleId="OneLevelNumberedParagraph">
    <w:name w:val="One Level Numbered Paragraph"/>
    <w:basedOn w:val="Normal"/>
    <w:rsid w:val="008043EA"/>
    <w:pPr>
      <w:numPr>
        <w:numId w:val="5"/>
      </w:numPr>
      <w:tabs>
        <w:tab w:val="clear" w:pos="284"/>
        <w:tab w:val="num" w:pos="360"/>
      </w:tabs>
      <w:spacing w:before="0"/>
    </w:pPr>
  </w:style>
  <w:style w:type="paragraph" w:customStyle="1" w:styleId="OutlineNumbered2">
    <w:name w:val="Outline Numbered 2"/>
    <w:basedOn w:val="Normal"/>
    <w:rsid w:val="008043EA"/>
    <w:pPr>
      <w:numPr>
        <w:ilvl w:val="1"/>
        <w:numId w:val="6"/>
      </w:numPr>
      <w:spacing w:before="0"/>
    </w:pPr>
  </w:style>
  <w:style w:type="paragraph" w:customStyle="1" w:styleId="OutlineNumbered3">
    <w:name w:val="Outline Numbered 3"/>
    <w:basedOn w:val="Normal"/>
    <w:rsid w:val="008043EA"/>
    <w:pPr>
      <w:numPr>
        <w:ilvl w:val="2"/>
        <w:numId w:val="6"/>
      </w:numPr>
      <w:spacing w:before="0"/>
    </w:pPr>
  </w:style>
  <w:style w:type="paragraph" w:customStyle="1" w:styleId="SingleParagraph">
    <w:name w:val="Single Paragraph"/>
    <w:basedOn w:val="Normal"/>
    <w:next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14"/>
      </w:numPr>
    </w:pPr>
  </w:style>
  <w:style w:type="paragraph" w:customStyle="1" w:styleId="Heading1Numbered">
    <w:name w:val="Heading 1 Numbered"/>
    <w:basedOn w:val="Heading1"/>
    <w:next w:val="Normal"/>
    <w:rsid w:val="008043EA"/>
    <w:pPr>
      <w:numPr>
        <w:numId w:val="8"/>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28"/>
      </w:numPr>
    </w:pPr>
  </w:style>
  <w:style w:type="paragraph" w:customStyle="1" w:styleId="Heading3Numbered">
    <w:name w:val="Heading 3 Numbered"/>
    <w:basedOn w:val="Heading3"/>
    <w:rsid w:val="008043EA"/>
    <w:pPr>
      <w:numPr>
        <w:ilvl w:val="2"/>
        <w:numId w:val="28"/>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0B0F8C"/>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0B0F8C"/>
    <w:rPr>
      <w:rFonts w:ascii="Calibri Light" w:eastAsia="Times New Roman" w:hAnsi="Calibri Light" w:cs="Times New Roman"/>
      <w:szCs w:val="20"/>
      <w:lang w:eastAsia="en-AU"/>
    </w:rPr>
  </w:style>
  <w:style w:type="paragraph" w:customStyle="1" w:styleId="Boxdash">
    <w:name w:val="Box dash"/>
    <w:basedOn w:val="Dash"/>
    <w:rsid w:val="008043EA"/>
    <w:pPr>
      <w:spacing w:before="6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character" w:customStyle="1" w:styleId="normaltextrun">
    <w:name w:val="normaltextrun"/>
    <w:basedOn w:val="DefaultParagraphFont"/>
    <w:rsid w:val="005058AB"/>
  </w:style>
  <w:style w:type="character" w:customStyle="1" w:styleId="eop">
    <w:name w:val="eop"/>
    <w:basedOn w:val="DefaultParagraphFont"/>
    <w:rsid w:val="005058AB"/>
  </w:style>
  <w:style w:type="character" w:styleId="CommentReference">
    <w:name w:val="annotation reference"/>
    <w:basedOn w:val="DefaultParagraphFont"/>
    <w:uiPriority w:val="99"/>
    <w:semiHidden/>
    <w:unhideWhenUsed/>
    <w:rsid w:val="001E037A"/>
    <w:rPr>
      <w:sz w:val="16"/>
      <w:szCs w:val="16"/>
    </w:rPr>
  </w:style>
  <w:style w:type="paragraph" w:styleId="CommentText">
    <w:name w:val="annotation text"/>
    <w:basedOn w:val="Normal"/>
    <w:link w:val="CommentTextChar"/>
    <w:uiPriority w:val="99"/>
    <w:unhideWhenUsed/>
    <w:rsid w:val="001E037A"/>
    <w:pPr>
      <w:spacing w:before="0"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1E037A"/>
    <w:rPr>
      <w:sz w:val="20"/>
      <w:szCs w:val="20"/>
    </w:rPr>
  </w:style>
  <w:style w:type="paragraph" w:styleId="CommentSubject">
    <w:name w:val="annotation subject"/>
    <w:basedOn w:val="CommentText"/>
    <w:next w:val="CommentText"/>
    <w:link w:val="CommentSubjectChar"/>
    <w:uiPriority w:val="99"/>
    <w:semiHidden/>
    <w:unhideWhenUsed/>
    <w:rsid w:val="00094F51"/>
    <w:pPr>
      <w:spacing w:before="120" w:after="120"/>
    </w:pPr>
    <w:rPr>
      <w:rFonts w:ascii="Calibri Light" w:eastAsia="Times New Roman" w:hAnsi="Calibri Light" w:cs="Times New Roman"/>
      <w:b/>
      <w:bCs/>
      <w:lang w:eastAsia="en-AU"/>
    </w:rPr>
  </w:style>
  <w:style w:type="character" w:customStyle="1" w:styleId="CommentSubjectChar">
    <w:name w:val="Comment Subject Char"/>
    <w:basedOn w:val="CommentTextChar"/>
    <w:link w:val="CommentSubject"/>
    <w:uiPriority w:val="99"/>
    <w:semiHidden/>
    <w:rsid w:val="00094F51"/>
    <w:rPr>
      <w:rFonts w:ascii="Calibri Light" w:eastAsia="Times New Roman" w:hAnsi="Calibri Light" w:cs="Times New Roman"/>
      <w:b/>
      <w:bCs/>
      <w:sz w:val="20"/>
      <w:szCs w:val="20"/>
      <w:lang w:eastAsia="en-AU"/>
    </w:rPr>
  </w:style>
  <w:style w:type="paragraph" w:styleId="Revision">
    <w:name w:val="Revision"/>
    <w:hidden/>
    <w:uiPriority w:val="99"/>
    <w:semiHidden/>
    <w:rsid w:val="003D2489"/>
    <w:pPr>
      <w:spacing w:after="0" w:line="240" w:lineRule="auto"/>
    </w:pPr>
    <w:rPr>
      <w:rFonts w:ascii="Calibri Light" w:eastAsia="Times New Roman" w:hAnsi="Calibri Light" w:cs="Times New Roman"/>
      <w:szCs w:val="20"/>
      <w:lang w:eastAsia="en-AU"/>
    </w:rPr>
  </w:style>
  <w:style w:type="character" w:styleId="Mention">
    <w:name w:val="Mention"/>
    <w:basedOn w:val="DefaultParagraphFont"/>
    <w:uiPriority w:val="99"/>
    <w:unhideWhenUsed/>
    <w:rsid w:val="00540CF4"/>
    <w:rPr>
      <w:color w:val="2B579A"/>
      <w:shd w:val="clear" w:color="auto" w:fill="E1DFDD"/>
    </w:rPr>
  </w:style>
  <w:style w:type="paragraph" w:styleId="ListParagraph">
    <w:name w:val="List Paragraph"/>
    <w:basedOn w:val="Normal"/>
    <w:uiPriority w:val="34"/>
    <w:rsid w:val="004E5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096">
      <w:bodyDiv w:val="1"/>
      <w:marLeft w:val="0"/>
      <w:marRight w:val="0"/>
      <w:marTop w:val="0"/>
      <w:marBottom w:val="0"/>
      <w:divBdr>
        <w:top w:val="none" w:sz="0" w:space="0" w:color="auto"/>
        <w:left w:val="none" w:sz="0" w:space="0" w:color="auto"/>
        <w:bottom w:val="none" w:sz="0" w:space="0" w:color="auto"/>
        <w:right w:val="none" w:sz="0" w:space="0" w:color="auto"/>
      </w:divBdr>
    </w:div>
    <w:div w:id="185830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ifrs.org/issued-standards/ifrs-sustainability-standards-navigator/ifrs-s2-climate-related-disclosur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CCEA7-1D67-4901-9EEE-A1255476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1721</Words>
  <Characters>10359</Characters>
  <Application>Microsoft Office Word</Application>
  <DocSecurity>0</DocSecurity>
  <Lines>203</Lines>
  <Paragraphs>84</Paragraphs>
  <ScaleCrop>false</ScaleCrop>
  <HeadingPairs>
    <vt:vector size="2" baseType="variant">
      <vt:variant>
        <vt:lpstr>Title</vt:lpstr>
      </vt:variant>
      <vt:variant>
        <vt:i4>1</vt:i4>
      </vt:variant>
    </vt:vector>
  </HeadingPairs>
  <TitlesOfParts>
    <vt:vector size="1" baseType="lpstr">
      <vt:lpstr>Mandatory climate-related financial disclosures - Policy position statement</vt:lpstr>
    </vt:vector>
  </TitlesOfParts>
  <Company/>
  <LinksUpToDate>false</LinksUpToDate>
  <CharactersWithSpaces>12044</CharactersWithSpaces>
  <SharedDoc>false</SharedDoc>
  <HLinks>
    <vt:vector size="6" baseType="variant">
      <vt:variant>
        <vt:i4>1245267</vt:i4>
      </vt:variant>
      <vt:variant>
        <vt:i4>0</vt:i4>
      </vt:variant>
      <vt:variant>
        <vt:i4>0</vt:i4>
      </vt:variant>
      <vt:variant>
        <vt:i4>5</vt:i4>
      </vt:variant>
      <vt:variant>
        <vt:lpwstr>http://www.ifrs.org/issued-standards/ifrs-sustainability-standards-navigator/ifrs-s2-climate-related-disclosures/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climate-related financial disclosures - Policy position statement</dc:title>
  <dc:subject/>
  <dc:creator/>
  <cp:keywords/>
  <dc:description/>
  <cp:lastModifiedBy/>
  <cp:revision>1</cp:revision>
  <dcterms:created xsi:type="dcterms:W3CDTF">2024-01-11T23:53:00Z</dcterms:created>
  <dcterms:modified xsi:type="dcterms:W3CDTF">2024-01-11T23:54:00Z</dcterms:modified>
  <cp:category/>
  <cp:contentStatus/>
</cp:coreProperties>
</file>