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ECCF3" w14:textId="2482235F" w:rsidR="00CB099C" w:rsidRPr="006923DF" w:rsidRDefault="00B90FCD" w:rsidP="00AD0BC3">
      <w:pPr>
        <w:pStyle w:val="Subtitle"/>
      </w:pPr>
      <w:r>
        <w:t>P</w:t>
      </w:r>
      <w:r w:rsidR="00135CE3">
        <w:rPr>
          <w:noProof/>
        </w:rPr>
        <w:drawing>
          <wp:anchor distT="0" distB="0" distL="114300" distR="114300" simplePos="0" relativeHeight="251658240" behindDoc="1" locked="1" layoutInCell="1" allowOverlap="1" wp14:anchorId="72E0B287" wp14:editId="625944E4">
            <wp:simplePos x="0" y="0"/>
            <wp:positionH relativeFrom="page">
              <wp:posOffset>8255</wp:posOffset>
            </wp:positionH>
            <wp:positionV relativeFrom="page">
              <wp:posOffset>-10160</wp:posOffset>
            </wp:positionV>
            <wp:extent cx="7570470" cy="107061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570470" cy="10706100"/>
                    </a:xfrm>
                    <a:prstGeom prst="rect">
                      <a:avLst/>
                    </a:prstGeom>
                    <a:noFill/>
                    <a:ln>
                      <a:noFill/>
                    </a:ln>
                  </pic:spPr>
                </pic:pic>
              </a:graphicData>
            </a:graphic>
            <wp14:sizeRelH relativeFrom="margin">
              <wp14:pctWidth>0</wp14:pctWidth>
            </wp14:sizeRelH>
            <wp14:sizeRelV relativeFrom="margin">
              <wp14:pctHeight>0</wp14:pctHeight>
            </wp14:sizeRelV>
          </wp:anchor>
        </w:drawing>
      </w:r>
      <w:r>
        <w:t>roductivity Edition</w:t>
      </w:r>
    </w:p>
    <w:p w14:paraId="68A97266" w14:textId="74795FEB" w:rsidR="00CB099C" w:rsidRPr="00586605" w:rsidRDefault="00C45C5F" w:rsidP="00CB099C">
      <w:pPr>
        <w:pStyle w:val="ReportDate"/>
      </w:pPr>
      <w:r>
        <w:rPr>
          <w:rStyle w:val="ReportDateChar"/>
        </w:rPr>
        <w:t>October</w:t>
      </w:r>
      <w:r w:rsidR="00B90FCD">
        <w:rPr>
          <w:rStyle w:val="ReportDateChar"/>
        </w:rPr>
        <w:t xml:space="preserve"> 2022</w:t>
      </w:r>
    </w:p>
    <w:p w14:paraId="5D9B16BB" w14:textId="7DE25992" w:rsidR="00052ED1" w:rsidRDefault="00052ED1" w:rsidP="00EE4C91">
      <w:pPr>
        <w:pStyle w:val="Heading1"/>
        <w:rPr>
          <w:rFonts w:cs="Times New Roman"/>
          <w:b w:val="0"/>
          <w:color w:val="auto"/>
          <w:kern w:val="0"/>
          <w:sz w:val="22"/>
          <w:szCs w:val="20"/>
        </w:rPr>
      </w:pPr>
      <w:r>
        <w:rPr>
          <w:rFonts w:cs="Times New Roman"/>
          <w:b w:val="0"/>
          <w:color w:val="auto"/>
          <w:kern w:val="0"/>
          <w:sz w:val="22"/>
          <w:szCs w:val="20"/>
        </w:rPr>
        <w:br w:type="page"/>
      </w:r>
    </w:p>
    <w:p w14:paraId="0A10F64F" w14:textId="7050938E" w:rsidR="00052ED1" w:rsidRDefault="00052ED1" w:rsidP="00052ED1">
      <w:pPr>
        <w:spacing w:before="0" w:after="160" w:line="259" w:lineRule="auto"/>
      </w:pPr>
      <w:r w:rsidRPr="00661BF0">
        <w:lastRenderedPageBreak/>
        <w:t xml:space="preserve">© Commonwealth of Australia </w:t>
      </w:r>
      <w:r w:rsidRPr="001243AE">
        <w:t>20</w:t>
      </w:r>
      <w:r w:rsidR="0032335F" w:rsidRPr="001243AE">
        <w:t>22</w:t>
      </w:r>
    </w:p>
    <w:p w14:paraId="47C5EB79" w14:textId="7E1D8617" w:rsidR="00052ED1" w:rsidRDefault="00052ED1" w:rsidP="00052ED1">
      <w:pPr>
        <w:spacing w:before="0" w:after="160" w:line="259" w:lineRule="auto"/>
        <w:rPr>
          <w:noProof/>
        </w:rPr>
      </w:pPr>
      <w:r>
        <w:t>IS</w:t>
      </w:r>
      <w:r w:rsidR="008740F1">
        <w:t>S</w:t>
      </w:r>
      <w:r>
        <w:t xml:space="preserve">N: </w:t>
      </w:r>
      <w:r w:rsidR="008740F1" w:rsidRPr="008740F1">
        <w:t>2653-6196</w:t>
      </w:r>
    </w:p>
    <w:p w14:paraId="0EE75255" w14:textId="0EA7BB3A" w:rsidR="00052ED1" w:rsidRPr="00086F82" w:rsidRDefault="00052ED1" w:rsidP="00052ED1">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3"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4" w:history="1">
        <w:r w:rsidRPr="001F1B27">
          <w:rPr>
            <w:rStyle w:val="Hyperlink"/>
          </w:rPr>
          <w:t>http://creativecommons.org/licenses/by/3.0/au/legalcode</w:t>
        </w:r>
      </w:hyperlink>
      <w:r w:rsidRPr="006627B4">
        <w:rPr>
          <w:rStyle w:val="Hyperlink"/>
        </w:rPr>
        <w:t>.</w:t>
      </w:r>
      <w:r w:rsidRPr="00D06A21">
        <w:rPr>
          <w:sz w:val="24"/>
          <w:szCs w:val="24"/>
        </w:rPr>
        <w:t xml:space="preserve"> </w:t>
      </w:r>
    </w:p>
    <w:p w14:paraId="5B4E4465" w14:textId="77777777" w:rsidR="00052ED1" w:rsidRDefault="00052ED1" w:rsidP="00052ED1">
      <w:pPr>
        <w:pStyle w:val="ChartGraphic"/>
        <w:jc w:val="left"/>
      </w:pPr>
      <w:r w:rsidRPr="00E56DFB">
        <w:rPr>
          <w:noProof/>
        </w:rPr>
        <w:drawing>
          <wp:inline distT="0" distB="0" distL="0" distR="0" wp14:anchorId="03098CB9" wp14:editId="206853D9">
            <wp:extent cx="809625" cy="285750"/>
            <wp:effectExtent l="0" t="0" r="9525" b="0"/>
            <wp:docPr id="15"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64A2B566" w14:textId="77777777" w:rsidR="00052ED1" w:rsidRPr="006627B4" w:rsidRDefault="00052ED1" w:rsidP="00052ED1">
      <w:pPr>
        <w:tabs>
          <w:tab w:val="left" w:pos="1650"/>
        </w:tabs>
        <w:spacing w:before="240"/>
      </w:pPr>
      <w:r w:rsidRPr="006627B4">
        <w:t>Use of Treasury material under a</w:t>
      </w:r>
      <w:r w:rsidRPr="00476F09">
        <w:rPr>
          <w:rFonts w:cstheme="minorHAnsi"/>
          <w:sz w:val="24"/>
          <w:szCs w:val="24"/>
        </w:rPr>
        <w:t xml:space="preserve"> </w:t>
      </w:r>
      <w:hyperlink r:id="rId16"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5115FAAC" w14:textId="3EAD084C" w:rsidR="00052ED1" w:rsidRPr="006469CC" w:rsidRDefault="00052ED1" w:rsidP="00052ED1">
      <w:pPr>
        <w:spacing w:before="240"/>
        <w:rPr>
          <w:b/>
        </w:rPr>
      </w:pPr>
      <w:r w:rsidRPr="006469CC">
        <w:rPr>
          <w:b/>
        </w:rPr>
        <w:t>Treasury material used as supplied.</w:t>
      </w:r>
    </w:p>
    <w:p w14:paraId="533E728C" w14:textId="17EA52EB" w:rsidR="00052ED1" w:rsidRPr="00476F09" w:rsidRDefault="00052ED1" w:rsidP="00052ED1">
      <w:pPr>
        <w:spacing w:before="240"/>
      </w:pPr>
      <w:r w:rsidRPr="00476F09" w:rsidDel="009E09E0">
        <w:t>Provided</w:t>
      </w:r>
      <w:r w:rsidR="0000162B" w:rsidDel="009E09E0">
        <w:softHyphen/>
      </w:r>
      <w:r w:rsidR="0000162B" w:rsidDel="009E09E0">
        <w:softHyphen/>
      </w:r>
      <w:r w:rsidR="009E09E0">
        <w:t xml:space="preserve"> </w:t>
      </w:r>
      <w:r w:rsidR="009E09E0" w:rsidRPr="00476F09">
        <w:t>you</w:t>
      </w:r>
      <w:r w:rsidRPr="00476F09">
        <w:t xml:space="preserve">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w:t>
      </w:r>
      <w:r w:rsidR="0092054A">
        <w:t>–</w:t>
      </w:r>
      <w:r>
        <w:t xml:space="preserve"> then Treasury prefers t</w:t>
      </w:r>
      <w:r w:rsidRPr="00476F09">
        <w:t xml:space="preserve">he following attribution: </w:t>
      </w:r>
    </w:p>
    <w:p w14:paraId="1DBD4B70" w14:textId="6AD34D01" w:rsidR="00052ED1" w:rsidRPr="00A13A11" w:rsidRDefault="00052ED1" w:rsidP="00052ED1">
      <w:pPr>
        <w:ind w:firstLine="720"/>
      </w:pPr>
      <w:r w:rsidRPr="002F1BC2">
        <w:rPr>
          <w:i/>
        </w:rPr>
        <w:t xml:space="preserve">Source: The </w:t>
      </w:r>
      <w:r w:rsidRPr="002F1BC2">
        <w:rPr>
          <w:i/>
          <w:iCs/>
        </w:rPr>
        <w:t>Australian Government the Treasury</w:t>
      </w:r>
      <w:r>
        <w:t>.</w:t>
      </w:r>
    </w:p>
    <w:p w14:paraId="0203D4B8" w14:textId="77777777" w:rsidR="00052ED1" w:rsidRPr="006627B4" w:rsidRDefault="00052ED1" w:rsidP="00052ED1">
      <w:pPr>
        <w:spacing w:before="240"/>
      </w:pPr>
      <w:r w:rsidRPr="00CC63CC">
        <w:rPr>
          <w:b/>
        </w:rPr>
        <w:t>Derivative</w:t>
      </w:r>
      <w:r w:rsidRPr="006627B4">
        <w:t xml:space="preserve"> </w:t>
      </w:r>
      <w:r w:rsidRPr="00CC63CC">
        <w:rPr>
          <w:b/>
        </w:rPr>
        <w:t>material</w:t>
      </w:r>
    </w:p>
    <w:p w14:paraId="68043FD4" w14:textId="77777777" w:rsidR="00052ED1" w:rsidRPr="006627B4" w:rsidRDefault="00052ED1" w:rsidP="00052ED1">
      <w:r w:rsidRPr="006627B4">
        <w:t xml:space="preserve">If you have modified or transformed Treasury material, or derived new material from those of the Treasury in any way, then Treasury prefers the following attribution: </w:t>
      </w:r>
    </w:p>
    <w:p w14:paraId="06118F93" w14:textId="3BEE9357" w:rsidR="00052ED1" w:rsidRPr="006627B4" w:rsidRDefault="00052ED1" w:rsidP="00052ED1">
      <w:pPr>
        <w:ind w:firstLine="720"/>
      </w:pPr>
      <w:r w:rsidRPr="002F1BC2">
        <w:rPr>
          <w:i/>
        </w:rPr>
        <w:t>Based on The Australian Government the Treasury data</w:t>
      </w:r>
      <w:r>
        <w:t>.</w:t>
      </w:r>
    </w:p>
    <w:p w14:paraId="6ABD9F91" w14:textId="77777777" w:rsidR="00052ED1" w:rsidRPr="006627B4" w:rsidRDefault="00052ED1" w:rsidP="00052ED1">
      <w:pPr>
        <w:spacing w:before="240"/>
        <w:rPr>
          <w:b/>
        </w:rPr>
      </w:pPr>
      <w:r w:rsidRPr="006627B4">
        <w:rPr>
          <w:b/>
        </w:rPr>
        <w:t>Use of the Coat of Arms</w:t>
      </w:r>
    </w:p>
    <w:p w14:paraId="079F5B1D" w14:textId="03EE4F8F" w:rsidR="00052ED1" w:rsidRPr="005C503A" w:rsidRDefault="00052ED1" w:rsidP="00052ED1">
      <w:pPr>
        <w:spacing w:before="240"/>
      </w:pPr>
      <w:r w:rsidRPr="005C503A">
        <w:t xml:space="preserve">The terms under which the Coat of Arms can be used are set out on the Department of the Prime Minister and Cabinet website </w:t>
      </w:r>
      <w:r w:rsidR="005D6A9B">
        <w:br/>
      </w:r>
      <w:r w:rsidRPr="005C503A">
        <w:t xml:space="preserve">(see </w:t>
      </w:r>
      <w:hyperlink r:id="rId17" w:history="1">
        <w:r>
          <w:rPr>
            <w:rStyle w:val="Hyperlink"/>
          </w:rPr>
          <w:t>http://www.pmc.gov.au/government/commonwealth</w:t>
        </w:r>
        <w:r w:rsidR="002B75D0">
          <w:rPr>
            <w:rStyle w:val="Hyperlink"/>
          </w:rPr>
          <w:noBreakHyphen/>
        </w:r>
        <w:r>
          <w:rPr>
            <w:rStyle w:val="Hyperlink"/>
          </w:rPr>
          <w:t>coat</w:t>
        </w:r>
        <w:r w:rsidR="002B75D0">
          <w:rPr>
            <w:rStyle w:val="Hyperlink"/>
          </w:rPr>
          <w:noBreakHyphen/>
        </w:r>
        <w:r>
          <w:rPr>
            <w:rStyle w:val="Hyperlink"/>
          </w:rPr>
          <w:t>arms</w:t>
        </w:r>
      </w:hyperlink>
      <w:r w:rsidRPr="005C503A">
        <w:t>).</w:t>
      </w:r>
    </w:p>
    <w:p w14:paraId="07772E6C" w14:textId="77777777" w:rsidR="00052ED1" w:rsidRPr="006627B4" w:rsidRDefault="00052ED1" w:rsidP="00052ED1">
      <w:pPr>
        <w:spacing w:before="240"/>
        <w:rPr>
          <w:b/>
        </w:rPr>
      </w:pPr>
      <w:r>
        <w:rPr>
          <w:b/>
        </w:rPr>
        <w:t>Other u</w:t>
      </w:r>
      <w:r w:rsidRPr="006627B4">
        <w:rPr>
          <w:b/>
        </w:rPr>
        <w:t>ses</w:t>
      </w:r>
    </w:p>
    <w:p w14:paraId="023C9245" w14:textId="77777777" w:rsidR="00052ED1" w:rsidRPr="006627B4" w:rsidRDefault="00052ED1" w:rsidP="00052ED1">
      <w:r>
        <w:t>E</w:t>
      </w:r>
      <w:r w:rsidRPr="006627B4">
        <w:t>nquiries regarding this licence and any other use of this document are welcome at:</w:t>
      </w:r>
    </w:p>
    <w:p w14:paraId="68C41AE9" w14:textId="086033F7" w:rsidR="00052ED1" w:rsidRPr="002F1BC2" w:rsidRDefault="00052ED1" w:rsidP="004C5CB1">
      <w:pPr>
        <w:ind w:left="720"/>
        <w:rPr>
          <w:rStyle w:val="Hyperlink"/>
        </w:rPr>
      </w:pPr>
      <w:r w:rsidRPr="006627B4">
        <w:t>Manager</w:t>
      </w:r>
      <w:r>
        <w:br/>
        <w:t>Media Unit</w:t>
      </w:r>
      <w:r>
        <w:br/>
      </w:r>
      <w:r w:rsidRPr="006627B4">
        <w:t>The Treasury</w:t>
      </w:r>
      <w:r>
        <w:br/>
      </w:r>
      <w:r w:rsidRPr="006627B4">
        <w:t xml:space="preserve">Langton Crescent </w:t>
      </w:r>
      <w:r>
        <w:br/>
      </w:r>
      <w:proofErr w:type="gramStart"/>
      <w:r w:rsidRPr="006627B4">
        <w:t xml:space="preserve">Parkes </w:t>
      </w:r>
      <w:r>
        <w:t xml:space="preserve"> </w:t>
      </w:r>
      <w:r w:rsidRPr="006627B4">
        <w:t>ACT</w:t>
      </w:r>
      <w:proofErr w:type="gramEnd"/>
      <w:r w:rsidRPr="006627B4">
        <w:t xml:space="preserve"> </w:t>
      </w:r>
      <w:r>
        <w:t xml:space="preserve"> </w:t>
      </w:r>
      <w:r w:rsidRPr="006627B4">
        <w:t>2600</w:t>
      </w:r>
      <w:r>
        <w:br/>
      </w:r>
      <w:r w:rsidRPr="006627B4">
        <w:t xml:space="preserve">Email: </w:t>
      </w:r>
      <w:hyperlink r:id="rId18" w:history="1">
        <w:r w:rsidR="00BB18A1" w:rsidRPr="000565FB">
          <w:rPr>
            <w:rStyle w:val="Hyperlink"/>
          </w:rPr>
          <w:t>media@treasury.gov.au</w:t>
        </w:r>
      </w:hyperlink>
    </w:p>
    <w:p w14:paraId="46493F2D" w14:textId="77777777" w:rsidR="00052ED1" w:rsidRDefault="00052ED1" w:rsidP="00052ED1">
      <w:pPr>
        <w:pStyle w:val="Heading1"/>
        <w:sectPr w:rsidR="00052ED1" w:rsidSect="00BB18A1">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6" w:h="16838" w:code="9"/>
          <w:pgMar w:top="1843" w:right="1418" w:bottom="1418" w:left="1418" w:header="709" w:footer="709" w:gutter="0"/>
          <w:pgNumType w:fmt="lowerRoman" w:start="0"/>
          <w:cols w:space="708"/>
          <w:titlePg/>
          <w:docGrid w:linePitch="360"/>
        </w:sectPr>
      </w:pPr>
    </w:p>
    <w:p w14:paraId="4C329DDF" w14:textId="44247DCB" w:rsidR="00EE4C91" w:rsidRDefault="00EE4C91" w:rsidP="00B90FCD">
      <w:pPr>
        <w:pStyle w:val="Heading1"/>
        <w:tabs>
          <w:tab w:val="left" w:pos="5996"/>
        </w:tabs>
      </w:pPr>
      <w:r w:rsidRPr="001F1B27">
        <w:lastRenderedPageBreak/>
        <w:t>Contents</w:t>
      </w:r>
      <w:r w:rsidR="00B90FCD">
        <w:tab/>
      </w:r>
    </w:p>
    <w:p w14:paraId="6540CEF2" w14:textId="6F2A9430" w:rsidR="000F59FD" w:rsidRDefault="00AF1A62">
      <w:pPr>
        <w:pStyle w:val="TOC1"/>
        <w:rPr>
          <w:rFonts w:asciiTheme="minorHAnsi" w:eastAsiaTheme="minorEastAsia" w:hAnsiTheme="minorHAnsi" w:cstheme="minorBidi"/>
          <w:b w:val="0"/>
          <w:color w:val="auto"/>
        </w:rPr>
      </w:pPr>
      <w:r>
        <w:rPr>
          <w:color w:val="004A7F"/>
        </w:rPr>
        <w:fldChar w:fldCharType="begin"/>
      </w:r>
      <w:r>
        <w:rPr>
          <w:color w:val="004A7F"/>
        </w:rPr>
        <w:instrText xml:space="preserve"> TOC \h \z \t "Report title,1" </w:instrText>
      </w:r>
      <w:r>
        <w:rPr>
          <w:color w:val="004A7F"/>
        </w:rPr>
        <w:fldChar w:fldCharType="separate"/>
      </w:r>
      <w:hyperlink w:anchor="_Toc115880551" w:history="1">
        <w:r w:rsidR="000F59FD" w:rsidRPr="00362E91">
          <w:rPr>
            <w:rStyle w:val="Hyperlink"/>
          </w:rPr>
          <w:t>Foreword</w:t>
        </w:r>
        <w:r w:rsidR="000F59FD">
          <w:rPr>
            <w:webHidden/>
          </w:rPr>
          <w:tab/>
        </w:r>
        <w:r w:rsidR="000F59FD">
          <w:rPr>
            <w:webHidden/>
          </w:rPr>
          <w:fldChar w:fldCharType="begin"/>
        </w:r>
        <w:r w:rsidR="000F59FD">
          <w:rPr>
            <w:webHidden/>
          </w:rPr>
          <w:instrText xml:space="preserve"> PAGEREF _Toc115880551 \h </w:instrText>
        </w:r>
        <w:r w:rsidR="000F59FD">
          <w:rPr>
            <w:webHidden/>
          </w:rPr>
        </w:r>
        <w:r w:rsidR="000F59FD">
          <w:rPr>
            <w:webHidden/>
          </w:rPr>
          <w:fldChar w:fldCharType="separate"/>
        </w:r>
        <w:r w:rsidR="003D5963">
          <w:rPr>
            <w:webHidden/>
          </w:rPr>
          <w:t>3</w:t>
        </w:r>
        <w:r w:rsidR="000F59FD">
          <w:rPr>
            <w:webHidden/>
          </w:rPr>
          <w:fldChar w:fldCharType="end"/>
        </w:r>
      </w:hyperlink>
    </w:p>
    <w:p w14:paraId="02500BE2" w14:textId="6D5DC65E" w:rsidR="000F59FD" w:rsidRDefault="0072068C">
      <w:pPr>
        <w:pStyle w:val="TOC1"/>
        <w:rPr>
          <w:rFonts w:asciiTheme="minorHAnsi" w:eastAsiaTheme="minorEastAsia" w:hAnsiTheme="minorHAnsi" w:cstheme="minorBidi"/>
          <w:b w:val="0"/>
          <w:color w:val="auto"/>
        </w:rPr>
      </w:pPr>
      <w:hyperlink w:anchor="_Toc115880552" w:history="1">
        <w:r w:rsidR="000F59FD" w:rsidRPr="00362E91">
          <w:rPr>
            <w:rStyle w:val="Hyperlink"/>
          </w:rPr>
          <w:t>Overview: Understanding productivity in Australia and the global slowdown</w:t>
        </w:r>
        <w:r w:rsidR="000F59FD">
          <w:rPr>
            <w:webHidden/>
          </w:rPr>
          <w:tab/>
        </w:r>
        <w:r w:rsidR="000F59FD">
          <w:rPr>
            <w:webHidden/>
          </w:rPr>
          <w:fldChar w:fldCharType="begin"/>
        </w:r>
        <w:r w:rsidR="000F59FD">
          <w:rPr>
            <w:webHidden/>
          </w:rPr>
          <w:instrText xml:space="preserve"> PAGEREF _Toc115880552 \h </w:instrText>
        </w:r>
        <w:r w:rsidR="000F59FD">
          <w:rPr>
            <w:webHidden/>
          </w:rPr>
        </w:r>
        <w:r w:rsidR="000F59FD">
          <w:rPr>
            <w:webHidden/>
          </w:rPr>
          <w:fldChar w:fldCharType="separate"/>
        </w:r>
        <w:r w:rsidR="003D5963">
          <w:rPr>
            <w:webHidden/>
          </w:rPr>
          <w:t>4</w:t>
        </w:r>
        <w:r w:rsidR="000F59FD">
          <w:rPr>
            <w:webHidden/>
          </w:rPr>
          <w:fldChar w:fldCharType="end"/>
        </w:r>
      </w:hyperlink>
    </w:p>
    <w:p w14:paraId="53E49B24" w14:textId="49C7E7B0" w:rsidR="000F59FD" w:rsidRDefault="0072068C">
      <w:pPr>
        <w:pStyle w:val="TOC1"/>
        <w:rPr>
          <w:rFonts w:asciiTheme="minorHAnsi" w:eastAsiaTheme="minorEastAsia" w:hAnsiTheme="minorHAnsi" w:cstheme="minorBidi"/>
          <w:b w:val="0"/>
          <w:color w:val="auto"/>
        </w:rPr>
      </w:pPr>
      <w:hyperlink w:anchor="_Toc115880553" w:history="1">
        <w:r w:rsidR="000F59FD" w:rsidRPr="00362E91">
          <w:rPr>
            <w:rStyle w:val="Hyperlink"/>
          </w:rPr>
          <w:t>Competition in Australia and its impact on productivity growth</w:t>
        </w:r>
        <w:r w:rsidR="000F59FD">
          <w:rPr>
            <w:webHidden/>
          </w:rPr>
          <w:tab/>
        </w:r>
        <w:r w:rsidR="000F59FD">
          <w:rPr>
            <w:webHidden/>
          </w:rPr>
          <w:fldChar w:fldCharType="begin"/>
        </w:r>
        <w:r w:rsidR="000F59FD">
          <w:rPr>
            <w:webHidden/>
          </w:rPr>
          <w:instrText xml:space="preserve"> PAGEREF _Toc115880553 \h </w:instrText>
        </w:r>
        <w:r w:rsidR="000F59FD">
          <w:rPr>
            <w:webHidden/>
          </w:rPr>
        </w:r>
        <w:r w:rsidR="000F59FD">
          <w:rPr>
            <w:webHidden/>
          </w:rPr>
          <w:fldChar w:fldCharType="separate"/>
        </w:r>
        <w:r w:rsidR="003D5963">
          <w:rPr>
            <w:webHidden/>
          </w:rPr>
          <w:t>14</w:t>
        </w:r>
        <w:r w:rsidR="000F59FD">
          <w:rPr>
            <w:webHidden/>
          </w:rPr>
          <w:fldChar w:fldCharType="end"/>
        </w:r>
      </w:hyperlink>
    </w:p>
    <w:p w14:paraId="04209D35" w14:textId="27FDD0DB" w:rsidR="000F59FD" w:rsidRDefault="0072068C">
      <w:pPr>
        <w:pStyle w:val="TOC1"/>
        <w:rPr>
          <w:rFonts w:asciiTheme="minorHAnsi" w:eastAsiaTheme="minorEastAsia" w:hAnsiTheme="minorHAnsi" w:cstheme="minorBidi"/>
          <w:b w:val="0"/>
          <w:color w:val="auto"/>
        </w:rPr>
      </w:pPr>
      <w:hyperlink w:anchor="_Toc115880554" w:history="1">
        <w:r w:rsidR="000F59FD" w:rsidRPr="00362E91">
          <w:rPr>
            <w:rStyle w:val="Hyperlink"/>
          </w:rPr>
          <w:t>How dispersed are new technologies in the Australian job market?</w:t>
        </w:r>
        <w:r w:rsidR="000F59FD">
          <w:rPr>
            <w:webHidden/>
          </w:rPr>
          <w:tab/>
        </w:r>
        <w:r w:rsidR="000F59FD">
          <w:rPr>
            <w:webHidden/>
          </w:rPr>
          <w:fldChar w:fldCharType="begin"/>
        </w:r>
        <w:r w:rsidR="000F59FD">
          <w:rPr>
            <w:webHidden/>
          </w:rPr>
          <w:instrText xml:space="preserve"> PAGEREF _Toc115880554 \h </w:instrText>
        </w:r>
        <w:r w:rsidR="000F59FD">
          <w:rPr>
            <w:webHidden/>
          </w:rPr>
        </w:r>
        <w:r w:rsidR="000F59FD">
          <w:rPr>
            <w:webHidden/>
          </w:rPr>
          <w:fldChar w:fldCharType="separate"/>
        </w:r>
        <w:r w:rsidR="003D5963">
          <w:rPr>
            <w:webHidden/>
          </w:rPr>
          <w:t>21</w:t>
        </w:r>
        <w:r w:rsidR="000F59FD">
          <w:rPr>
            <w:webHidden/>
          </w:rPr>
          <w:fldChar w:fldCharType="end"/>
        </w:r>
      </w:hyperlink>
    </w:p>
    <w:p w14:paraId="723BBEA9" w14:textId="35A3A6A4" w:rsidR="000F59FD" w:rsidRDefault="0072068C">
      <w:pPr>
        <w:pStyle w:val="TOC1"/>
        <w:rPr>
          <w:rFonts w:asciiTheme="minorHAnsi" w:eastAsiaTheme="minorEastAsia" w:hAnsiTheme="minorHAnsi" w:cstheme="minorBidi"/>
          <w:b w:val="0"/>
          <w:color w:val="auto"/>
        </w:rPr>
      </w:pPr>
      <w:hyperlink w:anchor="_Toc115880555" w:history="1">
        <w:r w:rsidR="000F59FD" w:rsidRPr="00362E91">
          <w:rPr>
            <w:rStyle w:val="Hyperlink"/>
          </w:rPr>
          <w:t>Why the real wages of graduates with bachelor’s degrees have fallen</w:t>
        </w:r>
        <w:r w:rsidR="000F59FD">
          <w:rPr>
            <w:webHidden/>
          </w:rPr>
          <w:tab/>
        </w:r>
        <w:r w:rsidR="000F59FD">
          <w:rPr>
            <w:webHidden/>
          </w:rPr>
          <w:fldChar w:fldCharType="begin"/>
        </w:r>
        <w:r w:rsidR="000F59FD">
          <w:rPr>
            <w:webHidden/>
          </w:rPr>
          <w:instrText xml:space="preserve"> PAGEREF _Toc115880555 \h </w:instrText>
        </w:r>
        <w:r w:rsidR="000F59FD">
          <w:rPr>
            <w:webHidden/>
          </w:rPr>
        </w:r>
        <w:r w:rsidR="000F59FD">
          <w:rPr>
            <w:webHidden/>
          </w:rPr>
          <w:fldChar w:fldCharType="separate"/>
        </w:r>
        <w:r w:rsidR="003D5963">
          <w:rPr>
            <w:webHidden/>
          </w:rPr>
          <w:t>28</w:t>
        </w:r>
        <w:r w:rsidR="000F59FD">
          <w:rPr>
            <w:webHidden/>
          </w:rPr>
          <w:fldChar w:fldCharType="end"/>
        </w:r>
      </w:hyperlink>
    </w:p>
    <w:p w14:paraId="790E5360" w14:textId="4C8A8517" w:rsidR="000F59FD" w:rsidRDefault="0072068C">
      <w:pPr>
        <w:pStyle w:val="TOC1"/>
        <w:rPr>
          <w:rFonts w:asciiTheme="minorHAnsi" w:eastAsiaTheme="minorEastAsia" w:hAnsiTheme="minorHAnsi" w:cstheme="minorBidi"/>
          <w:b w:val="0"/>
          <w:color w:val="auto"/>
        </w:rPr>
      </w:pPr>
      <w:hyperlink w:anchor="_Toc115880556" w:history="1">
        <w:r w:rsidR="000F59FD" w:rsidRPr="00362E91">
          <w:rPr>
            <w:rStyle w:val="Hyperlink"/>
          </w:rPr>
          <w:t>Children and the gender earnings gap</w:t>
        </w:r>
        <w:r w:rsidR="000F59FD">
          <w:rPr>
            <w:webHidden/>
          </w:rPr>
          <w:tab/>
        </w:r>
        <w:r w:rsidR="000F59FD">
          <w:rPr>
            <w:webHidden/>
          </w:rPr>
          <w:fldChar w:fldCharType="begin"/>
        </w:r>
        <w:r w:rsidR="000F59FD">
          <w:rPr>
            <w:webHidden/>
          </w:rPr>
          <w:instrText xml:space="preserve"> PAGEREF _Toc115880556 \h </w:instrText>
        </w:r>
        <w:r w:rsidR="000F59FD">
          <w:rPr>
            <w:webHidden/>
          </w:rPr>
        </w:r>
        <w:r w:rsidR="000F59FD">
          <w:rPr>
            <w:webHidden/>
          </w:rPr>
          <w:fldChar w:fldCharType="separate"/>
        </w:r>
        <w:r w:rsidR="003D5963">
          <w:rPr>
            <w:webHidden/>
          </w:rPr>
          <w:t>36</w:t>
        </w:r>
        <w:r w:rsidR="000F59FD">
          <w:rPr>
            <w:webHidden/>
          </w:rPr>
          <w:fldChar w:fldCharType="end"/>
        </w:r>
      </w:hyperlink>
    </w:p>
    <w:p w14:paraId="35A17EFD" w14:textId="727AC17F" w:rsidR="000F59FD" w:rsidRDefault="0072068C">
      <w:pPr>
        <w:pStyle w:val="TOC1"/>
        <w:rPr>
          <w:rFonts w:asciiTheme="minorHAnsi" w:eastAsiaTheme="minorEastAsia" w:hAnsiTheme="minorHAnsi" w:cstheme="minorBidi"/>
          <w:b w:val="0"/>
          <w:color w:val="auto"/>
        </w:rPr>
      </w:pPr>
      <w:hyperlink w:anchor="_Toc115880557" w:history="1">
        <w:r w:rsidR="000F59FD" w:rsidRPr="00362E91">
          <w:rPr>
            <w:rStyle w:val="Hyperlink"/>
          </w:rPr>
          <w:t>Data disclaimers</w:t>
        </w:r>
        <w:r w:rsidR="000F59FD">
          <w:rPr>
            <w:webHidden/>
          </w:rPr>
          <w:tab/>
        </w:r>
        <w:r w:rsidR="000F59FD">
          <w:rPr>
            <w:webHidden/>
          </w:rPr>
          <w:fldChar w:fldCharType="begin"/>
        </w:r>
        <w:r w:rsidR="000F59FD">
          <w:rPr>
            <w:webHidden/>
          </w:rPr>
          <w:instrText xml:space="preserve"> PAGEREF _Toc115880557 \h </w:instrText>
        </w:r>
        <w:r w:rsidR="000F59FD">
          <w:rPr>
            <w:webHidden/>
          </w:rPr>
        </w:r>
        <w:r w:rsidR="000F59FD">
          <w:rPr>
            <w:webHidden/>
          </w:rPr>
          <w:fldChar w:fldCharType="separate"/>
        </w:r>
        <w:r w:rsidR="003D5963">
          <w:rPr>
            <w:webHidden/>
          </w:rPr>
          <w:t>45</w:t>
        </w:r>
        <w:r w:rsidR="000F59FD">
          <w:rPr>
            <w:webHidden/>
          </w:rPr>
          <w:fldChar w:fldCharType="end"/>
        </w:r>
      </w:hyperlink>
    </w:p>
    <w:p w14:paraId="00FA66C3" w14:textId="0F918628" w:rsidR="00887105" w:rsidRDefault="00AF1A62" w:rsidP="00270113">
      <w:pPr>
        <w:rPr>
          <w:noProof/>
        </w:rPr>
      </w:pPr>
      <w:r>
        <w:rPr>
          <w:noProof/>
        </w:rPr>
        <w:fldChar w:fldCharType="end"/>
      </w:r>
    </w:p>
    <w:p w14:paraId="27EAE393" w14:textId="371D7997" w:rsidR="00270113" w:rsidRPr="00754C4F" w:rsidRDefault="00B5648E" w:rsidP="00270113">
      <w:pPr>
        <w:pStyle w:val="Editorname"/>
        <w:rPr>
          <w:rFonts w:cs="Times New Roman"/>
          <w:b/>
          <w:color w:val="auto"/>
          <w:sz w:val="20"/>
          <w:szCs w:val="18"/>
        </w:rPr>
      </w:pPr>
      <w:r>
        <w:rPr>
          <w:sz w:val="24"/>
          <w:szCs w:val="40"/>
        </w:rPr>
        <w:t>E</w:t>
      </w:r>
      <w:r w:rsidR="00270113" w:rsidRPr="00754C4F">
        <w:rPr>
          <w:sz w:val="24"/>
          <w:szCs w:val="40"/>
        </w:rPr>
        <w:t xml:space="preserve">dited by </w:t>
      </w:r>
      <w:r w:rsidR="00B90FCD" w:rsidRPr="00754C4F">
        <w:rPr>
          <w:sz w:val="24"/>
          <w:szCs w:val="40"/>
        </w:rPr>
        <w:t>Iris Day</w:t>
      </w:r>
      <w:r w:rsidR="004405DE">
        <w:rPr>
          <w:sz w:val="24"/>
          <w:szCs w:val="40"/>
        </w:rPr>
        <w:t xml:space="preserve"> and Kate Fernandes</w:t>
      </w:r>
    </w:p>
    <w:p w14:paraId="4A8F0AEA" w14:textId="45E013B2" w:rsidR="00270113" w:rsidRDefault="00270113" w:rsidP="00270113">
      <w:pPr>
        <w:rPr>
          <w:noProof/>
        </w:rPr>
      </w:pPr>
    </w:p>
    <w:p w14:paraId="40606988" w14:textId="77777777" w:rsidR="00270113" w:rsidRDefault="00270113" w:rsidP="00270113">
      <w:pPr>
        <w:rPr>
          <w:noProof/>
        </w:rPr>
      </w:pPr>
    </w:p>
    <w:p w14:paraId="1125D484" w14:textId="77777777" w:rsidR="00887105" w:rsidRDefault="00887105" w:rsidP="00EE4C91">
      <w:pPr>
        <w:spacing w:before="0" w:after="0"/>
        <w:rPr>
          <w:rFonts w:ascii="Calibri Light" w:hAnsi="Calibri Light"/>
          <w:noProof/>
          <w:color w:val="004A7F"/>
          <w:szCs w:val="22"/>
        </w:rPr>
        <w:sectPr w:rsidR="00887105" w:rsidSect="00BB18A1">
          <w:headerReference w:type="default" r:id="rId25"/>
          <w:footerReference w:type="default" r:id="rId26"/>
          <w:footerReference w:type="first" r:id="rId27"/>
          <w:footnotePr>
            <w:numRestart w:val="eachSect"/>
          </w:footnotePr>
          <w:pgSz w:w="11906" w:h="16838" w:code="9"/>
          <w:pgMar w:top="1843" w:right="1418" w:bottom="1418" w:left="1418" w:header="567" w:footer="249" w:gutter="0"/>
          <w:cols w:space="340"/>
          <w:docGrid w:linePitch="360"/>
        </w:sectPr>
      </w:pPr>
    </w:p>
    <w:p w14:paraId="54F97DD6" w14:textId="0912A01C" w:rsidR="00887105" w:rsidRDefault="00887105" w:rsidP="00AD0BC3">
      <w:pPr>
        <w:pStyle w:val="Reporttitle"/>
        <w:rPr>
          <w:noProof/>
        </w:rPr>
      </w:pPr>
      <w:bookmarkStart w:id="0" w:name="_Toc115880551"/>
      <w:r>
        <w:rPr>
          <w:noProof/>
        </w:rPr>
        <w:lastRenderedPageBreak/>
        <w:t>Foreword</w:t>
      </w:r>
      <w:bookmarkEnd w:id="0"/>
    </w:p>
    <w:p w14:paraId="1600BA02" w14:textId="77777777" w:rsidR="006A6CC4" w:rsidRPr="003C59A3" w:rsidRDefault="006A6CC4" w:rsidP="006A6CC4">
      <w:pPr>
        <w:pStyle w:val="Authornameunderlined"/>
      </w:pPr>
      <w:r w:rsidRPr="003430C3">
        <w:t>Steven Kennedy</w:t>
      </w:r>
    </w:p>
    <w:p w14:paraId="6A2FFFD6" w14:textId="5335116F" w:rsidR="00230BF5" w:rsidRDefault="00D92DF9">
      <w:pPr>
        <w:pStyle w:val="TOC1"/>
        <w:rPr>
          <w:rFonts w:asciiTheme="majorHAnsi" w:hAnsiTheme="majorHAnsi" w:cstheme="majorHAnsi"/>
          <w:b w:val="0"/>
          <w:bCs/>
          <w:color w:val="auto"/>
        </w:rPr>
      </w:pPr>
      <w:r w:rsidRPr="00AB66EC">
        <w:rPr>
          <w:rFonts w:asciiTheme="majorHAnsi" w:hAnsiTheme="majorHAnsi" w:cstheme="majorHAnsi"/>
          <w:b w:val="0"/>
          <w:bCs/>
          <w:color w:val="auto"/>
        </w:rPr>
        <w:t>As Australia emerges from the COVID</w:t>
      </w:r>
      <w:r w:rsidR="002B75D0">
        <w:rPr>
          <w:rFonts w:asciiTheme="majorHAnsi" w:hAnsiTheme="majorHAnsi" w:cstheme="majorHAnsi"/>
          <w:b w:val="0"/>
          <w:bCs/>
          <w:color w:val="auto"/>
        </w:rPr>
        <w:noBreakHyphen/>
      </w:r>
      <w:r w:rsidR="0016352A">
        <w:rPr>
          <w:rFonts w:asciiTheme="majorHAnsi" w:hAnsiTheme="majorHAnsi" w:cstheme="majorHAnsi"/>
          <w:b w:val="0"/>
          <w:bCs/>
          <w:color w:val="auto"/>
        </w:rPr>
        <w:t>19</w:t>
      </w:r>
      <w:r>
        <w:rPr>
          <w:rFonts w:asciiTheme="majorHAnsi" w:hAnsiTheme="majorHAnsi" w:cstheme="majorHAnsi"/>
          <w:b w:val="0"/>
          <w:bCs/>
          <w:color w:val="auto"/>
        </w:rPr>
        <w:t xml:space="preserve"> pandemic</w:t>
      </w:r>
      <w:r w:rsidRPr="00AB66EC">
        <w:rPr>
          <w:rFonts w:asciiTheme="majorHAnsi" w:hAnsiTheme="majorHAnsi" w:cstheme="majorHAnsi"/>
          <w:b w:val="0"/>
          <w:bCs/>
          <w:color w:val="auto"/>
        </w:rPr>
        <w:t xml:space="preserve">, </w:t>
      </w:r>
      <w:r w:rsidR="0016352A">
        <w:rPr>
          <w:rFonts w:asciiTheme="majorHAnsi" w:hAnsiTheme="majorHAnsi" w:cstheme="majorHAnsi"/>
          <w:b w:val="0"/>
          <w:bCs/>
          <w:color w:val="auto"/>
        </w:rPr>
        <w:t>attention is returning to long</w:t>
      </w:r>
      <w:r w:rsidR="002B75D0">
        <w:rPr>
          <w:rFonts w:asciiTheme="majorHAnsi" w:hAnsiTheme="majorHAnsi" w:cstheme="majorHAnsi"/>
          <w:b w:val="0"/>
          <w:bCs/>
          <w:color w:val="auto"/>
        </w:rPr>
        <w:noBreakHyphen/>
      </w:r>
      <w:r w:rsidR="0016352A">
        <w:rPr>
          <w:rFonts w:asciiTheme="majorHAnsi" w:hAnsiTheme="majorHAnsi" w:cstheme="majorHAnsi"/>
          <w:b w:val="0"/>
          <w:bCs/>
          <w:color w:val="auto"/>
        </w:rPr>
        <w:t xml:space="preserve">run policy </w:t>
      </w:r>
      <w:r w:rsidR="0095079D">
        <w:rPr>
          <w:rFonts w:asciiTheme="majorHAnsi" w:hAnsiTheme="majorHAnsi" w:cstheme="majorHAnsi"/>
          <w:b w:val="0"/>
          <w:bCs/>
          <w:color w:val="auto"/>
        </w:rPr>
        <w:t>objectives</w:t>
      </w:r>
      <w:r w:rsidR="0016352A">
        <w:rPr>
          <w:rFonts w:asciiTheme="majorHAnsi" w:hAnsiTheme="majorHAnsi" w:cstheme="majorHAnsi"/>
          <w:b w:val="0"/>
          <w:bCs/>
          <w:color w:val="auto"/>
        </w:rPr>
        <w:t xml:space="preserve"> including fiscal sustainability and the maintenance of strong and equitable growth in </w:t>
      </w:r>
      <w:r w:rsidR="00242D42">
        <w:rPr>
          <w:rFonts w:asciiTheme="majorHAnsi" w:hAnsiTheme="majorHAnsi" w:cstheme="majorHAnsi"/>
          <w:b w:val="0"/>
          <w:bCs/>
          <w:color w:val="auto"/>
        </w:rPr>
        <w:t>living</w:t>
      </w:r>
      <w:r w:rsidR="00242D42" w:rsidRPr="00AB66EC">
        <w:rPr>
          <w:rFonts w:asciiTheme="majorHAnsi" w:hAnsiTheme="majorHAnsi" w:cstheme="majorHAnsi"/>
          <w:b w:val="0"/>
          <w:bCs/>
          <w:color w:val="auto"/>
        </w:rPr>
        <w:t xml:space="preserve"> </w:t>
      </w:r>
      <w:r w:rsidRPr="00AB66EC">
        <w:rPr>
          <w:rFonts w:asciiTheme="majorHAnsi" w:hAnsiTheme="majorHAnsi" w:cstheme="majorHAnsi"/>
          <w:b w:val="0"/>
          <w:bCs/>
          <w:color w:val="auto"/>
        </w:rPr>
        <w:t>standard</w:t>
      </w:r>
      <w:r w:rsidR="00242D42">
        <w:rPr>
          <w:rFonts w:asciiTheme="majorHAnsi" w:hAnsiTheme="majorHAnsi" w:cstheme="majorHAnsi"/>
          <w:b w:val="0"/>
          <w:bCs/>
          <w:color w:val="auto"/>
        </w:rPr>
        <w:t>s</w:t>
      </w:r>
      <w:r w:rsidRPr="00AB66EC">
        <w:rPr>
          <w:rFonts w:asciiTheme="majorHAnsi" w:hAnsiTheme="majorHAnsi" w:cstheme="majorHAnsi"/>
          <w:b w:val="0"/>
          <w:bCs/>
          <w:color w:val="auto"/>
        </w:rPr>
        <w:t xml:space="preserve">. </w:t>
      </w:r>
      <w:r w:rsidR="008C0F98">
        <w:rPr>
          <w:rFonts w:asciiTheme="majorHAnsi" w:hAnsiTheme="majorHAnsi" w:cstheme="majorHAnsi"/>
          <w:b w:val="0"/>
          <w:bCs/>
          <w:color w:val="auto"/>
        </w:rPr>
        <w:t>A</w:t>
      </w:r>
      <w:r w:rsidRPr="00AB66EC">
        <w:rPr>
          <w:rFonts w:asciiTheme="majorHAnsi" w:hAnsiTheme="majorHAnsi" w:cstheme="majorHAnsi"/>
          <w:b w:val="0"/>
          <w:bCs/>
          <w:color w:val="auto"/>
        </w:rPr>
        <w:t xml:space="preserve">ddressing the </w:t>
      </w:r>
      <w:r w:rsidR="00523B9F" w:rsidRPr="00AB66EC">
        <w:rPr>
          <w:rFonts w:asciiTheme="majorHAnsi" w:hAnsiTheme="majorHAnsi" w:cstheme="majorHAnsi"/>
          <w:b w:val="0"/>
          <w:bCs/>
          <w:color w:val="auto"/>
        </w:rPr>
        <w:t>productivity</w:t>
      </w:r>
      <w:r w:rsidR="00523B9F">
        <w:rPr>
          <w:rFonts w:asciiTheme="majorHAnsi" w:hAnsiTheme="majorHAnsi" w:cstheme="majorHAnsi"/>
          <w:b w:val="0"/>
          <w:bCs/>
          <w:color w:val="auto"/>
        </w:rPr>
        <w:t xml:space="preserve"> </w:t>
      </w:r>
      <w:r w:rsidRPr="00AB66EC">
        <w:rPr>
          <w:rFonts w:asciiTheme="majorHAnsi" w:hAnsiTheme="majorHAnsi" w:cstheme="majorHAnsi"/>
          <w:b w:val="0"/>
          <w:bCs/>
          <w:color w:val="auto"/>
        </w:rPr>
        <w:t xml:space="preserve">slowdown </w:t>
      </w:r>
      <w:r w:rsidR="00523B9F">
        <w:rPr>
          <w:rFonts w:asciiTheme="majorHAnsi" w:hAnsiTheme="majorHAnsi" w:cstheme="majorHAnsi"/>
          <w:b w:val="0"/>
          <w:bCs/>
          <w:color w:val="auto"/>
        </w:rPr>
        <w:t xml:space="preserve">is </w:t>
      </w:r>
      <w:r w:rsidR="001B6531">
        <w:rPr>
          <w:rFonts w:asciiTheme="majorHAnsi" w:hAnsiTheme="majorHAnsi" w:cstheme="majorHAnsi"/>
          <w:b w:val="0"/>
          <w:bCs/>
          <w:color w:val="auto"/>
        </w:rPr>
        <w:t>important in</w:t>
      </w:r>
      <w:r w:rsidR="008C0F98" w:rsidRPr="00AB66EC">
        <w:rPr>
          <w:rFonts w:asciiTheme="majorHAnsi" w:hAnsiTheme="majorHAnsi" w:cstheme="majorHAnsi"/>
          <w:b w:val="0"/>
          <w:bCs/>
          <w:color w:val="auto"/>
        </w:rPr>
        <w:t xml:space="preserve"> achieving these goals</w:t>
      </w:r>
      <w:r w:rsidRPr="00AB66EC">
        <w:rPr>
          <w:rFonts w:asciiTheme="majorHAnsi" w:hAnsiTheme="majorHAnsi" w:cstheme="majorHAnsi"/>
          <w:b w:val="0"/>
          <w:bCs/>
          <w:color w:val="auto"/>
        </w:rPr>
        <w:t xml:space="preserve">. </w:t>
      </w:r>
    </w:p>
    <w:p w14:paraId="3EEC2C89" w14:textId="4AB8D69E" w:rsidR="00D92DF9" w:rsidRDefault="00F27D41" w:rsidP="00B43745">
      <w:pPr>
        <w:pStyle w:val="TOC1"/>
        <w:rPr>
          <w:rFonts w:asciiTheme="majorHAnsi" w:hAnsiTheme="majorHAnsi" w:cstheme="majorHAnsi"/>
          <w:b w:val="0"/>
          <w:bCs/>
          <w:color w:val="auto"/>
        </w:rPr>
      </w:pPr>
      <w:r w:rsidRPr="00F27D41">
        <w:rPr>
          <w:rFonts w:asciiTheme="majorHAnsi" w:hAnsiTheme="majorHAnsi" w:cstheme="majorHAnsi"/>
          <w:b w:val="0"/>
          <w:bCs/>
          <w:color w:val="auto"/>
        </w:rPr>
        <w:t>Productivity growth is the key driver of living standards over the long run</w:t>
      </w:r>
      <w:r w:rsidR="00523B9F">
        <w:rPr>
          <w:rFonts w:asciiTheme="majorHAnsi" w:hAnsiTheme="majorHAnsi" w:cstheme="majorHAnsi"/>
          <w:b w:val="0"/>
          <w:bCs/>
          <w:color w:val="auto"/>
        </w:rPr>
        <w:t>.</w:t>
      </w:r>
      <w:r w:rsidRPr="00F27D41">
        <w:rPr>
          <w:rFonts w:asciiTheme="majorHAnsi" w:hAnsiTheme="majorHAnsi" w:cstheme="majorHAnsi"/>
          <w:b w:val="0"/>
          <w:bCs/>
          <w:color w:val="auto"/>
        </w:rPr>
        <w:t xml:space="preserve"> </w:t>
      </w:r>
      <w:r w:rsidR="00405F7E">
        <w:rPr>
          <w:rFonts w:asciiTheme="majorHAnsi" w:hAnsiTheme="majorHAnsi" w:cstheme="majorHAnsi"/>
          <w:b w:val="0"/>
          <w:bCs/>
          <w:color w:val="auto"/>
        </w:rPr>
        <w:t>O</w:t>
      </w:r>
      <w:r w:rsidR="00230BF5">
        <w:rPr>
          <w:rFonts w:asciiTheme="majorHAnsi" w:hAnsiTheme="majorHAnsi" w:cstheme="majorHAnsi"/>
          <w:b w:val="0"/>
          <w:bCs/>
          <w:color w:val="auto"/>
        </w:rPr>
        <w:t xml:space="preserve">ver the </w:t>
      </w:r>
      <w:r w:rsidR="00666328">
        <w:rPr>
          <w:rFonts w:asciiTheme="majorHAnsi" w:hAnsiTheme="majorHAnsi" w:cstheme="majorHAnsi"/>
          <w:b w:val="0"/>
          <w:bCs/>
          <w:color w:val="auto"/>
        </w:rPr>
        <w:t>p</w:t>
      </w:r>
      <w:r w:rsidR="00230BF5">
        <w:rPr>
          <w:rFonts w:asciiTheme="majorHAnsi" w:hAnsiTheme="majorHAnsi" w:cstheme="majorHAnsi"/>
          <w:b w:val="0"/>
          <w:bCs/>
          <w:color w:val="auto"/>
        </w:rPr>
        <w:t>ast 30</w:t>
      </w:r>
      <w:r w:rsidR="006E5790">
        <w:rPr>
          <w:rFonts w:asciiTheme="majorHAnsi" w:hAnsiTheme="majorHAnsi" w:cstheme="majorHAnsi"/>
          <w:b w:val="0"/>
          <w:bCs/>
          <w:color w:val="auto"/>
        </w:rPr>
        <w:t> </w:t>
      </w:r>
      <w:r w:rsidR="00230BF5">
        <w:rPr>
          <w:rFonts w:asciiTheme="majorHAnsi" w:hAnsiTheme="majorHAnsi" w:cstheme="majorHAnsi"/>
          <w:b w:val="0"/>
          <w:bCs/>
          <w:color w:val="auto"/>
        </w:rPr>
        <w:t>years, l</w:t>
      </w:r>
      <w:r w:rsidRPr="00F27D41">
        <w:rPr>
          <w:rFonts w:asciiTheme="majorHAnsi" w:hAnsiTheme="majorHAnsi" w:cstheme="majorHAnsi"/>
          <w:b w:val="0"/>
          <w:bCs/>
          <w:color w:val="auto"/>
        </w:rPr>
        <w:t xml:space="preserve">abour productivity </w:t>
      </w:r>
      <w:r w:rsidR="00523B9F">
        <w:rPr>
          <w:rFonts w:asciiTheme="majorHAnsi" w:hAnsiTheme="majorHAnsi" w:cstheme="majorHAnsi"/>
          <w:b w:val="0"/>
          <w:bCs/>
          <w:color w:val="auto"/>
        </w:rPr>
        <w:t xml:space="preserve">growth </w:t>
      </w:r>
      <w:r w:rsidR="000E62D6">
        <w:rPr>
          <w:rFonts w:asciiTheme="majorHAnsi" w:hAnsiTheme="majorHAnsi" w:cstheme="majorHAnsi"/>
          <w:b w:val="0"/>
          <w:bCs/>
          <w:color w:val="auto"/>
        </w:rPr>
        <w:t xml:space="preserve">has </w:t>
      </w:r>
      <w:r w:rsidRPr="00F27D41">
        <w:rPr>
          <w:rFonts w:asciiTheme="majorHAnsi" w:hAnsiTheme="majorHAnsi" w:cstheme="majorHAnsi"/>
          <w:b w:val="0"/>
          <w:bCs/>
          <w:color w:val="auto"/>
        </w:rPr>
        <w:t xml:space="preserve">accounted for around 80 per cent of growth in real </w:t>
      </w:r>
      <w:r>
        <w:rPr>
          <w:rFonts w:asciiTheme="majorHAnsi" w:hAnsiTheme="majorHAnsi" w:cstheme="majorHAnsi"/>
          <w:b w:val="0"/>
          <w:bCs/>
          <w:color w:val="auto"/>
        </w:rPr>
        <w:t>income</w:t>
      </w:r>
      <w:r w:rsidRPr="00F27D41">
        <w:rPr>
          <w:rFonts w:asciiTheme="majorHAnsi" w:hAnsiTheme="majorHAnsi" w:cstheme="majorHAnsi"/>
          <w:b w:val="0"/>
          <w:bCs/>
          <w:color w:val="auto"/>
        </w:rPr>
        <w:t xml:space="preserve"> per capita in Australia. Even small variations in productivity growth can have large, long</w:t>
      </w:r>
      <w:r w:rsidR="002B75D0">
        <w:rPr>
          <w:rFonts w:asciiTheme="majorHAnsi" w:hAnsiTheme="majorHAnsi" w:cstheme="majorHAnsi"/>
          <w:b w:val="0"/>
          <w:bCs/>
          <w:color w:val="auto"/>
        </w:rPr>
        <w:noBreakHyphen/>
      </w:r>
      <w:r w:rsidRPr="00F27D41">
        <w:rPr>
          <w:rFonts w:asciiTheme="majorHAnsi" w:hAnsiTheme="majorHAnsi" w:cstheme="majorHAnsi"/>
          <w:b w:val="0"/>
          <w:bCs/>
          <w:color w:val="auto"/>
        </w:rPr>
        <w:t>run impacts on living standards</w:t>
      </w:r>
      <w:r w:rsidR="000E62D6">
        <w:rPr>
          <w:rFonts w:asciiTheme="majorHAnsi" w:hAnsiTheme="majorHAnsi" w:cstheme="majorHAnsi"/>
          <w:b w:val="0"/>
          <w:bCs/>
          <w:color w:val="auto"/>
        </w:rPr>
        <w:t>.</w:t>
      </w:r>
      <w:r w:rsidRPr="00F27D41">
        <w:rPr>
          <w:rFonts w:asciiTheme="majorHAnsi" w:hAnsiTheme="majorHAnsi" w:cstheme="majorHAnsi"/>
          <w:b w:val="0"/>
          <w:bCs/>
          <w:color w:val="auto"/>
        </w:rPr>
        <w:t xml:space="preserve"> </w:t>
      </w:r>
      <w:r w:rsidR="00BD46BE">
        <w:rPr>
          <w:rFonts w:asciiTheme="majorHAnsi" w:hAnsiTheme="majorHAnsi" w:cstheme="majorHAnsi"/>
          <w:b w:val="0"/>
          <w:bCs/>
          <w:color w:val="auto"/>
        </w:rPr>
        <w:t>The</w:t>
      </w:r>
      <w:r w:rsidR="002014F6">
        <w:rPr>
          <w:rFonts w:asciiTheme="majorHAnsi" w:hAnsiTheme="majorHAnsi" w:cstheme="majorHAnsi"/>
          <w:b w:val="0"/>
          <w:bCs/>
          <w:color w:val="auto"/>
        </w:rPr>
        <w:t xml:space="preserve"> 2021 Intergenerational Report</w:t>
      </w:r>
      <w:r w:rsidR="00BD46BE">
        <w:rPr>
          <w:rFonts w:asciiTheme="majorHAnsi" w:hAnsiTheme="majorHAnsi" w:cstheme="majorHAnsi"/>
          <w:b w:val="0"/>
          <w:bCs/>
          <w:color w:val="auto"/>
        </w:rPr>
        <w:t xml:space="preserve"> showed </w:t>
      </w:r>
      <w:r w:rsidR="002014F6">
        <w:rPr>
          <w:rFonts w:asciiTheme="majorHAnsi" w:hAnsiTheme="majorHAnsi" w:cstheme="majorHAnsi"/>
          <w:b w:val="0"/>
          <w:bCs/>
          <w:color w:val="auto"/>
        </w:rPr>
        <w:t xml:space="preserve">that </w:t>
      </w:r>
      <w:r w:rsidRPr="00F27D41">
        <w:rPr>
          <w:rFonts w:asciiTheme="majorHAnsi" w:hAnsiTheme="majorHAnsi" w:cstheme="majorHAnsi"/>
          <w:b w:val="0"/>
          <w:bCs/>
          <w:color w:val="auto"/>
        </w:rPr>
        <w:t xml:space="preserve">if Australia’s productivity growth remains around 1.2 per cent instead of rising to 1.5 per cent, gross national income </w:t>
      </w:r>
      <w:r w:rsidR="00AD5A9C">
        <w:rPr>
          <w:rFonts w:asciiTheme="majorHAnsi" w:hAnsiTheme="majorHAnsi" w:cstheme="majorHAnsi"/>
          <w:b w:val="0"/>
          <w:bCs/>
          <w:color w:val="auto"/>
        </w:rPr>
        <w:t xml:space="preserve">per person </w:t>
      </w:r>
      <w:r w:rsidRPr="00F27D41">
        <w:rPr>
          <w:rFonts w:asciiTheme="majorHAnsi" w:hAnsiTheme="majorHAnsi" w:cstheme="majorHAnsi"/>
          <w:b w:val="0"/>
          <w:bCs/>
          <w:color w:val="auto"/>
        </w:rPr>
        <w:t>is estimated to be $13,000 lower in real terms by 2060.</w:t>
      </w:r>
      <w:r w:rsidR="002014F6">
        <w:rPr>
          <w:rFonts w:asciiTheme="majorHAnsi" w:hAnsiTheme="majorHAnsi" w:cstheme="majorHAnsi"/>
          <w:b w:val="0"/>
          <w:bCs/>
          <w:color w:val="auto"/>
        </w:rPr>
        <w:t xml:space="preserve"> </w:t>
      </w:r>
      <w:r w:rsidR="00D92DF9" w:rsidRPr="00AB66EC">
        <w:rPr>
          <w:rFonts w:asciiTheme="majorHAnsi" w:hAnsiTheme="majorHAnsi" w:cstheme="majorHAnsi"/>
          <w:b w:val="0"/>
          <w:bCs/>
          <w:color w:val="auto"/>
        </w:rPr>
        <w:t>A</w:t>
      </w:r>
      <w:r w:rsidR="00D92DF9">
        <w:rPr>
          <w:rFonts w:asciiTheme="majorHAnsi" w:hAnsiTheme="majorHAnsi" w:cstheme="majorHAnsi"/>
          <w:b w:val="0"/>
          <w:bCs/>
          <w:color w:val="auto"/>
        </w:rPr>
        <w:t>ccordingly</w:t>
      </w:r>
      <w:r w:rsidR="00D92DF9" w:rsidRPr="00AB66EC">
        <w:rPr>
          <w:rFonts w:asciiTheme="majorHAnsi" w:hAnsiTheme="majorHAnsi" w:cstheme="majorHAnsi"/>
          <w:b w:val="0"/>
          <w:bCs/>
          <w:color w:val="auto"/>
        </w:rPr>
        <w:t xml:space="preserve">, productivity </w:t>
      </w:r>
      <w:r w:rsidR="001A5278">
        <w:rPr>
          <w:rFonts w:asciiTheme="majorHAnsi" w:hAnsiTheme="majorHAnsi" w:cstheme="majorHAnsi"/>
          <w:b w:val="0"/>
          <w:bCs/>
          <w:color w:val="auto"/>
        </w:rPr>
        <w:t>was chosen as</w:t>
      </w:r>
      <w:r w:rsidR="001A5278" w:rsidRPr="00AB66EC">
        <w:rPr>
          <w:rFonts w:asciiTheme="majorHAnsi" w:hAnsiTheme="majorHAnsi" w:cstheme="majorHAnsi"/>
          <w:b w:val="0"/>
          <w:bCs/>
          <w:color w:val="auto"/>
        </w:rPr>
        <w:t xml:space="preserve"> </w:t>
      </w:r>
      <w:r w:rsidR="00D92DF9" w:rsidRPr="00AB66EC">
        <w:rPr>
          <w:rFonts w:asciiTheme="majorHAnsi" w:hAnsiTheme="majorHAnsi" w:cstheme="majorHAnsi"/>
          <w:b w:val="0"/>
          <w:bCs/>
          <w:color w:val="auto"/>
        </w:rPr>
        <w:t xml:space="preserve">the theme </w:t>
      </w:r>
      <w:r w:rsidR="00BD46BE">
        <w:rPr>
          <w:rFonts w:asciiTheme="majorHAnsi" w:hAnsiTheme="majorHAnsi" w:cstheme="majorHAnsi"/>
          <w:b w:val="0"/>
          <w:bCs/>
          <w:color w:val="auto"/>
        </w:rPr>
        <w:t xml:space="preserve">for </w:t>
      </w:r>
      <w:r w:rsidR="001A5278">
        <w:rPr>
          <w:rFonts w:asciiTheme="majorHAnsi" w:hAnsiTheme="majorHAnsi" w:cstheme="majorHAnsi"/>
          <w:b w:val="0"/>
          <w:bCs/>
          <w:color w:val="auto"/>
        </w:rPr>
        <w:t>this</w:t>
      </w:r>
      <w:r w:rsidR="00BD46BE">
        <w:rPr>
          <w:rFonts w:asciiTheme="majorHAnsi" w:hAnsiTheme="majorHAnsi" w:cstheme="majorHAnsi"/>
          <w:b w:val="0"/>
          <w:bCs/>
          <w:color w:val="auto"/>
        </w:rPr>
        <w:t xml:space="preserve"> first edition of</w:t>
      </w:r>
      <w:r w:rsidR="00BD46BE" w:rsidRPr="00AB66EC">
        <w:rPr>
          <w:rFonts w:asciiTheme="majorHAnsi" w:hAnsiTheme="majorHAnsi" w:cstheme="majorHAnsi"/>
          <w:b w:val="0"/>
          <w:bCs/>
          <w:color w:val="auto"/>
        </w:rPr>
        <w:t xml:space="preserve"> </w:t>
      </w:r>
      <w:r w:rsidR="00D92DF9" w:rsidRPr="00AB66EC">
        <w:rPr>
          <w:rFonts w:asciiTheme="majorHAnsi" w:hAnsiTheme="majorHAnsi" w:cstheme="majorHAnsi"/>
          <w:b w:val="0"/>
          <w:bCs/>
          <w:color w:val="auto"/>
        </w:rPr>
        <w:t xml:space="preserve">the reinstated Treasury Round Up. </w:t>
      </w:r>
    </w:p>
    <w:p w14:paraId="6A0A3BEC" w14:textId="3B420AE0" w:rsidR="00D92DF9" w:rsidRPr="00AB66EC" w:rsidRDefault="00D92DF9" w:rsidP="0044127F">
      <w:pPr>
        <w:rPr>
          <w:rFonts w:asciiTheme="majorHAnsi" w:hAnsiTheme="majorHAnsi" w:cstheme="majorHAnsi"/>
          <w:bCs/>
        </w:rPr>
      </w:pPr>
      <w:r w:rsidRPr="00AB66EC">
        <w:rPr>
          <w:rFonts w:asciiTheme="majorHAnsi" w:hAnsiTheme="majorHAnsi" w:cstheme="majorHAnsi"/>
          <w:bCs/>
        </w:rPr>
        <w:t xml:space="preserve">The first </w:t>
      </w:r>
      <w:r w:rsidR="00984E79">
        <w:rPr>
          <w:rFonts w:asciiTheme="majorHAnsi" w:hAnsiTheme="majorHAnsi" w:cstheme="majorHAnsi"/>
          <w:bCs/>
        </w:rPr>
        <w:t>article</w:t>
      </w:r>
      <w:r w:rsidR="00984E79" w:rsidRPr="00AB66EC">
        <w:rPr>
          <w:rFonts w:asciiTheme="majorHAnsi" w:hAnsiTheme="majorHAnsi" w:cstheme="majorHAnsi"/>
          <w:bCs/>
        </w:rPr>
        <w:t xml:space="preserve"> </w:t>
      </w:r>
      <w:r w:rsidRPr="00AB66EC">
        <w:rPr>
          <w:rFonts w:asciiTheme="majorHAnsi" w:hAnsiTheme="majorHAnsi" w:cstheme="majorHAnsi"/>
          <w:bCs/>
        </w:rPr>
        <w:t xml:space="preserve">– </w:t>
      </w:r>
      <w:r w:rsidR="00432506">
        <w:rPr>
          <w:rFonts w:asciiTheme="majorHAnsi" w:hAnsiTheme="majorHAnsi" w:cstheme="majorHAnsi"/>
          <w:bCs/>
        </w:rPr>
        <w:t>‘</w:t>
      </w:r>
      <w:r w:rsidRPr="00B43745">
        <w:rPr>
          <w:rFonts w:asciiTheme="majorHAnsi" w:hAnsiTheme="majorHAnsi" w:cstheme="majorHAnsi"/>
          <w:bCs/>
        </w:rPr>
        <w:t xml:space="preserve">Understanding </w:t>
      </w:r>
      <w:r w:rsidR="00984E79" w:rsidRPr="00B43745">
        <w:rPr>
          <w:rFonts w:asciiTheme="majorHAnsi" w:hAnsiTheme="majorHAnsi" w:cstheme="majorHAnsi"/>
          <w:bCs/>
        </w:rPr>
        <w:t>p</w:t>
      </w:r>
      <w:r w:rsidRPr="00B43745">
        <w:rPr>
          <w:rFonts w:asciiTheme="majorHAnsi" w:hAnsiTheme="majorHAnsi" w:cstheme="majorHAnsi"/>
          <w:bCs/>
        </w:rPr>
        <w:t xml:space="preserve">roductivity in Australia and the </w:t>
      </w:r>
      <w:r w:rsidR="00984E79" w:rsidRPr="00B43745">
        <w:rPr>
          <w:rFonts w:asciiTheme="majorHAnsi" w:hAnsiTheme="majorHAnsi" w:cstheme="majorHAnsi"/>
          <w:bCs/>
        </w:rPr>
        <w:t>g</w:t>
      </w:r>
      <w:r w:rsidRPr="00B43745">
        <w:rPr>
          <w:rFonts w:asciiTheme="majorHAnsi" w:hAnsiTheme="majorHAnsi" w:cstheme="majorHAnsi"/>
          <w:bCs/>
        </w:rPr>
        <w:t xml:space="preserve">lobal </w:t>
      </w:r>
      <w:r w:rsidR="00984E79" w:rsidRPr="00B43745">
        <w:rPr>
          <w:rFonts w:asciiTheme="majorHAnsi" w:hAnsiTheme="majorHAnsi" w:cstheme="majorHAnsi"/>
          <w:bCs/>
        </w:rPr>
        <w:t>s</w:t>
      </w:r>
      <w:r w:rsidRPr="00B43745">
        <w:rPr>
          <w:rFonts w:asciiTheme="majorHAnsi" w:hAnsiTheme="majorHAnsi" w:cstheme="majorHAnsi"/>
          <w:bCs/>
        </w:rPr>
        <w:t>lowdown</w:t>
      </w:r>
      <w:r w:rsidR="00432506">
        <w:rPr>
          <w:rFonts w:asciiTheme="majorHAnsi" w:hAnsiTheme="majorHAnsi" w:cstheme="majorHAnsi"/>
          <w:bCs/>
        </w:rPr>
        <w:t>’</w:t>
      </w:r>
      <w:r w:rsidRPr="00AB66EC">
        <w:rPr>
          <w:rFonts w:asciiTheme="majorHAnsi" w:hAnsiTheme="majorHAnsi" w:cstheme="majorHAnsi"/>
          <w:bCs/>
        </w:rPr>
        <w:t xml:space="preserve"> – </w:t>
      </w:r>
      <w:r w:rsidR="003316B5">
        <w:rPr>
          <w:rFonts w:asciiTheme="majorHAnsi" w:hAnsiTheme="majorHAnsi" w:cstheme="majorHAnsi"/>
          <w:bCs/>
        </w:rPr>
        <w:t xml:space="preserve">is an overview </w:t>
      </w:r>
      <w:r w:rsidR="00984E79">
        <w:rPr>
          <w:rFonts w:asciiTheme="majorHAnsi" w:hAnsiTheme="majorHAnsi" w:cstheme="majorHAnsi"/>
          <w:bCs/>
        </w:rPr>
        <w:t>of why</w:t>
      </w:r>
      <w:r w:rsidRPr="00AB66EC">
        <w:rPr>
          <w:rFonts w:asciiTheme="majorHAnsi" w:hAnsiTheme="majorHAnsi" w:cstheme="majorHAnsi"/>
          <w:bCs/>
        </w:rPr>
        <w:t xml:space="preserve"> productivity growth is </w:t>
      </w:r>
      <w:r>
        <w:rPr>
          <w:rFonts w:asciiTheme="majorHAnsi" w:hAnsiTheme="majorHAnsi" w:cstheme="majorHAnsi"/>
          <w:bCs/>
        </w:rPr>
        <w:t>important</w:t>
      </w:r>
      <w:r w:rsidRPr="00AB66EC">
        <w:rPr>
          <w:rFonts w:asciiTheme="majorHAnsi" w:hAnsiTheme="majorHAnsi" w:cstheme="majorHAnsi"/>
          <w:bCs/>
        </w:rPr>
        <w:t xml:space="preserve"> </w:t>
      </w:r>
      <w:r w:rsidR="00984E79">
        <w:rPr>
          <w:rFonts w:asciiTheme="majorHAnsi" w:hAnsiTheme="majorHAnsi" w:cstheme="majorHAnsi"/>
          <w:bCs/>
        </w:rPr>
        <w:t>for</w:t>
      </w:r>
      <w:r w:rsidR="00984E79" w:rsidRPr="00AB66EC">
        <w:rPr>
          <w:rFonts w:asciiTheme="majorHAnsi" w:hAnsiTheme="majorHAnsi" w:cstheme="majorHAnsi"/>
          <w:bCs/>
        </w:rPr>
        <w:t xml:space="preserve"> </w:t>
      </w:r>
      <w:r w:rsidRPr="00AB66EC">
        <w:rPr>
          <w:rFonts w:asciiTheme="majorHAnsi" w:hAnsiTheme="majorHAnsi" w:cstheme="majorHAnsi"/>
          <w:bCs/>
        </w:rPr>
        <w:t>rising living standards</w:t>
      </w:r>
      <w:r w:rsidR="00AD5A9C">
        <w:rPr>
          <w:rFonts w:asciiTheme="majorHAnsi" w:hAnsiTheme="majorHAnsi" w:cstheme="majorHAnsi"/>
          <w:bCs/>
        </w:rPr>
        <w:t xml:space="preserve">. </w:t>
      </w:r>
      <w:r w:rsidRPr="00AB66EC">
        <w:rPr>
          <w:rFonts w:asciiTheme="majorHAnsi" w:hAnsiTheme="majorHAnsi" w:cstheme="majorHAnsi"/>
          <w:bCs/>
        </w:rPr>
        <w:t>Australia and other advanced countries have experienced a slowdown in growth</w:t>
      </w:r>
      <w:r w:rsidR="00984E79">
        <w:rPr>
          <w:rFonts w:asciiTheme="majorHAnsi" w:hAnsiTheme="majorHAnsi" w:cstheme="majorHAnsi"/>
          <w:bCs/>
        </w:rPr>
        <w:t xml:space="preserve"> for a decade or more</w:t>
      </w:r>
      <w:r w:rsidRPr="00AB66EC">
        <w:rPr>
          <w:rFonts w:asciiTheme="majorHAnsi" w:hAnsiTheme="majorHAnsi" w:cstheme="majorHAnsi"/>
          <w:bCs/>
        </w:rPr>
        <w:t xml:space="preserve">. This suggests </w:t>
      </w:r>
      <w:r w:rsidR="0044127F">
        <w:rPr>
          <w:rFonts w:asciiTheme="majorHAnsi" w:hAnsiTheme="majorHAnsi" w:cstheme="majorHAnsi"/>
          <w:bCs/>
        </w:rPr>
        <w:t>some shared headwinds</w:t>
      </w:r>
      <w:r w:rsidRPr="00AB66EC">
        <w:rPr>
          <w:rFonts w:asciiTheme="majorHAnsi" w:hAnsiTheme="majorHAnsi" w:cstheme="majorHAnsi"/>
          <w:bCs/>
        </w:rPr>
        <w:t xml:space="preserve">, </w:t>
      </w:r>
      <w:r w:rsidR="0044127F">
        <w:rPr>
          <w:rFonts w:asciiTheme="majorHAnsi" w:hAnsiTheme="majorHAnsi" w:cstheme="majorHAnsi"/>
          <w:bCs/>
        </w:rPr>
        <w:t xml:space="preserve">be it trends in </w:t>
      </w:r>
      <w:r w:rsidRPr="00AB66EC">
        <w:rPr>
          <w:rFonts w:asciiTheme="majorHAnsi" w:hAnsiTheme="majorHAnsi" w:cstheme="majorHAnsi"/>
          <w:bCs/>
        </w:rPr>
        <w:t>competition, technology adoption</w:t>
      </w:r>
      <w:r w:rsidR="007806B9">
        <w:rPr>
          <w:rFonts w:asciiTheme="majorHAnsi" w:hAnsiTheme="majorHAnsi" w:cstheme="majorHAnsi"/>
          <w:bCs/>
        </w:rPr>
        <w:t xml:space="preserve"> or</w:t>
      </w:r>
      <w:r w:rsidRPr="00AB66EC">
        <w:rPr>
          <w:rFonts w:asciiTheme="majorHAnsi" w:hAnsiTheme="majorHAnsi" w:cstheme="majorHAnsi"/>
          <w:bCs/>
        </w:rPr>
        <w:t xml:space="preserve"> human capital</w:t>
      </w:r>
      <w:r w:rsidR="00984E79">
        <w:rPr>
          <w:rFonts w:asciiTheme="majorHAnsi" w:hAnsiTheme="majorHAnsi" w:cstheme="majorHAnsi"/>
          <w:bCs/>
        </w:rPr>
        <w:t xml:space="preserve">. </w:t>
      </w:r>
      <w:r w:rsidR="003316B5">
        <w:rPr>
          <w:rFonts w:asciiTheme="majorHAnsi" w:hAnsiTheme="majorHAnsi" w:cstheme="majorHAnsi"/>
          <w:bCs/>
        </w:rPr>
        <w:t xml:space="preserve">The articles that follow </w:t>
      </w:r>
      <w:r w:rsidR="00405F7E">
        <w:rPr>
          <w:rFonts w:asciiTheme="majorHAnsi" w:hAnsiTheme="majorHAnsi" w:cstheme="majorHAnsi"/>
          <w:bCs/>
        </w:rPr>
        <w:t>fu</w:t>
      </w:r>
      <w:r w:rsidR="00046A88">
        <w:rPr>
          <w:rFonts w:asciiTheme="majorHAnsi" w:hAnsiTheme="majorHAnsi" w:cstheme="majorHAnsi"/>
          <w:bCs/>
        </w:rPr>
        <w:t>r</w:t>
      </w:r>
      <w:r w:rsidR="00405F7E">
        <w:rPr>
          <w:rFonts w:asciiTheme="majorHAnsi" w:hAnsiTheme="majorHAnsi" w:cstheme="majorHAnsi"/>
          <w:bCs/>
        </w:rPr>
        <w:t xml:space="preserve">ther examine </w:t>
      </w:r>
      <w:r w:rsidR="003316B5">
        <w:rPr>
          <w:rFonts w:asciiTheme="majorHAnsi" w:hAnsiTheme="majorHAnsi" w:cstheme="majorHAnsi"/>
          <w:bCs/>
        </w:rPr>
        <w:t xml:space="preserve">these areas that influence productivity. </w:t>
      </w:r>
    </w:p>
    <w:p w14:paraId="25A9C18D" w14:textId="7049E0A0" w:rsidR="00D92DF9" w:rsidRDefault="004260F2" w:rsidP="00AC3CF8">
      <w:pPr>
        <w:pStyle w:val="TOC1"/>
        <w:rPr>
          <w:rFonts w:asciiTheme="majorHAnsi" w:hAnsiTheme="majorHAnsi" w:cstheme="majorHAnsi"/>
          <w:b w:val="0"/>
          <w:bCs/>
          <w:color w:val="auto"/>
        </w:rPr>
      </w:pPr>
      <w:r>
        <w:rPr>
          <w:rFonts w:asciiTheme="majorHAnsi" w:hAnsiTheme="majorHAnsi" w:cstheme="majorHAnsi"/>
          <w:b w:val="0"/>
          <w:bCs/>
          <w:color w:val="auto"/>
        </w:rPr>
        <w:t>‘</w:t>
      </w:r>
      <w:r w:rsidR="00D92DF9" w:rsidRPr="00AC3CF8">
        <w:rPr>
          <w:rFonts w:asciiTheme="majorHAnsi" w:hAnsiTheme="majorHAnsi" w:cstheme="majorHAnsi"/>
          <w:b w:val="0"/>
          <w:color w:val="auto"/>
        </w:rPr>
        <w:t xml:space="preserve">Competition in Australia and </w:t>
      </w:r>
      <w:r w:rsidR="00E8263F" w:rsidRPr="00AC3CF8">
        <w:rPr>
          <w:rFonts w:asciiTheme="majorHAnsi" w:hAnsiTheme="majorHAnsi" w:cstheme="majorHAnsi"/>
          <w:b w:val="0"/>
          <w:bCs/>
          <w:color w:val="auto"/>
        </w:rPr>
        <w:t>i</w:t>
      </w:r>
      <w:r w:rsidR="00D92DF9" w:rsidRPr="00AC3CF8">
        <w:rPr>
          <w:rFonts w:asciiTheme="majorHAnsi" w:hAnsiTheme="majorHAnsi" w:cstheme="majorHAnsi"/>
          <w:b w:val="0"/>
          <w:bCs/>
          <w:color w:val="auto"/>
        </w:rPr>
        <w:t xml:space="preserve">ts </w:t>
      </w:r>
      <w:r w:rsidR="00E8263F" w:rsidRPr="00AC3CF8">
        <w:rPr>
          <w:rFonts w:asciiTheme="majorHAnsi" w:hAnsiTheme="majorHAnsi" w:cstheme="majorHAnsi"/>
          <w:b w:val="0"/>
          <w:bCs/>
          <w:color w:val="auto"/>
        </w:rPr>
        <w:t>i</w:t>
      </w:r>
      <w:r w:rsidR="00D92DF9" w:rsidRPr="00AC3CF8">
        <w:rPr>
          <w:rFonts w:asciiTheme="majorHAnsi" w:hAnsiTheme="majorHAnsi" w:cstheme="majorHAnsi"/>
          <w:b w:val="0"/>
          <w:bCs/>
          <w:color w:val="auto"/>
        </w:rPr>
        <w:t>mpact</w:t>
      </w:r>
      <w:r w:rsidR="00D92DF9" w:rsidRPr="00AC3CF8">
        <w:rPr>
          <w:rFonts w:asciiTheme="majorHAnsi" w:hAnsiTheme="majorHAnsi" w:cstheme="majorHAnsi"/>
          <w:b w:val="0"/>
          <w:color w:val="auto"/>
        </w:rPr>
        <w:t xml:space="preserve"> on </w:t>
      </w:r>
      <w:r w:rsidR="00E8263F" w:rsidRPr="00AC3CF8">
        <w:rPr>
          <w:rFonts w:asciiTheme="majorHAnsi" w:hAnsiTheme="majorHAnsi" w:cstheme="majorHAnsi"/>
          <w:b w:val="0"/>
          <w:bCs/>
          <w:color w:val="auto"/>
        </w:rPr>
        <w:t>p</w:t>
      </w:r>
      <w:r w:rsidR="00D92DF9" w:rsidRPr="00AC3CF8">
        <w:rPr>
          <w:rFonts w:asciiTheme="majorHAnsi" w:hAnsiTheme="majorHAnsi" w:cstheme="majorHAnsi"/>
          <w:b w:val="0"/>
          <w:bCs/>
          <w:color w:val="auto"/>
        </w:rPr>
        <w:t xml:space="preserve">roductivity </w:t>
      </w:r>
      <w:r w:rsidR="00E8263F" w:rsidRPr="00AC3CF8">
        <w:rPr>
          <w:rFonts w:asciiTheme="majorHAnsi" w:hAnsiTheme="majorHAnsi" w:cstheme="majorHAnsi"/>
          <w:b w:val="0"/>
          <w:bCs/>
          <w:color w:val="auto"/>
        </w:rPr>
        <w:t>g</w:t>
      </w:r>
      <w:r w:rsidR="00D92DF9" w:rsidRPr="00AC3CF8">
        <w:rPr>
          <w:rFonts w:asciiTheme="majorHAnsi" w:hAnsiTheme="majorHAnsi" w:cstheme="majorHAnsi"/>
          <w:b w:val="0"/>
          <w:bCs/>
          <w:color w:val="auto"/>
        </w:rPr>
        <w:t>rowth</w:t>
      </w:r>
      <w:r>
        <w:rPr>
          <w:rFonts w:asciiTheme="majorHAnsi" w:hAnsiTheme="majorHAnsi" w:cstheme="majorHAnsi"/>
          <w:b w:val="0"/>
          <w:bCs/>
          <w:color w:val="auto"/>
        </w:rPr>
        <w:t>’</w:t>
      </w:r>
      <w:r w:rsidR="00D92DF9" w:rsidRPr="00AB66EC">
        <w:rPr>
          <w:rFonts w:asciiTheme="majorHAnsi" w:hAnsiTheme="majorHAnsi" w:cstheme="majorHAnsi"/>
          <w:b w:val="0"/>
          <w:bCs/>
          <w:i/>
          <w:iCs/>
          <w:color w:val="auto"/>
        </w:rPr>
        <w:t xml:space="preserve"> </w:t>
      </w:r>
      <w:r w:rsidR="00DB4C7E">
        <w:rPr>
          <w:rFonts w:asciiTheme="majorHAnsi" w:hAnsiTheme="majorHAnsi" w:cstheme="majorHAnsi"/>
          <w:b w:val="0"/>
          <w:bCs/>
          <w:color w:val="auto"/>
        </w:rPr>
        <w:t>describes</w:t>
      </w:r>
      <w:r w:rsidR="00A0272D" w:rsidRPr="00AB66EC">
        <w:rPr>
          <w:rFonts w:asciiTheme="majorHAnsi" w:hAnsiTheme="majorHAnsi" w:cstheme="majorHAnsi"/>
          <w:b w:val="0"/>
          <w:bCs/>
          <w:color w:val="auto"/>
        </w:rPr>
        <w:t xml:space="preserve"> </w:t>
      </w:r>
      <w:r w:rsidR="00D92DF9" w:rsidRPr="00AB66EC">
        <w:rPr>
          <w:rFonts w:asciiTheme="majorHAnsi" w:hAnsiTheme="majorHAnsi" w:cstheme="majorHAnsi"/>
          <w:b w:val="0"/>
          <w:bCs/>
          <w:color w:val="auto"/>
        </w:rPr>
        <w:t xml:space="preserve">how </w:t>
      </w:r>
      <w:r w:rsidR="005B46E1">
        <w:rPr>
          <w:rFonts w:asciiTheme="majorHAnsi" w:hAnsiTheme="majorHAnsi" w:cstheme="majorHAnsi"/>
          <w:b w:val="0"/>
          <w:bCs/>
          <w:color w:val="auto"/>
        </w:rPr>
        <w:t xml:space="preserve">competition </w:t>
      </w:r>
      <w:r w:rsidR="00DB4C7E">
        <w:rPr>
          <w:rFonts w:asciiTheme="majorHAnsi" w:hAnsiTheme="majorHAnsi" w:cstheme="majorHAnsi"/>
          <w:b w:val="0"/>
          <w:bCs/>
          <w:color w:val="auto"/>
        </w:rPr>
        <w:t>drive</w:t>
      </w:r>
      <w:r w:rsidR="00AB0270">
        <w:rPr>
          <w:rFonts w:asciiTheme="majorHAnsi" w:hAnsiTheme="majorHAnsi" w:cstheme="majorHAnsi"/>
          <w:b w:val="0"/>
          <w:bCs/>
          <w:color w:val="auto"/>
        </w:rPr>
        <w:t>s</w:t>
      </w:r>
      <w:r w:rsidR="00D92DF9" w:rsidRPr="00AB66EC">
        <w:rPr>
          <w:rFonts w:asciiTheme="majorHAnsi" w:hAnsiTheme="majorHAnsi" w:cstheme="majorHAnsi"/>
          <w:b w:val="0"/>
          <w:bCs/>
          <w:color w:val="auto"/>
        </w:rPr>
        <w:t xml:space="preserve"> productivity growth</w:t>
      </w:r>
      <w:r w:rsidR="00AB0270">
        <w:rPr>
          <w:rFonts w:asciiTheme="majorHAnsi" w:hAnsiTheme="majorHAnsi" w:cstheme="majorHAnsi"/>
          <w:b w:val="0"/>
          <w:bCs/>
          <w:color w:val="auto"/>
        </w:rPr>
        <w:t xml:space="preserve"> via more innovative and dynamic markets</w:t>
      </w:r>
      <w:r w:rsidR="00DB4C7E">
        <w:rPr>
          <w:rFonts w:asciiTheme="majorHAnsi" w:hAnsiTheme="majorHAnsi" w:cstheme="majorHAnsi"/>
          <w:b w:val="0"/>
          <w:bCs/>
          <w:color w:val="auto"/>
        </w:rPr>
        <w:t xml:space="preserve">. </w:t>
      </w:r>
      <w:r w:rsidR="009D6103">
        <w:rPr>
          <w:rFonts w:asciiTheme="majorHAnsi" w:hAnsiTheme="majorHAnsi" w:cstheme="majorHAnsi"/>
          <w:b w:val="0"/>
          <w:bCs/>
          <w:color w:val="auto"/>
        </w:rPr>
        <w:t>At the same time</w:t>
      </w:r>
      <w:r w:rsidR="00DB4C7E">
        <w:rPr>
          <w:rFonts w:asciiTheme="majorHAnsi" w:hAnsiTheme="majorHAnsi" w:cstheme="majorHAnsi"/>
          <w:b w:val="0"/>
          <w:bCs/>
          <w:color w:val="auto"/>
        </w:rPr>
        <w:t>,</w:t>
      </w:r>
      <w:r w:rsidR="00D92DF9" w:rsidRPr="00AB66EC">
        <w:rPr>
          <w:rFonts w:asciiTheme="majorHAnsi" w:hAnsiTheme="majorHAnsi" w:cstheme="majorHAnsi"/>
          <w:b w:val="0"/>
          <w:bCs/>
          <w:color w:val="auto"/>
        </w:rPr>
        <w:t xml:space="preserve"> a range of indicators </w:t>
      </w:r>
      <w:r w:rsidR="007E4446">
        <w:rPr>
          <w:rFonts w:asciiTheme="majorHAnsi" w:hAnsiTheme="majorHAnsi" w:cstheme="majorHAnsi"/>
          <w:b w:val="0"/>
          <w:bCs/>
          <w:color w:val="auto"/>
        </w:rPr>
        <w:t>point to</w:t>
      </w:r>
      <w:r w:rsidR="00D92DF9" w:rsidRPr="00AB66EC">
        <w:rPr>
          <w:rFonts w:asciiTheme="majorHAnsi" w:hAnsiTheme="majorHAnsi" w:cstheme="majorHAnsi"/>
          <w:b w:val="0"/>
          <w:bCs/>
          <w:color w:val="auto"/>
        </w:rPr>
        <w:t xml:space="preserve"> </w:t>
      </w:r>
      <w:r w:rsidR="00A17790">
        <w:rPr>
          <w:rFonts w:asciiTheme="majorHAnsi" w:hAnsiTheme="majorHAnsi" w:cstheme="majorHAnsi"/>
          <w:b w:val="0"/>
          <w:bCs/>
          <w:color w:val="auto"/>
        </w:rPr>
        <w:t xml:space="preserve">an </w:t>
      </w:r>
      <w:r w:rsidR="00D92DF9">
        <w:rPr>
          <w:rFonts w:asciiTheme="majorHAnsi" w:hAnsiTheme="majorHAnsi" w:cstheme="majorHAnsi"/>
          <w:b w:val="0"/>
          <w:bCs/>
          <w:color w:val="auto"/>
        </w:rPr>
        <w:t xml:space="preserve">increase in market power </w:t>
      </w:r>
      <w:r w:rsidR="00AB0270">
        <w:rPr>
          <w:rFonts w:asciiTheme="majorHAnsi" w:hAnsiTheme="majorHAnsi" w:cstheme="majorHAnsi"/>
          <w:b w:val="0"/>
          <w:bCs/>
          <w:color w:val="auto"/>
        </w:rPr>
        <w:t>and a decline in dynamism</w:t>
      </w:r>
      <w:r w:rsidR="00D92DF9">
        <w:rPr>
          <w:rFonts w:asciiTheme="majorHAnsi" w:hAnsiTheme="majorHAnsi" w:cstheme="majorHAnsi"/>
          <w:b w:val="0"/>
          <w:bCs/>
          <w:color w:val="auto"/>
        </w:rPr>
        <w:t xml:space="preserve"> </w:t>
      </w:r>
      <w:r w:rsidR="00D92DF9" w:rsidRPr="00AB66EC">
        <w:rPr>
          <w:rFonts w:asciiTheme="majorHAnsi" w:hAnsiTheme="majorHAnsi" w:cstheme="majorHAnsi"/>
          <w:b w:val="0"/>
          <w:bCs/>
          <w:color w:val="auto"/>
        </w:rPr>
        <w:t>since the early 2000s.</w:t>
      </w:r>
      <w:r w:rsidR="00D92DF9">
        <w:rPr>
          <w:rFonts w:asciiTheme="majorHAnsi" w:hAnsiTheme="majorHAnsi" w:cstheme="majorHAnsi"/>
          <w:b w:val="0"/>
          <w:bCs/>
          <w:color w:val="auto"/>
        </w:rPr>
        <w:t xml:space="preserve"> </w:t>
      </w:r>
      <w:r w:rsidR="007679E6">
        <w:rPr>
          <w:rFonts w:asciiTheme="majorHAnsi" w:hAnsiTheme="majorHAnsi" w:cstheme="majorHAnsi"/>
          <w:b w:val="0"/>
          <w:bCs/>
          <w:color w:val="auto"/>
        </w:rPr>
        <w:t xml:space="preserve">The authors consider a range of explanations and show that </w:t>
      </w:r>
      <w:r w:rsidR="009D6103">
        <w:rPr>
          <w:rFonts w:asciiTheme="majorHAnsi" w:hAnsiTheme="majorHAnsi" w:cstheme="majorHAnsi"/>
          <w:b w:val="0"/>
          <w:bCs/>
          <w:color w:val="auto"/>
        </w:rPr>
        <w:t>reduced competition was likely partly responsible and</w:t>
      </w:r>
      <w:r w:rsidR="00DF68C7">
        <w:rPr>
          <w:rFonts w:asciiTheme="majorHAnsi" w:hAnsiTheme="majorHAnsi" w:cstheme="majorHAnsi"/>
          <w:b w:val="0"/>
          <w:bCs/>
          <w:color w:val="auto"/>
        </w:rPr>
        <w:t>,</w:t>
      </w:r>
      <w:r w:rsidR="009D6103">
        <w:rPr>
          <w:rFonts w:asciiTheme="majorHAnsi" w:hAnsiTheme="majorHAnsi" w:cstheme="majorHAnsi"/>
          <w:b w:val="0"/>
          <w:bCs/>
          <w:color w:val="auto"/>
        </w:rPr>
        <w:t xml:space="preserve"> in turn</w:t>
      </w:r>
      <w:r w:rsidR="00DF68C7">
        <w:rPr>
          <w:rFonts w:asciiTheme="majorHAnsi" w:hAnsiTheme="majorHAnsi" w:cstheme="majorHAnsi"/>
          <w:b w:val="0"/>
          <w:bCs/>
          <w:color w:val="auto"/>
        </w:rPr>
        <w:t>,</w:t>
      </w:r>
      <w:r w:rsidR="009D6103">
        <w:rPr>
          <w:rFonts w:asciiTheme="majorHAnsi" w:hAnsiTheme="majorHAnsi" w:cstheme="majorHAnsi"/>
          <w:b w:val="0"/>
          <w:bCs/>
          <w:color w:val="auto"/>
        </w:rPr>
        <w:t xml:space="preserve"> </w:t>
      </w:r>
      <w:r w:rsidR="00D92DF9">
        <w:rPr>
          <w:rFonts w:asciiTheme="majorHAnsi" w:hAnsiTheme="majorHAnsi" w:cstheme="majorHAnsi"/>
          <w:b w:val="0"/>
          <w:bCs/>
          <w:color w:val="auto"/>
        </w:rPr>
        <w:t>contribute</w:t>
      </w:r>
      <w:r w:rsidR="00371D5E">
        <w:rPr>
          <w:rFonts w:asciiTheme="majorHAnsi" w:hAnsiTheme="majorHAnsi" w:cstheme="majorHAnsi"/>
          <w:b w:val="0"/>
          <w:bCs/>
          <w:color w:val="auto"/>
        </w:rPr>
        <w:t>d</w:t>
      </w:r>
      <w:r w:rsidR="00D92DF9">
        <w:rPr>
          <w:rFonts w:asciiTheme="majorHAnsi" w:hAnsiTheme="majorHAnsi" w:cstheme="majorHAnsi"/>
          <w:b w:val="0"/>
          <w:bCs/>
          <w:color w:val="auto"/>
        </w:rPr>
        <w:t xml:space="preserve"> to the productivity slowdown. </w:t>
      </w:r>
    </w:p>
    <w:p w14:paraId="61B4C5EE" w14:textId="5BC7393B" w:rsidR="00D92DF9" w:rsidRPr="00AB66EC" w:rsidRDefault="00D92DF9" w:rsidP="00AD0BC3">
      <w:pPr>
        <w:rPr>
          <w:rFonts w:asciiTheme="majorHAnsi" w:hAnsiTheme="majorHAnsi" w:cstheme="majorHAnsi"/>
        </w:rPr>
      </w:pPr>
      <w:r w:rsidRPr="00AB66EC">
        <w:rPr>
          <w:rFonts w:asciiTheme="majorHAnsi" w:hAnsiTheme="majorHAnsi" w:cstheme="majorHAnsi"/>
        </w:rPr>
        <w:t xml:space="preserve">Productivity growth relies on the diffusion and adoption of new technologies, which is the subject of the third article: </w:t>
      </w:r>
      <w:r w:rsidR="00DF68C7">
        <w:rPr>
          <w:rFonts w:asciiTheme="majorHAnsi" w:hAnsiTheme="majorHAnsi" w:cstheme="majorHAnsi"/>
        </w:rPr>
        <w:t>‘</w:t>
      </w:r>
      <w:r w:rsidRPr="00666328">
        <w:rPr>
          <w:rFonts w:asciiTheme="majorHAnsi" w:hAnsiTheme="majorHAnsi" w:cstheme="majorHAnsi"/>
        </w:rPr>
        <w:t xml:space="preserve">How </w:t>
      </w:r>
      <w:r w:rsidR="00A0272D">
        <w:rPr>
          <w:rFonts w:asciiTheme="majorHAnsi" w:hAnsiTheme="majorHAnsi" w:cstheme="majorHAnsi"/>
        </w:rPr>
        <w:t>d</w:t>
      </w:r>
      <w:r w:rsidRPr="00666328">
        <w:rPr>
          <w:rFonts w:asciiTheme="majorHAnsi" w:hAnsiTheme="majorHAnsi" w:cstheme="majorHAnsi"/>
        </w:rPr>
        <w:t xml:space="preserve">ispersed are </w:t>
      </w:r>
      <w:r w:rsidR="00A0272D">
        <w:rPr>
          <w:rFonts w:asciiTheme="majorHAnsi" w:hAnsiTheme="majorHAnsi" w:cstheme="majorHAnsi"/>
        </w:rPr>
        <w:t>n</w:t>
      </w:r>
      <w:r w:rsidRPr="00666328">
        <w:rPr>
          <w:rFonts w:asciiTheme="majorHAnsi" w:hAnsiTheme="majorHAnsi" w:cstheme="majorHAnsi"/>
        </w:rPr>
        <w:t xml:space="preserve">ew </w:t>
      </w:r>
      <w:r w:rsidR="00A0272D">
        <w:rPr>
          <w:rFonts w:asciiTheme="majorHAnsi" w:hAnsiTheme="majorHAnsi" w:cstheme="majorHAnsi"/>
        </w:rPr>
        <w:t>t</w:t>
      </w:r>
      <w:r w:rsidRPr="00666328">
        <w:rPr>
          <w:rFonts w:asciiTheme="majorHAnsi" w:hAnsiTheme="majorHAnsi" w:cstheme="majorHAnsi"/>
        </w:rPr>
        <w:t xml:space="preserve">echnologies in the Australian </w:t>
      </w:r>
      <w:r w:rsidR="00A0272D">
        <w:rPr>
          <w:rFonts w:asciiTheme="majorHAnsi" w:hAnsiTheme="majorHAnsi" w:cstheme="majorHAnsi"/>
        </w:rPr>
        <w:t>j</w:t>
      </w:r>
      <w:r w:rsidRPr="00666328">
        <w:rPr>
          <w:rFonts w:asciiTheme="majorHAnsi" w:hAnsiTheme="majorHAnsi" w:cstheme="majorHAnsi"/>
        </w:rPr>
        <w:t xml:space="preserve">ob </w:t>
      </w:r>
      <w:r w:rsidR="00A0272D">
        <w:rPr>
          <w:rFonts w:asciiTheme="majorHAnsi" w:hAnsiTheme="majorHAnsi" w:cstheme="majorHAnsi"/>
        </w:rPr>
        <w:t>m</w:t>
      </w:r>
      <w:r w:rsidRPr="00666328">
        <w:rPr>
          <w:rFonts w:asciiTheme="majorHAnsi" w:hAnsiTheme="majorHAnsi" w:cstheme="majorHAnsi"/>
        </w:rPr>
        <w:t>arket?</w:t>
      </w:r>
      <w:r w:rsidR="00DF68C7">
        <w:rPr>
          <w:rFonts w:asciiTheme="majorHAnsi" w:hAnsiTheme="majorHAnsi" w:cstheme="majorHAnsi"/>
        </w:rPr>
        <w:t>’</w:t>
      </w:r>
      <w:r w:rsidR="00A0272D">
        <w:rPr>
          <w:rFonts w:asciiTheme="majorHAnsi" w:hAnsiTheme="majorHAnsi" w:cstheme="majorHAnsi"/>
        </w:rPr>
        <w:t xml:space="preserve"> T</w:t>
      </w:r>
      <w:r>
        <w:rPr>
          <w:rFonts w:asciiTheme="majorHAnsi" w:hAnsiTheme="majorHAnsi" w:cstheme="majorHAnsi"/>
        </w:rPr>
        <w:t>he authors</w:t>
      </w:r>
      <w:r w:rsidRPr="00AB66EC">
        <w:rPr>
          <w:rFonts w:asciiTheme="majorHAnsi" w:hAnsiTheme="majorHAnsi" w:cstheme="majorHAnsi"/>
        </w:rPr>
        <w:t xml:space="preserve"> </w:t>
      </w:r>
      <w:r w:rsidR="00A0272D">
        <w:rPr>
          <w:rFonts w:asciiTheme="majorHAnsi" w:hAnsiTheme="majorHAnsi" w:cstheme="majorHAnsi"/>
        </w:rPr>
        <w:t>u</w:t>
      </w:r>
      <w:r w:rsidR="00A0272D" w:rsidRPr="00AB66EC">
        <w:rPr>
          <w:rFonts w:asciiTheme="majorHAnsi" w:hAnsiTheme="majorHAnsi" w:cstheme="majorHAnsi"/>
        </w:rPr>
        <w:t>s</w:t>
      </w:r>
      <w:r w:rsidR="00A0272D">
        <w:rPr>
          <w:rFonts w:asciiTheme="majorHAnsi" w:hAnsiTheme="majorHAnsi" w:cstheme="majorHAnsi"/>
        </w:rPr>
        <w:t>e</w:t>
      </w:r>
      <w:r w:rsidR="00A0272D" w:rsidRPr="00AB66EC">
        <w:rPr>
          <w:rFonts w:asciiTheme="majorHAnsi" w:hAnsiTheme="majorHAnsi" w:cstheme="majorHAnsi"/>
        </w:rPr>
        <w:t xml:space="preserve"> </w:t>
      </w:r>
      <w:r w:rsidR="00A36744">
        <w:rPr>
          <w:rFonts w:asciiTheme="majorHAnsi" w:hAnsiTheme="majorHAnsi" w:cstheme="majorHAnsi"/>
        </w:rPr>
        <w:t xml:space="preserve">novel </w:t>
      </w:r>
      <w:r w:rsidR="00A0272D" w:rsidRPr="00AB66EC">
        <w:rPr>
          <w:rFonts w:asciiTheme="majorHAnsi" w:hAnsiTheme="majorHAnsi" w:cstheme="majorHAnsi"/>
        </w:rPr>
        <w:t xml:space="preserve">job advertisement data </w:t>
      </w:r>
      <w:r w:rsidR="00A0272D">
        <w:rPr>
          <w:rFonts w:asciiTheme="majorHAnsi" w:hAnsiTheme="majorHAnsi" w:cstheme="majorHAnsi"/>
        </w:rPr>
        <w:t xml:space="preserve">to </w:t>
      </w:r>
      <w:r w:rsidRPr="00AB66EC">
        <w:rPr>
          <w:rFonts w:asciiTheme="majorHAnsi" w:hAnsiTheme="majorHAnsi" w:cstheme="majorHAnsi"/>
        </w:rPr>
        <w:t>show how emerging technologies are being adopted, but at a rate slower than the United States.</w:t>
      </w:r>
    </w:p>
    <w:p w14:paraId="6F1A1D8A" w14:textId="6E9AE5AC" w:rsidR="00D92DF9" w:rsidRPr="00AB66EC" w:rsidRDefault="00A406C2" w:rsidP="00AC3CF8">
      <w:pPr>
        <w:pStyle w:val="TOC1"/>
        <w:rPr>
          <w:rFonts w:asciiTheme="majorHAnsi" w:hAnsiTheme="majorHAnsi" w:cstheme="majorHAnsi"/>
          <w:b w:val="0"/>
          <w:bCs/>
          <w:color w:val="auto"/>
        </w:rPr>
      </w:pPr>
      <w:r>
        <w:rPr>
          <w:rFonts w:asciiTheme="majorHAnsi" w:hAnsiTheme="majorHAnsi" w:cstheme="majorHAnsi"/>
          <w:b w:val="0"/>
          <w:bCs/>
          <w:color w:val="auto"/>
        </w:rPr>
        <w:t>Discussions about labour productivity often involve proposals to reform the higher education system</w:t>
      </w:r>
      <w:r w:rsidR="002E301F">
        <w:rPr>
          <w:rFonts w:asciiTheme="majorHAnsi" w:hAnsiTheme="majorHAnsi" w:cstheme="majorHAnsi"/>
          <w:b w:val="0"/>
          <w:bCs/>
          <w:color w:val="auto"/>
        </w:rPr>
        <w:t>. This is the subject of the next article</w:t>
      </w:r>
      <w:r w:rsidR="00302052">
        <w:rPr>
          <w:rFonts w:asciiTheme="majorHAnsi" w:hAnsiTheme="majorHAnsi" w:cstheme="majorHAnsi"/>
          <w:b w:val="0"/>
          <w:bCs/>
          <w:color w:val="auto"/>
        </w:rPr>
        <w:t>:</w:t>
      </w:r>
      <w:r w:rsidR="00D92DF9" w:rsidRPr="00AB66EC">
        <w:rPr>
          <w:rFonts w:asciiTheme="majorHAnsi" w:hAnsiTheme="majorHAnsi" w:cstheme="majorHAnsi"/>
          <w:b w:val="0"/>
          <w:bCs/>
          <w:color w:val="auto"/>
        </w:rPr>
        <w:t xml:space="preserve"> </w:t>
      </w:r>
      <w:r w:rsidR="00DF68C7">
        <w:rPr>
          <w:rFonts w:asciiTheme="majorHAnsi" w:hAnsiTheme="majorHAnsi" w:cstheme="majorHAnsi"/>
          <w:b w:val="0"/>
          <w:bCs/>
          <w:color w:val="auto"/>
        </w:rPr>
        <w:t>‘</w:t>
      </w:r>
      <w:r w:rsidR="00D92DF9" w:rsidRPr="00AC3CF8">
        <w:rPr>
          <w:rFonts w:asciiTheme="majorHAnsi" w:hAnsiTheme="majorHAnsi" w:cstheme="majorHAnsi"/>
          <w:b w:val="0"/>
          <w:color w:val="auto"/>
        </w:rPr>
        <w:t xml:space="preserve">Why </w:t>
      </w:r>
      <w:r w:rsidR="00800ACF">
        <w:rPr>
          <w:rFonts w:asciiTheme="majorHAnsi" w:hAnsiTheme="majorHAnsi" w:cstheme="majorHAnsi"/>
          <w:b w:val="0"/>
          <w:bCs/>
          <w:color w:val="auto"/>
        </w:rPr>
        <w:t>the</w:t>
      </w:r>
      <w:r w:rsidR="00D92DF9" w:rsidRPr="00AC3CF8">
        <w:rPr>
          <w:rFonts w:asciiTheme="majorHAnsi" w:hAnsiTheme="majorHAnsi" w:cstheme="majorHAnsi"/>
          <w:b w:val="0"/>
          <w:color w:val="auto"/>
        </w:rPr>
        <w:t xml:space="preserve"> </w:t>
      </w:r>
      <w:r w:rsidR="00C96289">
        <w:rPr>
          <w:rFonts w:asciiTheme="majorHAnsi" w:hAnsiTheme="majorHAnsi" w:cstheme="majorHAnsi"/>
          <w:b w:val="0"/>
          <w:bCs/>
          <w:color w:val="auto"/>
        </w:rPr>
        <w:t>real wages of graduates with bachelor</w:t>
      </w:r>
      <w:r w:rsidR="00C96289">
        <w:t>’</w:t>
      </w:r>
      <w:r w:rsidR="00C96289">
        <w:rPr>
          <w:rFonts w:asciiTheme="majorHAnsi" w:hAnsiTheme="majorHAnsi" w:cstheme="majorHAnsi"/>
          <w:b w:val="0"/>
          <w:bCs/>
          <w:color w:val="auto"/>
        </w:rPr>
        <w:t>s degrees</w:t>
      </w:r>
      <w:r w:rsidR="00800ACF">
        <w:rPr>
          <w:rFonts w:asciiTheme="majorHAnsi" w:hAnsiTheme="majorHAnsi" w:cstheme="majorHAnsi"/>
          <w:b w:val="0"/>
          <w:bCs/>
          <w:color w:val="auto"/>
        </w:rPr>
        <w:t xml:space="preserve"> have</w:t>
      </w:r>
      <w:r w:rsidR="00C96289">
        <w:rPr>
          <w:rFonts w:asciiTheme="majorHAnsi" w:hAnsiTheme="majorHAnsi" w:cstheme="majorHAnsi"/>
          <w:b w:val="0"/>
          <w:bCs/>
          <w:color w:val="auto"/>
        </w:rPr>
        <w:t xml:space="preserve"> fallen</w:t>
      </w:r>
      <w:r w:rsidR="00DF68C7">
        <w:rPr>
          <w:rFonts w:asciiTheme="majorHAnsi" w:hAnsiTheme="majorHAnsi" w:cstheme="majorHAnsi"/>
          <w:b w:val="0"/>
          <w:bCs/>
          <w:color w:val="auto"/>
        </w:rPr>
        <w:t>’.</w:t>
      </w:r>
      <w:r w:rsidR="00D92DF9" w:rsidRPr="00AB66EC">
        <w:rPr>
          <w:rFonts w:asciiTheme="majorHAnsi" w:hAnsiTheme="majorHAnsi" w:cstheme="majorHAnsi"/>
          <w:b w:val="0"/>
          <w:bCs/>
          <w:i/>
          <w:iCs/>
          <w:color w:val="auto"/>
        </w:rPr>
        <w:t xml:space="preserve"> </w:t>
      </w:r>
      <w:r w:rsidR="00D92DF9" w:rsidRPr="00AB66EC" w:rsidDel="00302052">
        <w:rPr>
          <w:rFonts w:asciiTheme="majorHAnsi" w:hAnsiTheme="majorHAnsi" w:cstheme="majorHAnsi"/>
          <w:b w:val="0"/>
          <w:bCs/>
          <w:color w:val="auto"/>
        </w:rPr>
        <w:t xml:space="preserve">The </w:t>
      </w:r>
      <w:r w:rsidR="00302052">
        <w:rPr>
          <w:rFonts w:asciiTheme="majorHAnsi" w:hAnsiTheme="majorHAnsi" w:cstheme="majorHAnsi"/>
          <w:b w:val="0"/>
          <w:bCs/>
          <w:color w:val="auto"/>
        </w:rPr>
        <w:t>authors</w:t>
      </w:r>
      <w:r w:rsidR="00D92DF9" w:rsidRPr="00AB66EC">
        <w:rPr>
          <w:rFonts w:asciiTheme="majorHAnsi" w:hAnsiTheme="majorHAnsi" w:cstheme="majorHAnsi"/>
          <w:b w:val="0"/>
          <w:bCs/>
          <w:color w:val="auto"/>
        </w:rPr>
        <w:t xml:space="preserve"> investigate causes of lower real wages for graduates</w:t>
      </w:r>
      <w:r w:rsidR="00302052">
        <w:rPr>
          <w:rFonts w:asciiTheme="majorHAnsi" w:hAnsiTheme="majorHAnsi" w:cstheme="majorHAnsi"/>
          <w:b w:val="0"/>
          <w:bCs/>
          <w:color w:val="auto"/>
        </w:rPr>
        <w:t xml:space="preserve">, </w:t>
      </w:r>
      <w:r w:rsidR="00A36744">
        <w:rPr>
          <w:rFonts w:asciiTheme="majorHAnsi" w:hAnsiTheme="majorHAnsi" w:cstheme="majorHAnsi"/>
          <w:b w:val="0"/>
          <w:bCs/>
          <w:color w:val="auto"/>
        </w:rPr>
        <w:t>disentangling</w:t>
      </w:r>
      <w:r w:rsidR="00302052">
        <w:rPr>
          <w:rFonts w:asciiTheme="majorHAnsi" w:hAnsiTheme="majorHAnsi" w:cstheme="majorHAnsi"/>
          <w:b w:val="0"/>
          <w:bCs/>
          <w:color w:val="auto"/>
        </w:rPr>
        <w:t xml:space="preserve"> the role of increased graduate supply</w:t>
      </w:r>
      <w:r w:rsidR="003A2A97">
        <w:rPr>
          <w:rFonts w:asciiTheme="majorHAnsi" w:hAnsiTheme="majorHAnsi" w:cstheme="majorHAnsi"/>
          <w:b w:val="0"/>
          <w:bCs/>
          <w:color w:val="auto"/>
        </w:rPr>
        <w:t xml:space="preserve"> and variable demand</w:t>
      </w:r>
      <w:r w:rsidR="00302052">
        <w:rPr>
          <w:rFonts w:asciiTheme="majorHAnsi" w:hAnsiTheme="majorHAnsi" w:cstheme="majorHAnsi"/>
          <w:b w:val="0"/>
          <w:bCs/>
          <w:color w:val="auto"/>
        </w:rPr>
        <w:t xml:space="preserve">, </w:t>
      </w:r>
      <w:r w:rsidR="00460670">
        <w:rPr>
          <w:rFonts w:asciiTheme="majorHAnsi" w:hAnsiTheme="majorHAnsi" w:cstheme="majorHAnsi"/>
          <w:b w:val="0"/>
          <w:bCs/>
          <w:color w:val="auto"/>
        </w:rPr>
        <w:t xml:space="preserve">with </w:t>
      </w:r>
      <w:r w:rsidR="00302052">
        <w:rPr>
          <w:rFonts w:asciiTheme="majorHAnsi" w:hAnsiTheme="majorHAnsi" w:cstheme="majorHAnsi"/>
          <w:b w:val="0"/>
          <w:bCs/>
          <w:color w:val="auto"/>
        </w:rPr>
        <w:t xml:space="preserve">changes in the </w:t>
      </w:r>
      <w:r w:rsidR="003A2A97">
        <w:rPr>
          <w:rFonts w:asciiTheme="majorHAnsi" w:hAnsiTheme="majorHAnsi" w:cstheme="majorHAnsi"/>
          <w:b w:val="0"/>
          <w:bCs/>
          <w:color w:val="auto"/>
        </w:rPr>
        <w:t>composition</w:t>
      </w:r>
      <w:r w:rsidR="00302052">
        <w:rPr>
          <w:rFonts w:asciiTheme="majorHAnsi" w:hAnsiTheme="majorHAnsi" w:cstheme="majorHAnsi"/>
          <w:b w:val="0"/>
          <w:bCs/>
          <w:color w:val="auto"/>
        </w:rPr>
        <w:t xml:space="preserve"> of recent graduates.</w:t>
      </w:r>
    </w:p>
    <w:p w14:paraId="1ABD9F4E" w14:textId="5BD05BF6" w:rsidR="00D92DF9" w:rsidRDefault="00DF68C7" w:rsidP="00AD0BC3">
      <w:pPr>
        <w:rPr>
          <w:rFonts w:asciiTheme="majorHAnsi" w:hAnsiTheme="majorHAnsi" w:cstheme="majorHAnsi"/>
        </w:rPr>
      </w:pPr>
      <w:r>
        <w:rPr>
          <w:rFonts w:asciiTheme="majorHAnsi" w:hAnsiTheme="majorHAnsi" w:cstheme="majorHAnsi"/>
        </w:rPr>
        <w:t>‘</w:t>
      </w:r>
      <w:r w:rsidR="00D92DF9" w:rsidRPr="00AD0BC3">
        <w:rPr>
          <w:rFonts w:asciiTheme="majorHAnsi" w:hAnsiTheme="majorHAnsi" w:cstheme="majorHAnsi"/>
        </w:rPr>
        <w:t xml:space="preserve">Children and the </w:t>
      </w:r>
      <w:r w:rsidR="00F8377E">
        <w:rPr>
          <w:rFonts w:asciiTheme="majorHAnsi" w:hAnsiTheme="majorHAnsi" w:cstheme="majorHAnsi"/>
        </w:rPr>
        <w:t>g</w:t>
      </w:r>
      <w:r w:rsidR="00D92DF9" w:rsidRPr="00AD0BC3">
        <w:rPr>
          <w:rFonts w:asciiTheme="majorHAnsi" w:hAnsiTheme="majorHAnsi" w:cstheme="majorHAnsi"/>
        </w:rPr>
        <w:t xml:space="preserve">ender </w:t>
      </w:r>
      <w:r w:rsidR="00F8377E">
        <w:rPr>
          <w:rFonts w:asciiTheme="majorHAnsi" w:hAnsiTheme="majorHAnsi" w:cstheme="majorHAnsi"/>
        </w:rPr>
        <w:t>e</w:t>
      </w:r>
      <w:r w:rsidR="00D92DF9" w:rsidRPr="00AD0BC3">
        <w:rPr>
          <w:rFonts w:asciiTheme="majorHAnsi" w:hAnsiTheme="majorHAnsi" w:cstheme="majorHAnsi"/>
        </w:rPr>
        <w:t xml:space="preserve">arnings </w:t>
      </w:r>
      <w:r w:rsidR="00F8377E">
        <w:rPr>
          <w:rFonts w:asciiTheme="majorHAnsi" w:hAnsiTheme="majorHAnsi" w:cstheme="majorHAnsi"/>
        </w:rPr>
        <w:t>g</w:t>
      </w:r>
      <w:r w:rsidR="00D92DF9" w:rsidRPr="00AD0BC3">
        <w:rPr>
          <w:rFonts w:asciiTheme="majorHAnsi" w:hAnsiTheme="majorHAnsi" w:cstheme="majorHAnsi"/>
        </w:rPr>
        <w:t>ap</w:t>
      </w:r>
      <w:r>
        <w:rPr>
          <w:rFonts w:asciiTheme="majorHAnsi" w:hAnsiTheme="majorHAnsi" w:cstheme="majorHAnsi"/>
        </w:rPr>
        <w:t>’</w:t>
      </w:r>
      <w:r w:rsidR="00C85A11">
        <w:rPr>
          <w:rFonts w:asciiTheme="majorHAnsi" w:hAnsiTheme="majorHAnsi" w:cstheme="majorHAnsi"/>
        </w:rPr>
        <w:t xml:space="preserve"> </w:t>
      </w:r>
      <w:proofErr w:type="gramStart"/>
      <w:r w:rsidR="00C85A11">
        <w:rPr>
          <w:rFonts w:asciiTheme="majorHAnsi" w:hAnsiTheme="majorHAnsi" w:cstheme="majorHAnsi"/>
        </w:rPr>
        <w:t>is</w:t>
      </w:r>
      <w:proofErr w:type="gramEnd"/>
      <w:r w:rsidR="00C85A11">
        <w:rPr>
          <w:rFonts w:asciiTheme="majorHAnsi" w:hAnsiTheme="majorHAnsi" w:cstheme="majorHAnsi"/>
        </w:rPr>
        <w:t xml:space="preserve"> the </w:t>
      </w:r>
      <w:r w:rsidR="00460670">
        <w:rPr>
          <w:rFonts w:asciiTheme="majorHAnsi" w:hAnsiTheme="majorHAnsi" w:cstheme="majorHAnsi"/>
        </w:rPr>
        <w:t>final</w:t>
      </w:r>
      <w:r w:rsidR="00C85A11">
        <w:rPr>
          <w:rFonts w:asciiTheme="majorHAnsi" w:hAnsiTheme="majorHAnsi" w:cstheme="majorHAnsi"/>
        </w:rPr>
        <w:t xml:space="preserve"> article. It </w:t>
      </w:r>
      <w:r w:rsidR="00F8377E">
        <w:rPr>
          <w:rFonts w:asciiTheme="majorHAnsi" w:hAnsiTheme="majorHAnsi" w:cstheme="majorHAnsi"/>
        </w:rPr>
        <w:t>considers the</w:t>
      </w:r>
      <w:r w:rsidR="001F214D">
        <w:rPr>
          <w:rFonts w:asciiTheme="majorHAnsi" w:hAnsiTheme="majorHAnsi" w:cstheme="majorHAnsi"/>
        </w:rPr>
        <w:t xml:space="preserve"> increase in the gender</w:t>
      </w:r>
      <w:r w:rsidR="00D92DF9" w:rsidRPr="00AB66EC">
        <w:rPr>
          <w:rFonts w:asciiTheme="majorHAnsi" w:hAnsiTheme="majorHAnsi" w:cstheme="majorHAnsi"/>
        </w:rPr>
        <w:t xml:space="preserve"> earnings </w:t>
      </w:r>
      <w:r w:rsidR="00F8377E">
        <w:rPr>
          <w:rFonts w:asciiTheme="majorHAnsi" w:hAnsiTheme="majorHAnsi" w:cstheme="majorHAnsi"/>
        </w:rPr>
        <w:t xml:space="preserve">gap </w:t>
      </w:r>
      <w:r w:rsidR="001F214D">
        <w:rPr>
          <w:rFonts w:asciiTheme="majorHAnsi" w:hAnsiTheme="majorHAnsi" w:cstheme="majorHAnsi"/>
        </w:rPr>
        <w:t>brought about by parenthood</w:t>
      </w:r>
      <w:r w:rsidR="00513305">
        <w:rPr>
          <w:rFonts w:asciiTheme="majorHAnsi" w:hAnsiTheme="majorHAnsi" w:cstheme="majorHAnsi"/>
        </w:rPr>
        <w:t xml:space="preserve">, and shows that it reflects </w:t>
      </w:r>
      <w:r w:rsidR="00D92DF9" w:rsidRPr="00AB66EC">
        <w:rPr>
          <w:rFonts w:asciiTheme="majorHAnsi" w:hAnsiTheme="majorHAnsi" w:cstheme="majorHAnsi"/>
        </w:rPr>
        <w:t>lower participation</w:t>
      </w:r>
      <w:r w:rsidR="00513305">
        <w:rPr>
          <w:rFonts w:asciiTheme="majorHAnsi" w:hAnsiTheme="majorHAnsi" w:cstheme="majorHAnsi"/>
        </w:rPr>
        <w:t xml:space="preserve"> rates</w:t>
      </w:r>
      <w:r w:rsidR="001F214D">
        <w:rPr>
          <w:rFonts w:asciiTheme="majorHAnsi" w:hAnsiTheme="majorHAnsi" w:cstheme="majorHAnsi"/>
        </w:rPr>
        <w:t>,</w:t>
      </w:r>
      <w:r w:rsidR="00D92DF9" w:rsidRPr="00AB66EC">
        <w:rPr>
          <w:rFonts w:asciiTheme="majorHAnsi" w:hAnsiTheme="majorHAnsi" w:cstheme="majorHAnsi"/>
        </w:rPr>
        <w:t xml:space="preserve"> working hours</w:t>
      </w:r>
      <w:r w:rsidR="001F214D">
        <w:rPr>
          <w:rFonts w:asciiTheme="majorHAnsi" w:hAnsiTheme="majorHAnsi" w:cstheme="majorHAnsi"/>
        </w:rPr>
        <w:t xml:space="preserve"> and somewhat lower hourly wages</w:t>
      </w:r>
      <w:r w:rsidR="00513305">
        <w:rPr>
          <w:rFonts w:asciiTheme="majorHAnsi" w:hAnsiTheme="majorHAnsi" w:cstheme="majorHAnsi"/>
        </w:rPr>
        <w:t xml:space="preserve"> of mothers</w:t>
      </w:r>
      <w:r w:rsidR="00D92DF9" w:rsidRPr="00AB66EC">
        <w:rPr>
          <w:rFonts w:asciiTheme="majorHAnsi" w:hAnsiTheme="majorHAnsi" w:cstheme="majorHAnsi"/>
        </w:rPr>
        <w:t xml:space="preserve">. </w:t>
      </w:r>
      <w:r w:rsidR="001F214D">
        <w:rPr>
          <w:rFonts w:asciiTheme="majorHAnsi" w:hAnsiTheme="majorHAnsi" w:cstheme="majorHAnsi"/>
        </w:rPr>
        <w:t>Barriers to people making the most of their talents</w:t>
      </w:r>
      <w:r w:rsidR="00513305">
        <w:rPr>
          <w:rFonts w:asciiTheme="majorHAnsi" w:hAnsiTheme="majorHAnsi" w:cstheme="majorHAnsi"/>
        </w:rPr>
        <w:t xml:space="preserve"> are an important headwind to productivity, and as such </w:t>
      </w:r>
      <w:r w:rsidR="00D92DF9">
        <w:rPr>
          <w:rFonts w:asciiTheme="majorHAnsi" w:hAnsiTheme="majorHAnsi" w:cstheme="majorHAnsi"/>
        </w:rPr>
        <w:t>the authors provide</w:t>
      </w:r>
      <w:r w:rsidR="00D92DF9" w:rsidRPr="00AB66EC">
        <w:rPr>
          <w:rFonts w:asciiTheme="majorHAnsi" w:hAnsiTheme="majorHAnsi" w:cstheme="majorHAnsi"/>
        </w:rPr>
        <w:t xml:space="preserve"> a timely reminder of how labour market inequality is tied to future prosperity.</w:t>
      </w:r>
    </w:p>
    <w:p w14:paraId="2090AAAA" w14:textId="1AA44074" w:rsidR="00887105" w:rsidRDefault="00D92DF9" w:rsidP="006832B6">
      <w:pPr>
        <w:rPr>
          <w:rFonts w:ascii="Calibri Light" w:hAnsi="Calibri Light"/>
          <w:noProof/>
          <w:color w:val="004A7F"/>
          <w:szCs w:val="22"/>
        </w:rPr>
      </w:pPr>
      <w:r>
        <w:rPr>
          <w:rFonts w:asciiTheme="majorHAnsi" w:hAnsiTheme="majorHAnsi" w:cstheme="majorHAnsi"/>
        </w:rPr>
        <w:t>I congratulate all the authors for their contributions, in particular the editor</w:t>
      </w:r>
      <w:r w:rsidR="001F4662">
        <w:rPr>
          <w:rFonts w:asciiTheme="majorHAnsi" w:hAnsiTheme="majorHAnsi" w:cstheme="majorHAnsi"/>
        </w:rPr>
        <w:t xml:space="preserve">ial team </w:t>
      </w:r>
      <w:r w:rsidR="00513305">
        <w:rPr>
          <w:rFonts w:asciiTheme="majorHAnsi" w:hAnsiTheme="majorHAnsi" w:cstheme="majorHAnsi"/>
        </w:rPr>
        <w:t xml:space="preserve">of </w:t>
      </w:r>
      <w:r>
        <w:rPr>
          <w:rFonts w:asciiTheme="majorHAnsi" w:hAnsiTheme="majorHAnsi" w:cstheme="majorHAnsi"/>
        </w:rPr>
        <w:t>Iris Day</w:t>
      </w:r>
      <w:r w:rsidR="00513305">
        <w:rPr>
          <w:rFonts w:asciiTheme="majorHAnsi" w:hAnsiTheme="majorHAnsi" w:cstheme="majorHAnsi"/>
        </w:rPr>
        <w:t xml:space="preserve"> and</w:t>
      </w:r>
      <w:r w:rsidR="001F4662">
        <w:rPr>
          <w:rFonts w:asciiTheme="majorHAnsi" w:hAnsiTheme="majorHAnsi" w:cstheme="majorHAnsi"/>
        </w:rPr>
        <w:t xml:space="preserve"> Kate Fernandes</w:t>
      </w:r>
      <w:r>
        <w:rPr>
          <w:rFonts w:asciiTheme="majorHAnsi" w:hAnsiTheme="majorHAnsi" w:cstheme="majorHAnsi"/>
        </w:rPr>
        <w:t xml:space="preserve">, and commend to you this newly reinstated volume of </w:t>
      </w:r>
      <w:r w:rsidR="00513305">
        <w:rPr>
          <w:rFonts w:asciiTheme="majorHAnsi" w:hAnsiTheme="majorHAnsi" w:cstheme="majorHAnsi"/>
        </w:rPr>
        <w:t xml:space="preserve">the </w:t>
      </w:r>
      <w:r>
        <w:rPr>
          <w:rFonts w:asciiTheme="majorHAnsi" w:hAnsiTheme="majorHAnsi" w:cstheme="majorHAnsi"/>
        </w:rPr>
        <w:t>Treasury Round Up.</w:t>
      </w:r>
    </w:p>
    <w:p w14:paraId="2D5E1A61" w14:textId="2E5F7ED0" w:rsidR="006832B6" w:rsidRDefault="006832B6" w:rsidP="00EE4C91">
      <w:pPr>
        <w:spacing w:before="0" w:after="0"/>
        <w:rPr>
          <w:rFonts w:ascii="Calibri Light" w:hAnsi="Calibri Light"/>
          <w:noProof/>
          <w:color w:val="004A7F"/>
          <w:szCs w:val="22"/>
        </w:rPr>
        <w:sectPr w:rsidR="006832B6" w:rsidSect="00BB18A1">
          <w:footnotePr>
            <w:numRestart w:val="eachSect"/>
          </w:footnotePr>
          <w:pgSz w:w="11906" w:h="16838" w:code="9"/>
          <w:pgMar w:top="1843" w:right="1418" w:bottom="1418" w:left="1418" w:header="567" w:footer="249" w:gutter="0"/>
          <w:cols w:space="340"/>
          <w:docGrid w:linePitch="360"/>
        </w:sectPr>
      </w:pPr>
    </w:p>
    <w:p w14:paraId="68C5CC97" w14:textId="294BDB38" w:rsidR="008C348C" w:rsidRPr="00580659" w:rsidRDefault="002D40F0" w:rsidP="005B66D8">
      <w:pPr>
        <w:pStyle w:val="Reporttitle"/>
      </w:pPr>
      <w:bookmarkStart w:id="1" w:name="_Toc115880552"/>
      <w:r w:rsidRPr="00580659">
        <w:lastRenderedPageBreak/>
        <w:t xml:space="preserve">Overview: Understanding </w:t>
      </w:r>
      <w:r w:rsidR="0014565D">
        <w:t>p</w:t>
      </w:r>
      <w:r w:rsidRPr="00580659">
        <w:t xml:space="preserve">roductivity in Australia and the </w:t>
      </w:r>
      <w:r w:rsidR="0014565D">
        <w:t>g</w:t>
      </w:r>
      <w:r w:rsidRPr="00580659">
        <w:t xml:space="preserve">lobal </w:t>
      </w:r>
      <w:r w:rsidR="0014565D">
        <w:t>s</w:t>
      </w:r>
      <w:r w:rsidRPr="00580659">
        <w:t>lowdown</w:t>
      </w:r>
      <w:bookmarkEnd w:id="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498"/>
      </w:tblGrid>
      <w:tr w:rsidR="008C348C" w14:paraId="3C96BF3D" w14:textId="77777777" w:rsidTr="0020324B">
        <w:tc>
          <w:tcPr>
            <w:tcW w:w="8498" w:type="dxa"/>
            <w:shd w:val="clear" w:color="auto" w:fill="auto"/>
          </w:tcPr>
          <w:p w14:paraId="0746A78F" w14:textId="39CE0B84" w:rsidR="008C348C" w:rsidRPr="000E2E34" w:rsidRDefault="008C348C" w:rsidP="0020324B">
            <w:pPr>
              <w:pStyle w:val="Authornameunderlined"/>
            </w:pPr>
            <w:r w:rsidRPr="000E2E34">
              <w:t xml:space="preserve">Prepared by </w:t>
            </w:r>
            <w:r w:rsidR="002D40F0" w:rsidRPr="002D40F0">
              <w:t>Zac Duretto</w:t>
            </w:r>
            <w:r w:rsidR="007835A6">
              <w:t>,</w:t>
            </w:r>
            <w:r w:rsidR="00503913">
              <w:t xml:space="preserve"> </w:t>
            </w:r>
            <w:r w:rsidR="002D40F0" w:rsidRPr="002D40F0">
              <w:t>Omer Majeed</w:t>
            </w:r>
            <w:r w:rsidR="007835A6">
              <w:t xml:space="preserve"> and Jonathan Hambur</w:t>
            </w:r>
            <w:r w:rsidR="00503913">
              <w:rPr>
                <w:rStyle w:val="FootnoteReference"/>
              </w:rPr>
              <w:footnoteReference w:customMarkFollows="1" w:id="2"/>
              <w:t>*</w:t>
            </w:r>
          </w:p>
        </w:tc>
      </w:tr>
      <w:tr w:rsidR="008C348C" w14:paraId="1311BAB4" w14:textId="77777777" w:rsidTr="0020324B">
        <w:trPr>
          <w:trHeight w:val="170"/>
        </w:trPr>
        <w:tc>
          <w:tcPr>
            <w:tcW w:w="8498" w:type="dxa"/>
            <w:shd w:val="clear" w:color="auto" w:fill="auto"/>
          </w:tcPr>
          <w:p w14:paraId="7E335A07" w14:textId="77777777" w:rsidR="008C348C" w:rsidRPr="000520F1" w:rsidRDefault="008C348C" w:rsidP="00EC19D8">
            <w:pPr>
              <w:spacing w:before="0" w:after="0"/>
            </w:pPr>
          </w:p>
        </w:tc>
      </w:tr>
    </w:tbl>
    <w:tbl>
      <w:tblPr>
        <w:tblpPr w:leftFromText="181" w:rightFromText="181" w:vertAnchor="text" w:horzAnchor="margin" w:tblpY="143"/>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0"/>
      </w:tblGrid>
      <w:tr w:rsidR="008C348C" w14:paraId="124EC3E9" w14:textId="77777777" w:rsidTr="009A050C">
        <w:trPr>
          <w:trHeight w:val="2183"/>
        </w:trPr>
        <w:tc>
          <w:tcPr>
            <w:tcW w:w="5000" w:type="pct"/>
            <w:shd w:val="clear" w:color="auto" w:fill="FCEEE5" w:themeFill="accent6" w:themeFillTint="33"/>
          </w:tcPr>
          <w:p w14:paraId="7A25AC45" w14:textId="2F9FC365" w:rsidR="008C348C" w:rsidRPr="00C96A1F" w:rsidRDefault="00503913" w:rsidP="003309D1">
            <w:pPr>
              <w:pStyle w:val="Boxbullet"/>
              <w:numPr>
                <w:ilvl w:val="0"/>
                <w:numId w:val="0"/>
              </w:numPr>
              <w:rPr>
                <w:i/>
                <w:szCs w:val="22"/>
              </w:rPr>
            </w:pPr>
            <w:r w:rsidRPr="00C96A1F">
              <w:rPr>
                <w:i/>
                <w:szCs w:val="22"/>
              </w:rPr>
              <w:t>Productivity growth is a key driver of living standards, but it has slowed since the mid</w:t>
            </w:r>
            <w:r w:rsidR="0020324B">
              <w:noBreakHyphen/>
            </w:r>
            <w:r w:rsidRPr="00C96A1F">
              <w:rPr>
                <w:i/>
                <w:szCs w:val="22"/>
              </w:rPr>
              <w:t>2000s</w:t>
            </w:r>
            <w:r w:rsidR="00E023DC">
              <w:rPr>
                <w:i/>
                <w:szCs w:val="22"/>
              </w:rPr>
              <w:t xml:space="preserve"> in Australia</w:t>
            </w:r>
            <w:r w:rsidRPr="00C96A1F">
              <w:rPr>
                <w:i/>
                <w:szCs w:val="22"/>
              </w:rPr>
              <w:t>. The slowdown in productivity growth is consistent</w:t>
            </w:r>
            <w:r w:rsidR="007E4446">
              <w:rPr>
                <w:i/>
                <w:szCs w:val="22"/>
              </w:rPr>
              <w:t xml:space="preserve"> with</w:t>
            </w:r>
            <w:r w:rsidRPr="00C96A1F">
              <w:rPr>
                <w:i/>
                <w:szCs w:val="22"/>
              </w:rPr>
              <w:t xml:space="preserve"> </w:t>
            </w:r>
            <w:r w:rsidR="00E023DC">
              <w:rPr>
                <w:i/>
                <w:szCs w:val="22"/>
              </w:rPr>
              <w:t>the experience</w:t>
            </w:r>
            <w:r w:rsidR="00E023DC" w:rsidRPr="00C96A1F">
              <w:rPr>
                <w:i/>
                <w:szCs w:val="22"/>
              </w:rPr>
              <w:t xml:space="preserve"> </w:t>
            </w:r>
            <w:r w:rsidRPr="00C96A1F">
              <w:rPr>
                <w:i/>
                <w:szCs w:val="22"/>
              </w:rPr>
              <w:t>in most other advanced economies, suggesting that global factors are contributing.</w:t>
            </w:r>
            <w:r w:rsidR="00C96A1F" w:rsidRPr="00C96A1F">
              <w:rPr>
                <w:i/>
                <w:iCs/>
                <w:szCs w:val="22"/>
              </w:rPr>
              <w:t xml:space="preserve"> </w:t>
            </w:r>
            <w:r w:rsidRPr="00C96A1F">
              <w:rPr>
                <w:i/>
                <w:szCs w:val="22"/>
              </w:rPr>
              <w:t>As in other countries</w:t>
            </w:r>
            <w:r w:rsidR="001712FC">
              <w:rPr>
                <w:i/>
                <w:szCs w:val="22"/>
              </w:rPr>
              <w:t>,</w:t>
            </w:r>
            <w:r w:rsidRPr="00C96A1F">
              <w:rPr>
                <w:i/>
                <w:szCs w:val="22"/>
              </w:rPr>
              <w:t xml:space="preserve"> declining economic dynamism and competition has weighed on firms’ incentives to adopt technologies, and for resources to flow to more productive firms. R</w:t>
            </w:r>
            <w:r w:rsidR="008E000E">
              <w:rPr>
                <w:i/>
                <w:szCs w:val="22"/>
              </w:rPr>
              <w:t>esearch and development</w:t>
            </w:r>
            <w:r w:rsidRPr="00C96A1F" w:rsidDel="00461AD0">
              <w:rPr>
                <w:i/>
                <w:szCs w:val="22"/>
              </w:rPr>
              <w:t xml:space="preserve"> </w:t>
            </w:r>
            <w:r w:rsidR="00461AD0">
              <w:rPr>
                <w:i/>
                <w:szCs w:val="22"/>
              </w:rPr>
              <w:t>have</w:t>
            </w:r>
            <w:r w:rsidR="00461AD0" w:rsidRPr="00C96A1F">
              <w:rPr>
                <w:i/>
                <w:szCs w:val="22"/>
              </w:rPr>
              <w:t xml:space="preserve"> </w:t>
            </w:r>
            <w:r w:rsidRPr="00C96A1F">
              <w:rPr>
                <w:i/>
                <w:szCs w:val="22"/>
              </w:rPr>
              <w:t>lagged other countries somewhat, though broader innovation metrics have improved moderately. Domestic policy can have significant impacts by facilitating innovation, diffusion of technologies, and better resource reallocation to move Australia closer to the global frontier.</w:t>
            </w:r>
          </w:p>
        </w:tc>
      </w:tr>
    </w:tbl>
    <w:p w14:paraId="37CFE81D" w14:textId="1ACD6D09" w:rsidR="00503913" w:rsidRDefault="00503913" w:rsidP="008E07EA">
      <w:pPr>
        <w:pStyle w:val="Heading1"/>
        <w:rPr>
          <w:rFonts w:eastAsiaTheme="minorHAnsi"/>
        </w:rPr>
      </w:pPr>
      <w:r>
        <w:rPr>
          <w:rFonts w:eastAsiaTheme="minorHAnsi"/>
        </w:rPr>
        <w:t>Productivity growth has slowed</w:t>
      </w:r>
    </w:p>
    <w:p w14:paraId="55DCB04F" w14:textId="01DB5C9F" w:rsidR="00503913" w:rsidRDefault="00503913" w:rsidP="005B66D8">
      <w:pPr>
        <w:rPr>
          <w:rFonts w:eastAsiaTheme="minorHAnsi"/>
        </w:rPr>
      </w:pPr>
      <w:r w:rsidRPr="00503913">
        <w:rPr>
          <w:rFonts w:eastAsiaTheme="minorHAnsi"/>
        </w:rPr>
        <w:t>Productivity growth has slowed in Australia since the mid</w:t>
      </w:r>
      <w:r w:rsidR="002B75D0">
        <w:rPr>
          <w:rFonts w:eastAsiaTheme="minorHAnsi"/>
        </w:rPr>
        <w:noBreakHyphen/>
      </w:r>
      <w:r w:rsidRPr="00503913">
        <w:rPr>
          <w:rFonts w:eastAsiaTheme="minorHAnsi"/>
        </w:rPr>
        <w:t>2000s (Figure 1</w:t>
      </w:r>
      <w:r w:rsidR="00040FC6">
        <w:rPr>
          <w:rFonts w:eastAsiaTheme="minorHAnsi"/>
        </w:rPr>
        <w:t xml:space="preserve">, </w:t>
      </w:r>
      <w:r w:rsidR="00F0689E">
        <w:rPr>
          <w:rFonts w:eastAsiaTheme="minorHAnsi"/>
        </w:rPr>
        <w:t xml:space="preserve">PC </w:t>
      </w:r>
      <w:r w:rsidR="00040FC6">
        <w:rPr>
          <w:rFonts w:eastAsiaTheme="minorHAnsi"/>
        </w:rPr>
        <w:t>2017</w:t>
      </w:r>
      <w:r w:rsidRPr="00503913">
        <w:rPr>
          <w:rFonts w:eastAsiaTheme="minorHAnsi"/>
        </w:rPr>
        <w:t xml:space="preserve">). Nationally, productivity growth averaged 1.6 per cent over the past 30 years, but only </w:t>
      </w:r>
      <w:r w:rsidR="00321D86">
        <w:rPr>
          <w:rFonts w:eastAsiaTheme="minorHAnsi"/>
        </w:rPr>
        <w:t xml:space="preserve">1.2 </w:t>
      </w:r>
      <w:r w:rsidRPr="00503913">
        <w:rPr>
          <w:rFonts w:eastAsiaTheme="minorHAnsi"/>
        </w:rPr>
        <w:t xml:space="preserve">per cent over the </w:t>
      </w:r>
      <w:r w:rsidR="001712FC">
        <w:rPr>
          <w:rFonts w:eastAsiaTheme="minorHAnsi"/>
        </w:rPr>
        <w:t xml:space="preserve">past </w:t>
      </w:r>
      <w:r w:rsidR="00134183">
        <w:rPr>
          <w:rFonts w:eastAsiaTheme="minorHAnsi"/>
        </w:rPr>
        <w:t>20 years</w:t>
      </w:r>
      <w:r w:rsidRPr="00503913">
        <w:rPr>
          <w:rFonts w:eastAsiaTheme="minorHAnsi"/>
        </w:rPr>
        <w:t>. A similar slowdown is visible in the market sector.</w:t>
      </w:r>
      <w:r>
        <w:rPr>
          <w:rStyle w:val="FootnoteReference"/>
          <w:rFonts w:eastAsiaTheme="minorHAnsi"/>
        </w:rPr>
        <w:footnoteReference w:id="3"/>
      </w:r>
    </w:p>
    <w:p w14:paraId="3DFA505C" w14:textId="3F6A3C6E" w:rsidR="00FA5D75" w:rsidRDefault="00FA5D75" w:rsidP="005B66D8">
      <w:pPr>
        <w:rPr>
          <w:rFonts w:eastAsiaTheme="minorHAnsi"/>
        </w:rPr>
      </w:pPr>
      <w:r w:rsidRPr="000202FE">
        <w:rPr>
          <w:rFonts w:asciiTheme="minorHAnsi" w:hAnsiTheme="minorHAnsi" w:cstheme="minorHAnsi"/>
          <w:bCs/>
          <w:szCs w:val="22"/>
        </w:rPr>
        <w:t xml:space="preserve">Labour productivity growth can be decomposed into </w:t>
      </w:r>
      <w:r>
        <w:rPr>
          <w:rFonts w:asciiTheme="minorHAnsi" w:hAnsiTheme="minorHAnsi" w:cstheme="minorHAnsi"/>
          <w:bCs/>
          <w:szCs w:val="22"/>
        </w:rPr>
        <w:t>2</w:t>
      </w:r>
      <w:r w:rsidRPr="000202FE">
        <w:rPr>
          <w:rFonts w:asciiTheme="minorHAnsi" w:hAnsiTheme="minorHAnsi" w:cstheme="minorHAnsi"/>
          <w:bCs/>
          <w:szCs w:val="22"/>
        </w:rPr>
        <w:t xml:space="preserve"> components: capital deepening and multifactor productivity </w:t>
      </w:r>
      <w:r>
        <w:rPr>
          <w:rFonts w:asciiTheme="minorHAnsi" w:hAnsiTheme="minorHAnsi" w:cstheme="minorHAnsi"/>
          <w:bCs/>
          <w:szCs w:val="22"/>
        </w:rPr>
        <w:t>(</w:t>
      </w:r>
      <w:r w:rsidRPr="000202FE">
        <w:rPr>
          <w:rFonts w:asciiTheme="minorHAnsi" w:hAnsiTheme="minorHAnsi" w:cstheme="minorHAnsi"/>
          <w:bCs/>
          <w:szCs w:val="22"/>
        </w:rPr>
        <w:t>MFP</w:t>
      </w:r>
      <w:r>
        <w:rPr>
          <w:rFonts w:asciiTheme="minorHAnsi" w:hAnsiTheme="minorHAnsi" w:cstheme="minorHAnsi"/>
          <w:bCs/>
          <w:szCs w:val="22"/>
        </w:rPr>
        <w:t>) growth.</w:t>
      </w:r>
      <w:r w:rsidR="00021D2B">
        <w:rPr>
          <w:rStyle w:val="FootnoteReference"/>
          <w:rFonts w:asciiTheme="minorHAnsi" w:hAnsiTheme="minorHAnsi" w:cstheme="minorHAnsi"/>
          <w:bCs/>
          <w:szCs w:val="22"/>
        </w:rPr>
        <w:footnoteReference w:id="4"/>
      </w:r>
      <w:r>
        <w:rPr>
          <w:rFonts w:asciiTheme="minorHAnsi" w:hAnsiTheme="minorHAnsi" w:cstheme="minorHAnsi"/>
          <w:bCs/>
          <w:szCs w:val="22"/>
        </w:rPr>
        <w:t xml:space="preserve"> </w:t>
      </w:r>
      <w:r w:rsidRPr="000202FE">
        <w:rPr>
          <w:rFonts w:asciiTheme="minorHAnsi" w:hAnsiTheme="minorHAnsi" w:cstheme="minorHAnsi"/>
          <w:bCs/>
          <w:szCs w:val="22"/>
        </w:rPr>
        <w:t xml:space="preserve">The weakening in productivity growth mostly reflects a decline in MFP growth, which slowed to 0.2 per cent in the market sector over the last </w:t>
      </w:r>
      <w:r>
        <w:rPr>
          <w:rFonts w:asciiTheme="minorHAnsi" w:hAnsiTheme="minorHAnsi" w:cstheme="minorHAnsi"/>
          <w:bCs/>
          <w:szCs w:val="22"/>
        </w:rPr>
        <w:t>2</w:t>
      </w:r>
      <w:r w:rsidRPr="000202FE">
        <w:rPr>
          <w:rFonts w:asciiTheme="minorHAnsi" w:hAnsiTheme="minorHAnsi" w:cstheme="minorHAnsi"/>
          <w:bCs/>
          <w:szCs w:val="22"/>
        </w:rPr>
        <w:t xml:space="preserve"> complete </w:t>
      </w:r>
      <w:r w:rsidR="00463E40">
        <w:rPr>
          <w:rFonts w:asciiTheme="minorHAnsi" w:hAnsiTheme="minorHAnsi" w:cstheme="minorHAnsi"/>
          <w:bCs/>
          <w:szCs w:val="22"/>
        </w:rPr>
        <w:t xml:space="preserve">productivity </w:t>
      </w:r>
      <w:r w:rsidRPr="000202FE">
        <w:rPr>
          <w:rFonts w:asciiTheme="minorHAnsi" w:hAnsiTheme="minorHAnsi" w:cstheme="minorHAnsi"/>
          <w:bCs/>
          <w:szCs w:val="22"/>
        </w:rPr>
        <w:t>cycles</w:t>
      </w:r>
      <w:r w:rsidR="007B1CB1">
        <w:rPr>
          <w:rFonts w:asciiTheme="minorHAnsi" w:hAnsiTheme="minorHAnsi" w:cstheme="minorHAnsi"/>
          <w:bCs/>
          <w:szCs w:val="22"/>
        </w:rPr>
        <w:t xml:space="preserve"> (2004-2018)</w:t>
      </w:r>
      <w:r w:rsidRPr="000202FE">
        <w:rPr>
          <w:rFonts w:asciiTheme="minorHAnsi" w:hAnsiTheme="minorHAnsi" w:cstheme="minorHAnsi"/>
          <w:bCs/>
          <w:szCs w:val="22"/>
        </w:rPr>
        <w:t>, compared to 1.</w:t>
      </w:r>
      <w:r w:rsidR="00FF1E4F">
        <w:rPr>
          <w:rFonts w:asciiTheme="minorHAnsi" w:hAnsiTheme="minorHAnsi" w:cstheme="minorHAnsi"/>
          <w:bCs/>
          <w:szCs w:val="22"/>
        </w:rPr>
        <w:t>7</w:t>
      </w:r>
      <w:r w:rsidR="002B75D0">
        <w:rPr>
          <w:rFonts w:asciiTheme="minorHAnsi" w:hAnsiTheme="minorHAnsi" w:cstheme="minorHAnsi"/>
          <w:bCs/>
          <w:szCs w:val="22"/>
        </w:rPr>
        <w:t> </w:t>
      </w:r>
      <w:r w:rsidRPr="000202FE">
        <w:rPr>
          <w:rFonts w:asciiTheme="minorHAnsi" w:hAnsiTheme="minorHAnsi" w:cstheme="minorHAnsi"/>
          <w:bCs/>
          <w:szCs w:val="22"/>
        </w:rPr>
        <w:t xml:space="preserve">per cent over the </w:t>
      </w:r>
      <w:r w:rsidR="007B1CB1">
        <w:rPr>
          <w:rFonts w:asciiTheme="minorHAnsi" w:hAnsiTheme="minorHAnsi" w:cstheme="minorHAnsi"/>
          <w:bCs/>
          <w:szCs w:val="22"/>
        </w:rPr>
        <w:t>previous</w:t>
      </w:r>
      <w:r w:rsidR="00463E40">
        <w:rPr>
          <w:rFonts w:asciiTheme="minorHAnsi" w:hAnsiTheme="minorHAnsi" w:cstheme="minorHAnsi"/>
          <w:bCs/>
          <w:szCs w:val="22"/>
        </w:rPr>
        <w:t xml:space="preserve"> </w:t>
      </w:r>
      <w:r w:rsidR="007B1CB1">
        <w:rPr>
          <w:rFonts w:asciiTheme="minorHAnsi" w:hAnsiTheme="minorHAnsi" w:cstheme="minorHAnsi"/>
          <w:bCs/>
          <w:szCs w:val="22"/>
        </w:rPr>
        <w:t xml:space="preserve">2 </w:t>
      </w:r>
      <w:r w:rsidR="00463E40">
        <w:rPr>
          <w:rFonts w:asciiTheme="minorHAnsi" w:hAnsiTheme="minorHAnsi" w:cstheme="minorHAnsi"/>
          <w:bCs/>
          <w:szCs w:val="22"/>
        </w:rPr>
        <w:t xml:space="preserve">productivity </w:t>
      </w:r>
      <w:r w:rsidR="007B1CB1">
        <w:rPr>
          <w:rFonts w:asciiTheme="minorHAnsi" w:hAnsiTheme="minorHAnsi" w:cstheme="minorHAnsi"/>
          <w:bCs/>
          <w:szCs w:val="22"/>
        </w:rPr>
        <w:t>cycles (1989-2004)</w:t>
      </w:r>
      <w:r w:rsidRPr="000202FE">
        <w:rPr>
          <w:rFonts w:asciiTheme="minorHAnsi" w:hAnsiTheme="minorHAnsi" w:cstheme="minorHAnsi"/>
          <w:bCs/>
          <w:szCs w:val="22"/>
        </w:rPr>
        <w:t xml:space="preserve"> (Figure 2). Capital deepening has also slowed in the most recent years.</w:t>
      </w:r>
      <w:r>
        <w:rPr>
          <w:rStyle w:val="FootnoteReference"/>
          <w:rFonts w:asciiTheme="minorHAnsi" w:hAnsiTheme="minorHAnsi" w:cstheme="minorHAnsi"/>
          <w:bCs/>
          <w:szCs w:val="22"/>
        </w:rPr>
        <w:footnoteReference w:id="5"/>
      </w:r>
      <w:r w:rsidRPr="000202FE">
        <w:rPr>
          <w:rFonts w:asciiTheme="minorHAnsi" w:hAnsiTheme="minorHAnsi" w:cstheme="minorHAnsi"/>
          <w:bCs/>
          <w:szCs w:val="22"/>
        </w:rPr>
        <w:t xml:space="preserve"> </w:t>
      </w:r>
      <w:r w:rsidR="0016720F">
        <w:rPr>
          <w:rFonts w:asciiTheme="minorHAnsi" w:hAnsiTheme="minorHAnsi" w:cstheme="minorHAnsi"/>
          <w:bCs/>
          <w:szCs w:val="22"/>
        </w:rPr>
        <w:t xml:space="preserve"> </w:t>
      </w:r>
    </w:p>
    <w:p w14:paraId="15D590D2" w14:textId="2F8800B2" w:rsidR="000202FE" w:rsidRPr="00503913" w:rsidRDefault="000202FE" w:rsidP="000202FE">
      <w:pPr>
        <w:pStyle w:val="Charttitle"/>
        <w:rPr>
          <w:rFonts w:asciiTheme="minorHAnsi" w:hAnsiTheme="minorHAnsi" w:cstheme="minorHAnsi"/>
        </w:rPr>
      </w:pPr>
      <w:r w:rsidRPr="00503913">
        <w:rPr>
          <w:rFonts w:asciiTheme="minorHAnsi" w:hAnsiTheme="minorHAnsi" w:cstheme="minorHAnsi"/>
        </w:rPr>
        <w:lastRenderedPageBreak/>
        <w:t xml:space="preserve">Figure 1: </w:t>
      </w:r>
      <w:r w:rsidR="00F91E6D">
        <w:rPr>
          <w:rFonts w:asciiTheme="minorHAnsi" w:hAnsiTheme="minorHAnsi" w:cstheme="minorHAnsi"/>
        </w:rPr>
        <w:t>Whole economy l</w:t>
      </w:r>
      <w:r w:rsidRPr="00503913">
        <w:rPr>
          <w:rFonts w:asciiTheme="minorHAnsi" w:hAnsiTheme="minorHAnsi" w:cstheme="minorHAnsi"/>
        </w:rPr>
        <w:t xml:space="preserve">abour </w:t>
      </w:r>
      <w:r w:rsidR="009434FD">
        <w:rPr>
          <w:rFonts w:asciiTheme="minorHAnsi" w:hAnsiTheme="minorHAnsi" w:cstheme="minorHAnsi"/>
        </w:rPr>
        <w:t>p</w:t>
      </w:r>
      <w:r w:rsidRPr="00503913">
        <w:rPr>
          <w:rFonts w:asciiTheme="minorHAnsi" w:hAnsiTheme="minorHAnsi" w:cstheme="minorHAnsi"/>
        </w:rPr>
        <w:t xml:space="preserve">roductivity </w:t>
      </w:r>
      <w:r w:rsidR="009434FD">
        <w:rPr>
          <w:rFonts w:asciiTheme="minorHAnsi" w:hAnsiTheme="minorHAnsi" w:cstheme="minorHAnsi"/>
        </w:rPr>
        <w:t>g</w:t>
      </w:r>
      <w:r w:rsidRPr="00503913">
        <w:rPr>
          <w:rFonts w:asciiTheme="minorHAnsi" w:hAnsiTheme="minorHAnsi" w:cstheme="minorHAnsi"/>
        </w:rPr>
        <w:t>rowth</w:t>
      </w:r>
    </w:p>
    <w:p w14:paraId="3D218B93" w14:textId="60B390A4" w:rsidR="000202FE" w:rsidRDefault="00805BEC" w:rsidP="008E07EA">
      <w:pPr>
        <w:pStyle w:val="Chart"/>
        <w:rPr>
          <w:rFonts w:eastAsiaTheme="minorHAnsi"/>
        </w:rPr>
      </w:pPr>
      <w:r w:rsidRPr="00805BEC">
        <w:rPr>
          <w:rFonts w:eastAsiaTheme="minorHAnsi"/>
        </w:rPr>
        <w:drawing>
          <wp:inline distT="0" distB="0" distL="0" distR="0" wp14:anchorId="79CB39C4" wp14:editId="39277358">
            <wp:extent cx="4067175" cy="2886075"/>
            <wp:effectExtent l="0" t="0" r="9525" b="0"/>
            <wp:docPr id="14" name="Picture 14" descr="Column chart of labour productivity growth across ABS productivity growth cycles where growth declines in recent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olumn chart of labour productivity growth across ABS productivity growth cycles where growth declines in recent year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67175" cy="2886075"/>
                    </a:xfrm>
                    <a:prstGeom prst="rect">
                      <a:avLst/>
                    </a:prstGeom>
                    <a:noFill/>
                    <a:ln>
                      <a:noFill/>
                    </a:ln>
                  </pic:spPr>
                </pic:pic>
              </a:graphicData>
            </a:graphic>
          </wp:inline>
        </w:drawing>
      </w:r>
    </w:p>
    <w:p w14:paraId="4AF46496" w14:textId="3142B41A" w:rsidR="000202FE" w:rsidRPr="00E33476" w:rsidRDefault="000202FE" w:rsidP="005B66D8">
      <w:pPr>
        <w:pStyle w:val="Chartsource"/>
      </w:pPr>
      <w:bookmarkStart w:id="2" w:name="_Hlk90903724"/>
      <w:r w:rsidRPr="00E33476">
        <w:t xml:space="preserve">Notes: </w:t>
      </w:r>
      <w:r w:rsidR="00754689">
        <w:t xml:space="preserve">Productivity cycles determined by the ABS. </w:t>
      </w:r>
      <w:r w:rsidR="00107038">
        <w:t>Final cycle (</w:t>
      </w:r>
      <w:r w:rsidRPr="00E33476">
        <w:t>2018</w:t>
      </w:r>
      <w:r w:rsidR="002B75D0">
        <w:noBreakHyphen/>
      </w:r>
      <w:r w:rsidRPr="00E33476">
        <w:t>21*</w:t>
      </w:r>
      <w:r w:rsidR="00107038">
        <w:t>)</w:t>
      </w:r>
      <w:r w:rsidRPr="00E33476">
        <w:t xml:space="preserve"> is incomplete.  </w:t>
      </w:r>
    </w:p>
    <w:bookmarkEnd w:id="2"/>
    <w:p w14:paraId="5A6E0B36" w14:textId="31123509" w:rsidR="000202FE" w:rsidRPr="00E33476" w:rsidRDefault="000202FE" w:rsidP="005B66D8">
      <w:pPr>
        <w:pStyle w:val="Chartsource"/>
        <w:rPr>
          <w:rFonts w:eastAsiaTheme="minorHAnsi"/>
        </w:rPr>
      </w:pPr>
      <w:r w:rsidRPr="00E33476">
        <w:t xml:space="preserve">Source: </w:t>
      </w:r>
      <w:r w:rsidR="00EF07C1">
        <w:t>ABS Australian System of National Accounts</w:t>
      </w:r>
      <w:r w:rsidR="00F00639">
        <w:t>, 2020</w:t>
      </w:r>
      <w:r w:rsidR="002B75D0">
        <w:noBreakHyphen/>
      </w:r>
      <w:r w:rsidR="00F00639">
        <w:t>21</w:t>
      </w:r>
      <w:r w:rsidRPr="00E33476">
        <w:t>.</w:t>
      </w:r>
    </w:p>
    <w:p w14:paraId="6B5D29D5" w14:textId="638887A0" w:rsidR="000202FE" w:rsidRPr="000202FE" w:rsidRDefault="000202FE" w:rsidP="000202FE">
      <w:pPr>
        <w:pStyle w:val="Charttitle"/>
        <w:rPr>
          <w:rFonts w:asciiTheme="majorHAnsi" w:hAnsiTheme="majorHAnsi" w:cstheme="majorHAnsi"/>
        </w:rPr>
      </w:pPr>
      <w:r w:rsidRPr="000202FE">
        <w:rPr>
          <w:rFonts w:asciiTheme="majorHAnsi" w:hAnsiTheme="majorHAnsi" w:cstheme="majorHAnsi"/>
        </w:rPr>
        <w:t xml:space="preserve">Figure 2: Market </w:t>
      </w:r>
      <w:r w:rsidR="009434FD">
        <w:rPr>
          <w:rFonts w:asciiTheme="majorHAnsi" w:hAnsiTheme="majorHAnsi" w:cstheme="majorHAnsi"/>
        </w:rPr>
        <w:t>s</w:t>
      </w:r>
      <w:r w:rsidRPr="000202FE">
        <w:rPr>
          <w:rFonts w:asciiTheme="majorHAnsi" w:hAnsiTheme="majorHAnsi" w:cstheme="majorHAnsi"/>
        </w:rPr>
        <w:t xml:space="preserve">ector </w:t>
      </w:r>
      <w:r w:rsidR="009434FD">
        <w:rPr>
          <w:rFonts w:asciiTheme="majorHAnsi" w:hAnsiTheme="majorHAnsi" w:cstheme="majorHAnsi"/>
        </w:rPr>
        <w:t>l</w:t>
      </w:r>
      <w:r w:rsidRPr="000202FE">
        <w:rPr>
          <w:rFonts w:asciiTheme="majorHAnsi" w:hAnsiTheme="majorHAnsi" w:cstheme="majorHAnsi"/>
        </w:rPr>
        <w:t xml:space="preserve">abour </w:t>
      </w:r>
      <w:r w:rsidR="009434FD">
        <w:rPr>
          <w:rFonts w:asciiTheme="majorHAnsi" w:hAnsiTheme="majorHAnsi" w:cstheme="majorHAnsi"/>
        </w:rPr>
        <w:t>p</w:t>
      </w:r>
      <w:r w:rsidRPr="000202FE">
        <w:rPr>
          <w:rFonts w:asciiTheme="majorHAnsi" w:hAnsiTheme="majorHAnsi" w:cstheme="majorHAnsi"/>
        </w:rPr>
        <w:t xml:space="preserve">roductivity </w:t>
      </w:r>
      <w:r w:rsidR="009434FD">
        <w:rPr>
          <w:rFonts w:asciiTheme="majorHAnsi" w:hAnsiTheme="majorHAnsi" w:cstheme="majorHAnsi"/>
        </w:rPr>
        <w:t>g</w:t>
      </w:r>
      <w:r w:rsidRPr="000202FE">
        <w:rPr>
          <w:rFonts w:asciiTheme="majorHAnsi" w:hAnsiTheme="majorHAnsi" w:cstheme="majorHAnsi"/>
        </w:rPr>
        <w:t xml:space="preserve">rowth </w:t>
      </w:r>
      <w:r w:rsidR="009434FD">
        <w:rPr>
          <w:rFonts w:asciiTheme="majorHAnsi" w:hAnsiTheme="majorHAnsi" w:cstheme="majorHAnsi"/>
        </w:rPr>
        <w:t>d</w:t>
      </w:r>
      <w:r w:rsidRPr="000202FE">
        <w:rPr>
          <w:rFonts w:asciiTheme="majorHAnsi" w:hAnsiTheme="majorHAnsi" w:cstheme="majorHAnsi"/>
        </w:rPr>
        <w:t>ecomposition</w:t>
      </w:r>
    </w:p>
    <w:p w14:paraId="701AB4B5" w14:textId="46BD9461" w:rsidR="000202FE" w:rsidRDefault="00805BEC" w:rsidP="000202FE">
      <w:pPr>
        <w:jc w:val="center"/>
        <w:rPr>
          <w:rFonts w:eastAsiaTheme="minorHAnsi"/>
        </w:rPr>
      </w:pPr>
      <w:r w:rsidRPr="00805BEC">
        <w:rPr>
          <w:rFonts w:eastAsiaTheme="minorHAnsi"/>
          <w:noProof/>
        </w:rPr>
        <w:drawing>
          <wp:inline distT="0" distB="0" distL="0" distR="0" wp14:anchorId="14E2E3F5" wp14:editId="56F72BBE">
            <wp:extent cx="4076700" cy="2886075"/>
            <wp:effectExtent l="0" t="0" r="0" b="0"/>
            <wp:docPr id="20" name="Picture 20" descr="Column chart of market sector labour productivity growth which is decomposed into multifactor productivity growth and capital deepening. The chart shows multifactor productivity growth has slowed more than capital deepening in recent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olumn chart of market sector labour productivity growth which is decomposed into multifactor productivity growth and capital deepening. The chart shows multifactor productivity growth has slowed more than capital deepening in recent year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076700" cy="2886075"/>
                    </a:xfrm>
                    <a:prstGeom prst="rect">
                      <a:avLst/>
                    </a:prstGeom>
                    <a:noFill/>
                    <a:ln>
                      <a:noFill/>
                    </a:ln>
                  </pic:spPr>
                </pic:pic>
              </a:graphicData>
            </a:graphic>
          </wp:inline>
        </w:drawing>
      </w:r>
    </w:p>
    <w:p w14:paraId="4B9365FC" w14:textId="57A4ED44" w:rsidR="000202FE" w:rsidRPr="00E33476" w:rsidRDefault="000202FE" w:rsidP="005A40FA">
      <w:pPr>
        <w:pStyle w:val="Chartsource"/>
      </w:pPr>
      <w:r w:rsidRPr="00E33476">
        <w:t xml:space="preserve">Notes: </w:t>
      </w:r>
      <w:r w:rsidR="00754689">
        <w:t xml:space="preserve">Productivity cycles determined by the ABS. </w:t>
      </w:r>
      <w:r w:rsidRPr="00E33476">
        <w:t>Final cycle (2018</w:t>
      </w:r>
      <w:r w:rsidR="002B75D0">
        <w:noBreakHyphen/>
      </w:r>
      <w:r w:rsidRPr="00E33476">
        <w:t xml:space="preserve">21*) is incomplete. </w:t>
      </w:r>
      <w:r w:rsidR="00754689">
        <w:t xml:space="preserve">Market sector labour productivity measured by GVA per hour in 12 selected industries. </w:t>
      </w:r>
      <w:r w:rsidRPr="00E33476">
        <w:t xml:space="preserve"> </w:t>
      </w:r>
    </w:p>
    <w:p w14:paraId="70BC537A" w14:textId="1CACD6BE" w:rsidR="000202FE" w:rsidRPr="00E33476" w:rsidRDefault="000202FE" w:rsidP="005A40FA">
      <w:pPr>
        <w:pStyle w:val="Chartsource"/>
      </w:pPr>
      <w:r w:rsidRPr="00E33476">
        <w:t>Source: ABS Estimates of Industry Multifactor Productivity</w:t>
      </w:r>
      <w:r w:rsidR="00FD38DF">
        <w:t>, 2020</w:t>
      </w:r>
      <w:r w:rsidR="002B75D0">
        <w:noBreakHyphen/>
      </w:r>
      <w:r w:rsidR="00FD38DF">
        <w:t>21.</w:t>
      </w:r>
    </w:p>
    <w:p w14:paraId="0D2C1117" w14:textId="2B140CA7" w:rsidR="002B63AA" w:rsidRDefault="002B63AA" w:rsidP="002B63AA">
      <w:r>
        <w:rPr>
          <w:color w:val="000000"/>
        </w:rPr>
        <w:t xml:space="preserve">The shift towards </w:t>
      </w:r>
      <w:r w:rsidRPr="00A35863">
        <w:rPr>
          <w:color w:val="000000"/>
        </w:rPr>
        <w:t xml:space="preserve">the services sector </w:t>
      </w:r>
      <w:r>
        <w:rPr>
          <w:color w:val="000000"/>
        </w:rPr>
        <w:t xml:space="preserve">does not </w:t>
      </w:r>
      <w:r w:rsidRPr="00A35863">
        <w:rPr>
          <w:color w:val="000000"/>
        </w:rPr>
        <w:t>account for the slowdown in productivity growth</w:t>
      </w:r>
      <w:r>
        <w:rPr>
          <w:color w:val="000000"/>
        </w:rPr>
        <w:t xml:space="preserve"> (Campbell and Withers 2017), with declines in productivity growth</w:t>
      </w:r>
      <w:r w:rsidR="00463E40">
        <w:rPr>
          <w:color w:val="000000"/>
        </w:rPr>
        <w:t xml:space="preserve"> observed</w:t>
      </w:r>
      <w:r>
        <w:rPr>
          <w:color w:val="000000"/>
        </w:rPr>
        <w:t xml:space="preserve"> across most industries (Figure 3).</w:t>
      </w:r>
    </w:p>
    <w:p w14:paraId="76F9BC1E" w14:textId="6B4D1B13" w:rsidR="004A366B" w:rsidRDefault="00FA5D75" w:rsidP="00BC0EB4">
      <w:r w:rsidRPr="00A35863">
        <w:t xml:space="preserve">The </w:t>
      </w:r>
      <w:r>
        <w:t xml:space="preserve">overall productivity </w:t>
      </w:r>
      <w:r w:rsidRPr="00A35863">
        <w:t>slowdown is broadly consistent with the experiences of other advanced economies</w:t>
      </w:r>
      <w:r w:rsidRPr="00360F0E">
        <w:t xml:space="preserve">. </w:t>
      </w:r>
      <w:r>
        <w:t>For instance, labour productivity growth in the United States was 1.1 per cent on average over the past 10 years, compared to 1.6 per cent over the past 20 years (</w:t>
      </w:r>
      <w:proofErr w:type="spellStart"/>
      <w:r>
        <w:t>Feenstra</w:t>
      </w:r>
      <w:proofErr w:type="spellEnd"/>
      <w:r>
        <w:t xml:space="preserve"> et al. 2015)</w:t>
      </w:r>
      <w:r w:rsidRPr="00B34209">
        <w:t>.</w:t>
      </w:r>
      <w:r w:rsidDel="00990AA0">
        <w:rPr>
          <w:rStyle w:val="FootnoteReference"/>
        </w:rPr>
        <w:t xml:space="preserve"> </w:t>
      </w:r>
      <w:r>
        <w:t xml:space="preserve">The </w:t>
      </w:r>
      <w:r>
        <w:lastRenderedPageBreak/>
        <w:t>broad</w:t>
      </w:r>
      <w:r w:rsidR="002B75D0">
        <w:noBreakHyphen/>
      </w:r>
      <w:r>
        <w:t xml:space="preserve">based decline in productivity across advanced economies suggests that global factors at least partly explain the decline in productivity growth in Australia. </w:t>
      </w:r>
    </w:p>
    <w:p w14:paraId="4B133C9E" w14:textId="56C85AE7" w:rsidR="00E50787" w:rsidRDefault="00E50787" w:rsidP="00E50787">
      <w:pPr>
        <w:pStyle w:val="Charttitle"/>
      </w:pPr>
      <w:r w:rsidRPr="003802C6">
        <w:t xml:space="preserve">Figure </w:t>
      </w:r>
      <w:r w:rsidR="007C0681">
        <w:t>3</w:t>
      </w:r>
      <w:r w:rsidRPr="003802C6">
        <w:t xml:space="preserve">: </w:t>
      </w:r>
      <w:r>
        <w:t>Average annual labour productivity growth, by industry</w:t>
      </w:r>
    </w:p>
    <w:p w14:paraId="3C0968AB" w14:textId="20D30C6C" w:rsidR="00E50787" w:rsidRDefault="00805BEC" w:rsidP="00E50787">
      <w:pPr>
        <w:pStyle w:val="Bullet"/>
        <w:numPr>
          <w:ilvl w:val="0"/>
          <w:numId w:val="0"/>
        </w:numPr>
        <w:jc w:val="center"/>
      </w:pPr>
      <w:r w:rsidRPr="00805BEC">
        <w:rPr>
          <w:noProof/>
        </w:rPr>
        <w:drawing>
          <wp:inline distT="0" distB="0" distL="0" distR="0" wp14:anchorId="454A9A8B" wp14:editId="6E7ADA39">
            <wp:extent cx="5581650" cy="3962400"/>
            <wp:effectExtent l="0" t="0" r="0" b="0"/>
            <wp:docPr id="23" name="Picture 23" descr="Bar chart shows average labour productivity growth over two periods by industry. Productivity growth was lower between 2005-2020 compared to 1990-2005 for most indust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Bar chart shows average labour productivity growth over two periods by industry. Productivity growth was lower between 2005-2020 compared to 1990-2005 for most industrie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81650" cy="3962400"/>
                    </a:xfrm>
                    <a:prstGeom prst="rect">
                      <a:avLst/>
                    </a:prstGeom>
                    <a:noFill/>
                    <a:ln>
                      <a:noFill/>
                    </a:ln>
                  </pic:spPr>
                </pic:pic>
              </a:graphicData>
            </a:graphic>
          </wp:inline>
        </w:drawing>
      </w:r>
    </w:p>
    <w:p w14:paraId="500137D8" w14:textId="214B4161" w:rsidR="00E50787" w:rsidRPr="007B20FB" w:rsidRDefault="00E50787" w:rsidP="00E50787">
      <w:pPr>
        <w:pStyle w:val="Chartsource"/>
        <w:rPr>
          <w:noProof/>
        </w:rPr>
      </w:pPr>
      <w:r w:rsidRPr="007B20FB">
        <w:rPr>
          <w:noProof/>
        </w:rPr>
        <w:t>Notes:</w:t>
      </w:r>
      <w:r>
        <w:rPr>
          <w:noProof/>
        </w:rPr>
        <w:t xml:space="preserve"> </w:t>
      </w:r>
      <w:r w:rsidR="007E04B4">
        <w:rPr>
          <w:noProof/>
        </w:rPr>
        <w:t>G</w:t>
      </w:r>
      <w:r>
        <w:rPr>
          <w:noProof/>
        </w:rPr>
        <w:t>rowth rates determined by compound average growth</w:t>
      </w:r>
      <w:r w:rsidR="00CA0104">
        <w:rPr>
          <w:noProof/>
        </w:rPr>
        <w:t xml:space="preserve">. </w:t>
      </w:r>
      <w:r>
        <w:rPr>
          <w:noProof/>
        </w:rPr>
        <w:t xml:space="preserve"> </w:t>
      </w:r>
    </w:p>
    <w:p w14:paraId="59C83D7F" w14:textId="00058EAD" w:rsidR="00E50787" w:rsidRPr="005A77A2" w:rsidRDefault="00E50787" w:rsidP="00E50787">
      <w:pPr>
        <w:pStyle w:val="Chartsource"/>
        <w:rPr>
          <w:noProof/>
        </w:rPr>
      </w:pPr>
      <w:r w:rsidRPr="007B20FB">
        <w:rPr>
          <w:noProof/>
        </w:rPr>
        <w:t xml:space="preserve">Source: ABS </w:t>
      </w:r>
      <w:r>
        <w:rPr>
          <w:noProof/>
        </w:rPr>
        <w:t>Estimates of Industry Multifactor Productivity, 2020</w:t>
      </w:r>
      <w:r w:rsidR="002B75D0">
        <w:rPr>
          <w:noProof/>
        </w:rPr>
        <w:noBreakHyphen/>
      </w:r>
      <w:r>
        <w:rPr>
          <w:noProof/>
        </w:rPr>
        <w:t>21</w:t>
      </w:r>
      <w:r w:rsidRPr="007B20FB">
        <w:rPr>
          <w:noProof/>
        </w:rPr>
        <w:t>.</w:t>
      </w:r>
    </w:p>
    <w:p w14:paraId="7C60294F" w14:textId="10B47BB0" w:rsidR="00AF1A62" w:rsidRDefault="000202FE" w:rsidP="008E07EA">
      <w:pPr>
        <w:pStyle w:val="Heading1"/>
      </w:pPr>
      <w:r w:rsidRPr="000202FE">
        <w:t>What explains the global slowdown?</w:t>
      </w:r>
    </w:p>
    <w:p w14:paraId="4376BE96" w14:textId="1FF8B5C0" w:rsidR="000202FE" w:rsidRDefault="000202FE" w:rsidP="00DB2AF2">
      <w:r>
        <w:t xml:space="preserve">Many factors have likely contributed to slower global productivity growth, </w:t>
      </w:r>
      <w:r w:rsidR="004945FC">
        <w:t xml:space="preserve">and we explore some of the key discussions below. </w:t>
      </w:r>
    </w:p>
    <w:p w14:paraId="4781B786" w14:textId="00F1C2B4" w:rsidR="00E33476" w:rsidRDefault="000202FE" w:rsidP="008E07EA">
      <w:pPr>
        <w:pStyle w:val="Heading2"/>
      </w:pPr>
      <w:r>
        <w:t xml:space="preserve">Are current </w:t>
      </w:r>
      <w:r w:rsidR="00E33476">
        <w:t>inn</w:t>
      </w:r>
      <w:r w:rsidR="006C4849">
        <w:t>o</w:t>
      </w:r>
      <w:r w:rsidR="00E33476">
        <w:t>vations transformative?</w:t>
      </w:r>
    </w:p>
    <w:p w14:paraId="41303060" w14:textId="66B4AB19" w:rsidR="00E33476" w:rsidRDefault="00E33476" w:rsidP="00A14DE5">
      <w:r>
        <w:t>Techno</w:t>
      </w:r>
      <w:r w:rsidR="002B75D0">
        <w:noBreakHyphen/>
      </w:r>
      <w:r>
        <w:t>pessimists argue that past innovations were far more significant than current innovations. For example, electrification completely re</w:t>
      </w:r>
      <w:r w:rsidR="002B75D0">
        <w:noBreakHyphen/>
      </w:r>
      <w:r>
        <w:t xml:space="preserve">shaped the way we lived, while we have also potentially reaped </w:t>
      </w:r>
      <w:r w:rsidR="00E170CB">
        <w:t>most of</w:t>
      </w:r>
      <w:r>
        <w:t xml:space="preserve"> the gain</w:t>
      </w:r>
      <w:r w:rsidR="00E170CB">
        <w:t>s</w:t>
      </w:r>
      <w:r>
        <w:t xml:space="preserve"> from the information technology expansion era of the 1990s and early 2000s (Gordon 2012).  </w:t>
      </w:r>
    </w:p>
    <w:p w14:paraId="70BCBBB2" w14:textId="5A2AAC06" w:rsidR="00E33476" w:rsidRDefault="00E33476" w:rsidP="00A14DE5">
      <w:r>
        <w:t>Techno</w:t>
      </w:r>
      <w:r w:rsidR="002B75D0">
        <w:noBreakHyphen/>
      </w:r>
      <w:r>
        <w:t>optimists argue that current innovations</w:t>
      </w:r>
      <w:r w:rsidR="00CE2686">
        <w:t xml:space="preserve"> </w:t>
      </w:r>
      <w:r w:rsidR="002A413F">
        <w:sym w:font="Symbol" w:char="F02D"/>
      </w:r>
      <w:r w:rsidR="002A413F">
        <w:t xml:space="preserve"> </w:t>
      </w:r>
      <w:r>
        <w:t>such as artificial intelligence (AI)</w:t>
      </w:r>
      <w:r w:rsidR="00CE2686">
        <w:t xml:space="preserve"> </w:t>
      </w:r>
      <w:r w:rsidR="002A413F">
        <w:sym w:font="Symbol" w:char="F02D"/>
      </w:r>
      <w:r w:rsidR="002A413F">
        <w:t xml:space="preserve"> </w:t>
      </w:r>
      <w:r>
        <w:t xml:space="preserve">can be just as transformative, but that many of the benefits will take time to accrue. This is because these </w:t>
      </w:r>
      <w:r w:rsidR="002A413F">
        <w:t>‘</w:t>
      </w:r>
      <w:r>
        <w:t>general</w:t>
      </w:r>
      <w:r w:rsidR="00D46C7C">
        <w:noBreakHyphen/>
      </w:r>
      <w:r>
        <w:t>purpose technologies</w:t>
      </w:r>
      <w:r w:rsidR="002A413F">
        <w:t>’</w:t>
      </w:r>
      <w:r>
        <w:t xml:space="preserve"> require complementary investments and skills to fully realise the benefits (Brynjolfsson and McAfee 2011).</w:t>
      </w:r>
    </w:p>
    <w:p w14:paraId="7F618D60" w14:textId="3FFA90F8" w:rsidR="00E33476" w:rsidRDefault="00E33476" w:rsidP="00A14DE5">
      <w:r>
        <w:lastRenderedPageBreak/>
        <w:t xml:space="preserve">While the </w:t>
      </w:r>
      <w:r w:rsidR="00702D13">
        <w:t xml:space="preserve">debate </w:t>
      </w:r>
      <w:r>
        <w:t xml:space="preserve">between the </w:t>
      </w:r>
      <w:r w:rsidR="00D46C7C">
        <w:t>2</w:t>
      </w:r>
      <w:r w:rsidR="00D46C7C" w:rsidDel="00FC6374">
        <w:t xml:space="preserve"> </w:t>
      </w:r>
      <w:r w:rsidR="00E170CB">
        <w:t>camps</w:t>
      </w:r>
      <w:r w:rsidR="00FC6374">
        <w:t xml:space="preserve"> </w:t>
      </w:r>
      <w:r>
        <w:t xml:space="preserve">is ongoing, continued strong productivity growth among </w:t>
      </w:r>
      <w:r w:rsidR="002A413F">
        <w:t>‘</w:t>
      </w:r>
      <w:r>
        <w:t>frontier</w:t>
      </w:r>
      <w:r w:rsidR="002A413F">
        <w:t>’</w:t>
      </w:r>
      <w:r>
        <w:t xml:space="preserve"> firms suggests current technologies are transformative, but may be slower to diffuse to other firms (Andrews, </w:t>
      </w:r>
      <w:proofErr w:type="spellStart"/>
      <w:r>
        <w:t>Criscuolo</w:t>
      </w:r>
      <w:proofErr w:type="spellEnd"/>
      <w:r>
        <w:t>, and Gal 2019).</w:t>
      </w:r>
    </w:p>
    <w:p w14:paraId="458736BA" w14:textId="1B11EEA2" w:rsidR="00E33476" w:rsidRPr="003F172F" w:rsidRDefault="00E33476" w:rsidP="00ED3CF2">
      <w:pPr>
        <w:pStyle w:val="Heading2"/>
      </w:pPr>
      <w:r>
        <w:t>Have we become</w:t>
      </w:r>
      <w:r w:rsidRPr="00360F0E">
        <w:t xml:space="preserve"> worse at measu</w:t>
      </w:r>
      <w:r>
        <w:t>r</w:t>
      </w:r>
      <w:r w:rsidRPr="00360F0E">
        <w:t>ing productivity</w:t>
      </w:r>
      <w:r>
        <w:t xml:space="preserve"> over</w:t>
      </w:r>
      <w:r w:rsidR="002D2498">
        <w:t xml:space="preserve"> </w:t>
      </w:r>
      <w:r>
        <w:t>time</w:t>
      </w:r>
      <w:r w:rsidRPr="00360F0E">
        <w:t>?</w:t>
      </w:r>
    </w:p>
    <w:p w14:paraId="6F4B4BB8" w14:textId="5A60325D" w:rsidR="00E33476" w:rsidRDefault="00E33476" w:rsidP="00A14DE5">
      <w:r>
        <w:t>A related explanation is that we may have become worse at measuring inputs and outputs over</w:t>
      </w:r>
      <w:r w:rsidR="00E170CB">
        <w:t xml:space="preserve"> </w:t>
      </w:r>
      <w:r>
        <w:t>time. Accounting for improvements in the quality of goods and services is challenging</w:t>
      </w:r>
      <w:r w:rsidR="00FC6374">
        <w:t>. This</w:t>
      </w:r>
      <w:r>
        <w:t xml:space="preserve"> may have become even harder with the advent of new and digital technologies, as well as free services and platforms (</w:t>
      </w:r>
      <w:r w:rsidR="00FC6374">
        <w:t>for example,</w:t>
      </w:r>
      <w:r>
        <w:t xml:space="preserve"> Google and Facebook). Similarly, measuring investments in intangibles</w:t>
      </w:r>
      <w:r w:rsidR="00FC6374">
        <w:t xml:space="preserve"> such as</w:t>
      </w:r>
      <w:r>
        <w:t xml:space="preserve"> ideas, processes, and brands can be difficult.</w:t>
      </w:r>
      <w:r>
        <w:rPr>
          <w:rStyle w:val="FootnoteReference"/>
        </w:rPr>
        <w:footnoteReference w:id="6"/>
      </w:r>
      <w:r>
        <w:t xml:space="preserve"> </w:t>
      </w:r>
      <w:r w:rsidR="00FC6374">
        <w:t>S</w:t>
      </w:r>
      <w:r>
        <w:t xml:space="preserve">ome economists </w:t>
      </w:r>
      <w:r w:rsidR="00FC6374">
        <w:t>argue</w:t>
      </w:r>
      <w:r>
        <w:t xml:space="preserve"> that </w:t>
      </w:r>
      <w:r w:rsidR="00FC6374">
        <w:t xml:space="preserve">these challenges mean </w:t>
      </w:r>
      <w:r>
        <w:t xml:space="preserve">productivity growth is underestimated. </w:t>
      </w:r>
    </w:p>
    <w:p w14:paraId="36A4BCFE" w14:textId="77777777" w:rsidR="00E33476" w:rsidRDefault="00E33476" w:rsidP="00A14DE5">
      <w:r>
        <w:t xml:space="preserve">However, research has found that </w:t>
      </w:r>
      <w:r w:rsidRPr="00A35863">
        <w:t>while measurement errors exist, they are unlikely to explain a large share of the decline in labour productivity</w:t>
      </w:r>
      <w:r>
        <w:t xml:space="preserve"> (</w:t>
      </w:r>
      <w:proofErr w:type="spellStart"/>
      <w:r>
        <w:t>Boppart</w:t>
      </w:r>
      <w:proofErr w:type="spellEnd"/>
      <w:r>
        <w:t xml:space="preserve"> and Li 2021, Burnell and </w:t>
      </w:r>
      <w:proofErr w:type="spellStart"/>
      <w:r>
        <w:t>Elnasri</w:t>
      </w:r>
      <w:proofErr w:type="spellEnd"/>
      <w:r>
        <w:t xml:space="preserve"> 2020).  </w:t>
      </w:r>
    </w:p>
    <w:p w14:paraId="68F32C85" w14:textId="77777777" w:rsidR="00E33476" w:rsidRPr="00492B9A" w:rsidRDefault="00E33476" w:rsidP="00ED3CF2">
      <w:pPr>
        <w:pStyle w:val="Heading2"/>
        <w:rPr>
          <w:b/>
          <w:bCs/>
        </w:rPr>
      </w:pPr>
      <w:r>
        <w:t xml:space="preserve">Is the slowdown in trade a factor? </w:t>
      </w:r>
    </w:p>
    <w:p w14:paraId="53FFD8C3" w14:textId="2C0038E0" w:rsidR="00E33476" w:rsidRDefault="00E33476" w:rsidP="005A40FA">
      <w:pPr>
        <w:rPr>
          <w:vertAlign w:val="superscript"/>
        </w:rPr>
      </w:pPr>
      <w:r>
        <w:t>Increased trade and use of</w:t>
      </w:r>
      <w:r w:rsidRPr="00DC06FE">
        <w:t xml:space="preserve"> global value chains</w:t>
      </w:r>
      <w:r>
        <w:t xml:space="preserve"> (GVCs)</w:t>
      </w:r>
      <w:r w:rsidRPr="00DC06FE">
        <w:t xml:space="preserve"> </w:t>
      </w:r>
      <w:r>
        <w:t>contributed to productivity growth over the 1990s and early 2000s by enabling cheaper production, specialisation, increasing competition and diffusing technologies and knowledge. However, many of these gains may have already been reaped. Growth in trade also slowed after the global financial crisis reflecting a shift away from import</w:t>
      </w:r>
      <w:r w:rsidR="002B75D0">
        <w:noBreakHyphen/>
      </w:r>
      <w:r>
        <w:t xml:space="preserve">intensive goods, slowdown in growth in Asian economies and </w:t>
      </w:r>
      <w:r w:rsidRPr="00895075">
        <w:t>heightened economic uncertainty</w:t>
      </w:r>
      <w:r>
        <w:t xml:space="preserve"> (</w:t>
      </w:r>
      <w:proofErr w:type="spellStart"/>
      <w:r w:rsidRPr="002E777B">
        <w:t>Jääskelä</w:t>
      </w:r>
      <w:proofErr w:type="spellEnd"/>
      <w:r w:rsidRPr="002E777B">
        <w:t xml:space="preserve"> and Mathews 2015).</w:t>
      </w:r>
      <w:r>
        <w:t xml:space="preserve"> </w:t>
      </w:r>
      <w:r w:rsidRPr="00A35863">
        <w:t>Recent studies suggest that diminishing gains from trade could account for a moderate portion of the global productivity slowdown</w:t>
      </w:r>
      <w:r>
        <w:t xml:space="preserve"> </w:t>
      </w:r>
      <w:r w:rsidR="007A3018">
        <w:sym w:font="Symbol" w:char="F02D"/>
      </w:r>
      <w:r w:rsidR="007A3018">
        <w:t xml:space="preserve"> </w:t>
      </w:r>
      <w:r>
        <w:t>Goldin et al. (2021) suggest it could account for around 15 per cent of the slowdown</w:t>
      </w:r>
      <w:r w:rsidRPr="00A35863">
        <w:t>.</w:t>
      </w:r>
      <w:r w:rsidRPr="00376559" w:rsidDel="000201EB">
        <w:rPr>
          <w:vertAlign w:val="superscript"/>
        </w:rPr>
        <w:t xml:space="preserve"> </w:t>
      </w:r>
    </w:p>
    <w:p w14:paraId="448D6755" w14:textId="77777777" w:rsidR="00E33476" w:rsidRDefault="00E33476" w:rsidP="00ED3CF2">
      <w:pPr>
        <w:pStyle w:val="Heading2"/>
        <w:rPr>
          <w:b/>
          <w:bCs/>
        </w:rPr>
      </w:pPr>
      <w:r w:rsidRPr="00360F0E">
        <w:t>Is the economy less dynamic and competitive?</w:t>
      </w:r>
    </w:p>
    <w:p w14:paraId="7FC212B9" w14:textId="08386211" w:rsidR="00E33476" w:rsidRDefault="00E33476" w:rsidP="005A40FA">
      <w:r>
        <w:t>Resources, ideas, and technologies flow easily between firms in a dynamic economy. New firms enter and either thrive and grow, or exit. This allows</w:t>
      </w:r>
      <w:r w:rsidDel="006F080F">
        <w:t xml:space="preserve"> </w:t>
      </w:r>
      <w:r>
        <w:t xml:space="preserve">resources to flow to their most productive use, and creates competitive pressures that cause firms to innovate, invest and improve. </w:t>
      </w:r>
    </w:p>
    <w:p w14:paraId="53554428" w14:textId="1E9B0DC4" w:rsidR="00E33476" w:rsidRDefault="00E33476" w:rsidP="005A40FA">
      <w:r>
        <w:t>However, measures of dynamism have been declining in the U</w:t>
      </w:r>
      <w:r w:rsidR="00741383">
        <w:t xml:space="preserve">nited </w:t>
      </w:r>
      <w:r>
        <w:t>S</w:t>
      </w:r>
      <w:r w:rsidR="00741383">
        <w:t>tates</w:t>
      </w:r>
      <w:r>
        <w:t xml:space="preserve"> and other advanced economies (</w:t>
      </w:r>
      <w:r w:rsidRPr="00616358">
        <w:t xml:space="preserve">Calvino, </w:t>
      </w:r>
      <w:proofErr w:type="spellStart"/>
      <w:r>
        <w:rPr>
          <w:rFonts w:cs="Calibri"/>
          <w:bCs/>
        </w:rPr>
        <w:t>Criscuolo</w:t>
      </w:r>
      <w:proofErr w:type="spellEnd"/>
      <w:r w:rsidRPr="00616358">
        <w:t xml:space="preserve"> and </w:t>
      </w:r>
      <w:proofErr w:type="spellStart"/>
      <w:r w:rsidRPr="00616358">
        <w:t>Verlhac</w:t>
      </w:r>
      <w:proofErr w:type="spellEnd"/>
      <w:r w:rsidRPr="00616358">
        <w:t xml:space="preserve"> 2020)</w:t>
      </w:r>
      <w:r>
        <w:t>.</w:t>
      </w:r>
      <w:r w:rsidRPr="00145F88">
        <w:rPr>
          <w:rStyle w:val="FootnoteReference"/>
        </w:rPr>
        <w:t xml:space="preserve"> </w:t>
      </w:r>
      <w:r>
        <w:t>Fewer firms are opening and closing</w:t>
      </w:r>
      <w:r w:rsidR="006F080F">
        <w:t>. J</w:t>
      </w:r>
      <w:r>
        <w:t>ob reallocation has slowed</w:t>
      </w:r>
      <w:r w:rsidR="006F080F">
        <w:t>.</w:t>
      </w:r>
      <w:r>
        <w:t xml:space="preserve"> </w:t>
      </w:r>
      <w:r w:rsidR="006F080F">
        <w:t>Y</w:t>
      </w:r>
      <w:r>
        <w:t>oung firms now make up a smaller share of economic activity. Meanwhile, measures of competitive pressures have declined</w:t>
      </w:r>
      <w:r w:rsidR="00B62E51">
        <w:t>.</w:t>
      </w:r>
      <w:r>
        <w:t xml:space="preserve"> </w:t>
      </w:r>
      <w:r w:rsidR="00B62E51">
        <w:t>F</w:t>
      </w:r>
      <w:r>
        <w:t>irms appear to be slower to adopt new technologies and converge to the productivity frontier (</w:t>
      </w:r>
      <w:proofErr w:type="spellStart"/>
      <w:r>
        <w:t>Akcigit</w:t>
      </w:r>
      <w:proofErr w:type="spellEnd"/>
      <w:r>
        <w:t xml:space="preserve"> and </w:t>
      </w:r>
      <w:proofErr w:type="spellStart"/>
      <w:r>
        <w:t>Ates</w:t>
      </w:r>
      <w:proofErr w:type="spellEnd"/>
      <w:r>
        <w:t xml:space="preserve"> 2019). </w:t>
      </w:r>
      <w:r w:rsidRPr="00A35863">
        <w:t>Declining dynamism appears to be an important contributor to slower productivity growth.</w:t>
      </w:r>
    </w:p>
    <w:p w14:paraId="1D1721A4" w14:textId="6A7826AB" w:rsidR="005B7B73" w:rsidRDefault="00965B46" w:rsidP="00ED3CF2">
      <w:pPr>
        <w:pStyle w:val="Heading2"/>
      </w:pPr>
      <w:r>
        <w:t>Is</w:t>
      </w:r>
      <w:r w:rsidR="005B7B73">
        <w:t xml:space="preserve"> human capital playing a role?</w:t>
      </w:r>
    </w:p>
    <w:p w14:paraId="59ED79A7" w14:textId="1BA0BA05" w:rsidR="00723E11" w:rsidRPr="00A35863" w:rsidRDefault="00542531" w:rsidP="00DB2AF2">
      <w:r w:rsidRPr="008E71EE">
        <w:t>Human capital is an important driver of productivity since skilled workers can perform tasks and produce output more efficiently. Improvements in human capital have been estimated to boost productivity (</w:t>
      </w:r>
      <w:proofErr w:type="spellStart"/>
      <w:r w:rsidRPr="008E71EE">
        <w:t>Égert</w:t>
      </w:r>
      <w:proofErr w:type="spellEnd"/>
      <w:r w:rsidRPr="008E71EE">
        <w:t xml:space="preserve"> and Turner 2022) and differences in human capital can drive differences in productivity at the firm level (</w:t>
      </w:r>
      <w:proofErr w:type="spellStart"/>
      <w:r w:rsidRPr="008E71EE">
        <w:t>Criscuolo</w:t>
      </w:r>
      <w:proofErr w:type="spellEnd"/>
      <w:r w:rsidRPr="008E71EE">
        <w:t xml:space="preserve"> et al. 2021). </w:t>
      </w:r>
      <w:r>
        <w:t>A</w:t>
      </w:r>
      <w:r w:rsidRPr="008E71EE">
        <w:t xml:space="preserve"> slowdown in the growth of human capital may </w:t>
      </w:r>
      <w:r w:rsidRPr="008E71EE">
        <w:lastRenderedPageBreak/>
        <w:t>have impacted the productivity slowdown in some countries such as the US (Vol</w:t>
      </w:r>
      <w:r w:rsidR="007C5997">
        <w:t>l</w:t>
      </w:r>
      <w:r w:rsidRPr="008E71EE">
        <w:t>rath 20</w:t>
      </w:r>
      <w:r w:rsidR="007C5997">
        <w:t>19</w:t>
      </w:r>
      <w:r w:rsidRPr="008E71EE">
        <w:t xml:space="preserve">). </w:t>
      </w:r>
      <w:r w:rsidR="00BD4E1C">
        <w:t>To date</w:t>
      </w:r>
      <w:r w:rsidRPr="008E71EE">
        <w:t xml:space="preserve">, there is limited evidence </w:t>
      </w:r>
      <w:r>
        <w:t>of this in</w:t>
      </w:r>
      <w:r w:rsidRPr="008E71EE">
        <w:t xml:space="preserve"> Australia, particularly given that quality</w:t>
      </w:r>
      <w:r w:rsidR="002B75D0">
        <w:noBreakHyphen/>
      </w:r>
      <w:r w:rsidRPr="008E71EE">
        <w:t>adjusted measures of labour productivity in Australia have followed similar trends to unadjusted labour productivity.</w:t>
      </w:r>
    </w:p>
    <w:p w14:paraId="0924A39A" w14:textId="77777777" w:rsidR="00E33476" w:rsidRDefault="00E33476" w:rsidP="008E07EA">
      <w:pPr>
        <w:pStyle w:val="Heading1"/>
      </w:pPr>
      <w:r>
        <w:t>What evidence is there for Australia?</w:t>
      </w:r>
    </w:p>
    <w:p w14:paraId="5DA50217" w14:textId="77777777" w:rsidR="00E33476" w:rsidRPr="00A62895" w:rsidRDefault="00E33476" w:rsidP="005A40FA">
      <w:pPr>
        <w:rPr>
          <w:bCs/>
        </w:rPr>
      </w:pPr>
      <w:r>
        <w:rPr>
          <w:bCs/>
        </w:rPr>
        <w:t>M</w:t>
      </w:r>
      <w:r w:rsidRPr="003270B9">
        <w:rPr>
          <w:bCs/>
        </w:rPr>
        <w:t xml:space="preserve">uch of the </w:t>
      </w:r>
      <w:r>
        <w:rPr>
          <w:bCs/>
        </w:rPr>
        <w:t xml:space="preserve">recent </w:t>
      </w:r>
      <w:r w:rsidRPr="003270B9">
        <w:rPr>
          <w:bCs/>
        </w:rPr>
        <w:t>evidence for Australia</w:t>
      </w:r>
      <w:r>
        <w:rPr>
          <w:bCs/>
        </w:rPr>
        <w:t xml:space="preserve"> has</w:t>
      </w:r>
      <w:r w:rsidRPr="003270B9">
        <w:rPr>
          <w:bCs/>
        </w:rPr>
        <w:t xml:space="preserve"> focused on declining dynamism, competitive pressures, and innovation</w:t>
      </w:r>
      <w:r>
        <w:rPr>
          <w:bCs/>
        </w:rPr>
        <w:t>.</w:t>
      </w:r>
    </w:p>
    <w:p w14:paraId="1E4E2092" w14:textId="15D1DAB1" w:rsidR="00E33476" w:rsidRDefault="00E33476" w:rsidP="008E07EA">
      <w:pPr>
        <w:pStyle w:val="Heading2"/>
        <w:rPr>
          <w:b/>
          <w:bCs/>
        </w:rPr>
      </w:pPr>
      <w:r w:rsidRPr="00360F0E">
        <w:t xml:space="preserve">The economy </w:t>
      </w:r>
      <w:r w:rsidR="002F6BD8">
        <w:t>is</w:t>
      </w:r>
      <w:r w:rsidRPr="00360F0E">
        <w:t xml:space="preserve"> less dynamic</w:t>
      </w:r>
    </w:p>
    <w:p w14:paraId="0A3484EA" w14:textId="20D8A324" w:rsidR="00E33476" w:rsidRDefault="00E33476" w:rsidP="005A40FA">
      <w:r>
        <w:t>As in other countries, business dynamism has declined in Australia. Entry</w:t>
      </w:r>
      <w:r w:rsidR="00540D88">
        <w:t xml:space="preserve"> and exit</w:t>
      </w:r>
      <w:r>
        <w:t xml:space="preserve"> rates have fallen</w:t>
      </w:r>
      <w:r w:rsidR="00540D88">
        <w:t xml:space="preserve"> (Figure </w:t>
      </w:r>
      <w:r w:rsidR="007C0681">
        <w:t>4</w:t>
      </w:r>
      <w:r w:rsidR="00540D88">
        <w:t>)</w:t>
      </w:r>
      <w:r>
        <w:t>, and the share of economic activity done by young firms, which often drive innovation, has fallen</w:t>
      </w:r>
      <w:r w:rsidRPr="00B27C97">
        <w:t xml:space="preserve">. </w:t>
      </w:r>
      <w:r>
        <w:t>People have become less likely to switch jobs, with the lack of new firms appearing to be an important factor</w:t>
      </w:r>
      <w:r w:rsidR="0007133E">
        <w:t xml:space="preserve"> (Deutscher 2019; Andrews and Hansell 20</w:t>
      </w:r>
      <w:r w:rsidR="00ED329F">
        <w:t>21</w:t>
      </w:r>
      <w:r w:rsidR="0007133E">
        <w:t>)</w:t>
      </w:r>
      <w:r>
        <w:t xml:space="preserve">. </w:t>
      </w:r>
    </w:p>
    <w:p w14:paraId="390C9D5D" w14:textId="4F0B07FC" w:rsidR="00E33476" w:rsidRPr="00C63F9F" w:rsidRDefault="00E33476" w:rsidP="00E33476">
      <w:pPr>
        <w:pStyle w:val="Charttitle"/>
      </w:pPr>
      <w:r w:rsidRPr="00C63F9F">
        <w:t xml:space="preserve">Figure </w:t>
      </w:r>
      <w:r w:rsidR="007C0681">
        <w:t>4</w:t>
      </w:r>
      <w:r w:rsidRPr="00C63F9F">
        <w:t xml:space="preserve">: </w:t>
      </w:r>
      <w:r w:rsidR="0044370B">
        <w:t>Entry and exit rates</w:t>
      </w:r>
    </w:p>
    <w:p w14:paraId="1180DB26" w14:textId="39812E96" w:rsidR="00094A0F" w:rsidRDefault="0044370B" w:rsidP="00E33476">
      <w:pPr>
        <w:spacing w:after="0"/>
        <w:jc w:val="center"/>
        <w:rPr>
          <w:b/>
          <w:bCs/>
          <w:i/>
          <w:iCs/>
        </w:rPr>
      </w:pPr>
      <w:r w:rsidRPr="0044370B">
        <w:rPr>
          <w:b/>
          <w:bCs/>
          <w:i/>
          <w:iCs/>
        </w:rPr>
        <w:t xml:space="preserve"> </w:t>
      </w:r>
    </w:p>
    <w:p w14:paraId="33FDC237" w14:textId="5B11E24A" w:rsidR="00E33476" w:rsidRPr="00025C3A" w:rsidRDefault="007229C0" w:rsidP="00E33476">
      <w:pPr>
        <w:spacing w:after="0"/>
        <w:jc w:val="center"/>
        <w:rPr>
          <w:b/>
          <w:bCs/>
          <w:i/>
          <w:iCs/>
        </w:rPr>
      </w:pPr>
      <w:r w:rsidRPr="007229C0" w:rsidDel="007229C0">
        <w:rPr>
          <w:b/>
          <w:bCs/>
          <w:i/>
          <w:iCs/>
        </w:rPr>
        <w:t xml:space="preserve"> </w:t>
      </w:r>
      <w:r w:rsidR="00094A0F">
        <w:rPr>
          <w:b/>
          <w:bCs/>
          <w:i/>
          <w:iCs/>
          <w:noProof/>
        </w:rPr>
        <w:drawing>
          <wp:inline distT="0" distB="0" distL="0" distR="0" wp14:anchorId="1D828F0A" wp14:editId="2CCC211E">
            <wp:extent cx="4072255" cy="2883535"/>
            <wp:effectExtent l="0" t="0" r="0" b="0"/>
            <wp:docPr id="47" name="Picture 47" descr="Line graph of firm entries and exits where entry rates have declined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Line graph of firm entries and exits where entry rates have declined over tim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072255" cy="2883535"/>
                    </a:xfrm>
                    <a:prstGeom prst="rect">
                      <a:avLst/>
                    </a:prstGeom>
                    <a:noFill/>
                  </pic:spPr>
                </pic:pic>
              </a:graphicData>
            </a:graphic>
          </wp:inline>
        </w:drawing>
      </w:r>
    </w:p>
    <w:p w14:paraId="2910921F" w14:textId="7837BAFC" w:rsidR="00E33476" w:rsidRPr="003270B9" w:rsidRDefault="00E33476" w:rsidP="00E34A4C">
      <w:pPr>
        <w:pStyle w:val="Chartsource"/>
        <w:rPr>
          <w:noProof/>
        </w:rPr>
      </w:pPr>
      <w:r>
        <w:rPr>
          <w:noProof/>
        </w:rPr>
        <w:t xml:space="preserve">Notes: </w:t>
      </w:r>
      <w:r w:rsidRPr="003270B9">
        <w:rPr>
          <w:noProof/>
        </w:rPr>
        <w:t xml:space="preserve">Entry and exit rates </w:t>
      </w:r>
      <w:r>
        <w:rPr>
          <w:noProof/>
        </w:rPr>
        <w:t xml:space="preserve">are </w:t>
      </w:r>
      <w:r w:rsidRPr="003270B9">
        <w:rPr>
          <w:noProof/>
        </w:rPr>
        <w:t>for employing firms.</w:t>
      </w:r>
      <w:r w:rsidR="00ED329F">
        <w:rPr>
          <w:noProof/>
        </w:rPr>
        <w:t xml:space="preserve"> </w:t>
      </w:r>
      <w:r w:rsidR="00ED329F" w:rsidRPr="00E1238C">
        <w:t xml:space="preserve">Entry and exit rates during the pandemic period may have been </w:t>
      </w:r>
      <w:r w:rsidR="00657250">
        <w:rPr>
          <w:noProof/>
        </w:rPr>
        <w:t>a</w:t>
      </w:r>
      <w:r w:rsidR="00441354">
        <w:rPr>
          <w:noProof/>
        </w:rPr>
        <w:t>ffected</w:t>
      </w:r>
      <w:r w:rsidR="00ED329F" w:rsidRPr="00E1238C">
        <w:t xml:space="preserve"> by temporary government support and changes in insolvency laws.</w:t>
      </w:r>
      <w:r w:rsidDel="0044370B">
        <w:rPr>
          <w:noProof/>
        </w:rPr>
        <w:t xml:space="preserve"> </w:t>
      </w:r>
      <w:r>
        <w:rPr>
          <w:noProof/>
        </w:rPr>
        <w:t xml:space="preserve"> </w:t>
      </w:r>
    </w:p>
    <w:p w14:paraId="74558BF6" w14:textId="3778B740" w:rsidR="00E33476" w:rsidRPr="00E33476" w:rsidRDefault="00E33476" w:rsidP="00E34A4C">
      <w:pPr>
        <w:pStyle w:val="Chartsource"/>
        <w:rPr>
          <w:noProof/>
        </w:rPr>
      </w:pPr>
      <w:r w:rsidRPr="003270B9">
        <w:t>Source:</w:t>
      </w:r>
      <w:r w:rsidRPr="007B20FB">
        <w:rPr>
          <w:noProof/>
        </w:rPr>
        <w:t xml:space="preserve"> </w:t>
      </w:r>
      <w:r>
        <w:rPr>
          <w:noProof/>
        </w:rPr>
        <w:t>Treasury analysis</w:t>
      </w:r>
      <w:r w:rsidR="00463E40">
        <w:rPr>
          <w:noProof/>
        </w:rPr>
        <w:t xml:space="preserve"> of</w:t>
      </w:r>
      <w:r>
        <w:rPr>
          <w:noProof/>
        </w:rPr>
        <w:t xml:space="preserve"> </w:t>
      </w:r>
      <w:r w:rsidRPr="00C45583">
        <w:rPr>
          <w:noProof/>
        </w:rPr>
        <w:t xml:space="preserve">ABS </w:t>
      </w:r>
      <w:r>
        <w:rPr>
          <w:noProof/>
        </w:rPr>
        <w:t>Counts of Australian Business</w:t>
      </w:r>
      <w:r w:rsidR="00872F32">
        <w:rPr>
          <w:noProof/>
        </w:rPr>
        <w:t>es</w:t>
      </w:r>
      <w:r>
        <w:rPr>
          <w:noProof/>
        </w:rPr>
        <w:t>, including Entries and Exits</w:t>
      </w:r>
      <w:r w:rsidR="0044370B">
        <w:rPr>
          <w:noProof/>
        </w:rPr>
        <w:t>.</w:t>
      </w:r>
    </w:p>
    <w:p w14:paraId="5BFB82B6" w14:textId="242F6054" w:rsidR="00E33476" w:rsidRPr="00E33476" w:rsidRDefault="002F6BD8" w:rsidP="008E07EA">
      <w:pPr>
        <w:pStyle w:val="Heading2"/>
      </w:pPr>
      <w:r>
        <w:t>C</w:t>
      </w:r>
      <w:r w:rsidR="00E33476" w:rsidRPr="00E33476">
        <w:t xml:space="preserve">ompetitive pressures have declined </w:t>
      </w:r>
    </w:p>
    <w:p w14:paraId="5AD25981" w14:textId="7804E605" w:rsidR="00E33476" w:rsidRDefault="00E33476" w:rsidP="00E34A4C">
      <w:r>
        <w:t>M</w:t>
      </w:r>
      <w:r w:rsidRPr="00532541">
        <w:t xml:space="preserve">easures of competitive pressures </w:t>
      </w:r>
      <w:r>
        <w:t xml:space="preserve">have also </w:t>
      </w:r>
      <w:r w:rsidRPr="00532541">
        <w:t>declined in Australia since the mid</w:t>
      </w:r>
      <w:r w:rsidR="002B75D0">
        <w:noBreakHyphen/>
      </w:r>
      <w:r w:rsidRPr="00532541">
        <w:t>2000s. On average industries have become more concentrated, while mark</w:t>
      </w:r>
      <w:r w:rsidR="002B75D0">
        <w:noBreakHyphen/>
      </w:r>
      <w:r w:rsidRPr="00532541">
        <w:t>ups have also increase</w:t>
      </w:r>
      <w:r>
        <w:t>d</w:t>
      </w:r>
      <w:r w:rsidRPr="00532541">
        <w:t>. At the same time, the largest firms in each industry have become more entrenched.</w:t>
      </w:r>
      <w:r>
        <w:t xml:space="preserve"> D</w:t>
      </w:r>
      <w:r w:rsidDel="005E5EAC">
        <w:t xml:space="preserve">eclines in </w:t>
      </w:r>
      <w:r>
        <w:t>competitive pressures appear</w:t>
      </w:r>
      <w:r w:rsidDel="005E5EAC">
        <w:t xml:space="preserve"> smaller than those documented overseas</w:t>
      </w:r>
      <w:r>
        <w:t xml:space="preserve">. However, </w:t>
      </w:r>
      <w:r w:rsidDel="005E5EAC">
        <w:t>they still appear to have weighed on productivity</w:t>
      </w:r>
      <w:r>
        <w:t xml:space="preserve">, </w:t>
      </w:r>
      <w:r w:rsidDel="005E5EAC">
        <w:t>lowering business incentives to innovate and reallocate resources to more productive uses</w:t>
      </w:r>
      <w:r>
        <w:t xml:space="preserve"> (see Day, Duretto</w:t>
      </w:r>
      <w:r w:rsidR="008F5629">
        <w:t>, Hambur</w:t>
      </w:r>
      <w:r>
        <w:t xml:space="preserve"> and Hartigan, this edition)</w:t>
      </w:r>
      <w:r w:rsidDel="005E5EAC">
        <w:t>.</w:t>
      </w:r>
    </w:p>
    <w:p w14:paraId="52C09E73" w14:textId="5E26008D" w:rsidR="00E33476" w:rsidRDefault="00DB529C" w:rsidP="008E07EA">
      <w:pPr>
        <w:pStyle w:val="Heading2"/>
      </w:pPr>
      <w:r>
        <w:lastRenderedPageBreak/>
        <w:t>Resources are slower to be allocated to productive firms</w:t>
      </w:r>
    </w:p>
    <w:p w14:paraId="428B93E5" w14:textId="6A63AE1E" w:rsidR="00E33476" w:rsidRDefault="00E33476" w:rsidP="00E34A4C">
      <w:r>
        <w:t>Historically, Australia was good at allocating resources to the most productive use, comparing favourably with the U</w:t>
      </w:r>
      <w:r w:rsidR="00540D88">
        <w:t xml:space="preserve">nited </w:t>
      </w:r>
      <w:r>
        <w:t>S</w:t>
      </w:r>
      <w:r w:rsidR="00540D88">
        <w:t>tates</w:t>
      </w:r>
      <w:r>
        <w:t xml:space="preserve"> on measures of allocative efficiency, particularly in manufacturing. </w:t>
      </w:r>
    </w:p>
    <w:p w14:paraId="7FB5842A" w14:textId="00287A60" w:rsidR="00E33476" w:rsidRDefault="00E33476" w:rsidP="00E34A4C">
      <w:r>
        <w:t>However, labour now flows to more productive firms more slowly</w:t>
      </w:r>
      <w:r w:rsidR="00292835">
        <w:t>. E</w:t>
      </w:r>
      <w:r>
        <w:t>stimates suggest this accounts</w:t>
      </w:r>
      <w:r w:rsidRPr="00EA2395">
        <w:t xml:space="preserve"> </w:t>
      </w:r>
      <w:r w:rsidRPr="003270B9">
        <w:t xml:space="preserve">for around </w:t>
      </w:r>
      <w:r w:rsidR="001C6EBB">
        <w:t>one</w:t>
      </w:r>
      <w:r w:rsidR="00D12DC9">
        <w:t>-</w:t>
      </w:r>
      <w:r w:rsidR="001C6EBB">
        <w:t xml:space="preserve">quarter </w:t>
      </w:r>
      <w:r w:rsidRPr="003270B9">
        <w:t xml:space="preserve">of the slowdown in productivity growth. </w:t>
      </w:r>
      <w:r>
        <w:t xml:space="preserve">The slowing in reallocation was worse in industries where competitive pressures declined (Andrews and Hansell 2021, Hambur 2021).  </w:t>
      </w:r>
    </w:p>
    <w:p w14:paraId="719C4680" w14:textId="144EB9F4" w:rsidR="00E33476" w:rsidRDefault="00DB529C" w:rsidP="008E07EA">
      <w:pPr>
        <w:pStyle w:val="Heading2"/>
      </w:pPr>
      <w:r>
        <w:t>Adoption of new technology is slower and Australian firms are falling further behind the global frontier</w:t>
      </w:r>
    </w:p>
    <w:p w14:paraId="13499776" w14:textId="2AE27A34" w:rsidR="00E33476" w:rsidRPr="00AF3869" w:rsidRDefault="00E33476" w:rsidP="00E34A4C">
      <w:bookmarkStart w:id="3" w:name="_Hlk90910384"/>
      <w:r w:rsidRPr="00BD1EE9">
        <w:t>Australian businesses are falling further behind the global frontier</w:t>
      </w:r>
      <w:r>
        <w:t xml:space="preserve"> (Figure </w:t>
      </w:r>
      <w:r w:rsidR="007C0681">
        <w:t>5</w:t>
      </w:r>
      <w:r>
        <w:t>),</w:t>
      </w:r>
      <w:r w:rsidRPr="00BD1EE9">
        <w:t xml:space="preserve"> </w:t>
      </w:r>
      <w:r>
        <w:t>and</w:t>
      </w:r>
      <w:r w:rsidRPr="000B4689">
        <w:t xml:space="preserve"> </w:t>
      </w:r>
      <w:r>
        <w:t>the rate at which they catch</w:t>
      </w:r>
      <w:r w:rsidR="002F6BD8">
        <w:t xml:space="preserve"> </w:t>
      </w:r>
      <w:r>
        <w:t>up has slowed</w:t>
      </w:r>
      <w:r w:rsidR="002F6BD8">
        <w:t>. This suggests</w:t>
      </w:r>
      <w:r>
        <w:t xml:space="preserve"> they are slower to </w:t>
      </w:r>
      <w:r w:rsidRPr="009D5AF5">
        <w:t>adopt new cutting</w:t>
      </w:r>
      <w:r w:rsidR="002B75D0" w:rsidDel="005C2234">
        <w:noBreakHyphen/>
      </w:r>
      <w:r w:rsidRPr="009D5AF5">
        <w:t xml:space="preserve">edge technologies </w:t>
      </w:r>
      <w:r>
        <w:t>and processes (Bahar and Lane, this edition)</w:t>
      </w:r>
      <w:r w:rsidRPr="00BD1EE9">
        <w:t>.</w:t>
      </w:r>
      <w:r>
        <w:t xml:space="preserve"> This finding is consistent with evidence overseas. </w:t>
      </w:r>
      <w:bookmarkEnd w:id="3"/>
      <w:r>
        <w:t>Diffusion of many new technologies is also far from complete (Treasury 2019).</w:t>
      </w:r>
      <w:r w:rsidDel="008C47AF">
        <w:rPr>
          <w:rStyle w:val="FootnoteReference"/>
        </w:rPr>
        <w:t xml:space="preserve"> </w:t>
      </w:r>
    </w:p>
    <w:p w14:paraId="626D015A" w14:textId="79008099" w:rsidR="00E33476" w:rsidRPr="00635AF8" w:rsidRDefault="00E33476" w:rsidP="00E33476">
      <w:pPr>
        <w:pStyle w:val="Charttitle"/>
      </w:pPr>
      <w:r>
        <w:t xml:space="preserve">Figure </w:t>
      </w:r>
      <w:r w:rsidR="007C0681">
        <w:t>5</w:t>
      </w:r>
      <w:r w:rsidRPr="00635AF8">
        <w:t xml:space="preserve">: </w:t>
      </w:r>
      <w:r w:rsidR="00722F7C">
        <w:t>L</w:t>
      </w:r>
      <w:r w:rsidRPr="00635AF8">
        <w:t xml:space="preserve">abour </w:t>
      </w:r>
      <w:r w:rsidR="00F14D58">
        <w:t>p</w:t>
      </w:r>
      <w:r w:rsidRPr="00635AF8">
        <w:t>roductivity</w:t>
      </w:r>
      <w:r w:rsidR="00F14D58">
        <w:t xml:space="preserve"> </w:t>
      </w:r>
      <w:r w:rsidR="00722F7C">
        <w:t>d</w:t>
      </w:r>
      <w:r w:rsidR="00712468">
        <w:t xml:space="preserve">ispersion </w:t>
      </w:r>
      <w:r w:rsidR="00B018C7">
        <w:t>– business sector</w:t>
      </w:r>
    </w:p>
    <w:p w14:paraId="0AD9D09C" w14:textId="4365B3C0" w:rsidR="00E33476" w:rsidRDefault="000A7C94" w:rsidP="008E07EA">
      <w:pPr>
        <w:pStyle w:val="Chart"/>
      </w:pPr>
      <w:r w:rsidRPr="000A7C94">
        <w:drawing>
          <wp:inline distT="0" distB="0" distL="0" distR="0" wp14:anchorId="3F990AC5" wp14:editId="091765A1">
            <wp:extent cx="4067175" cy="2886075"/>
            <wp:effectExtent l="0" t="0" r="0" b="0"/>
            <wp:docPr id="36" name="Picture 36" descr="Line graph comparing Australian frontier and laggard firms to global frontier firms where Australian firms lag behi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Line graph comparing Australian frontier and laggard firms to global frontier firms where Australian firms lag behind. "/>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067175" cy="2886075"/>
                    </a:xfrm>
                    <a:prstGeom prst="rect">
                      <a:avLst/>
                    </a:prstGeom>
                    <a:noFill/>
                    <a:ln>
                      <a:noFill/>
                    </a:ln>
                  </pic:spPr>
                </pic:pic>
              </a:graphicData>
            </a:graphic>
          </wp:inline>
        </w:drawing>
      </w:r>
    </w:p>
    <w:p w14:paraId="6124AE43" w14:textId="24BF021E" w:rsidR="00E33476" w:rsidRPr="00522E43" w:rsidRDefault="00E33476" w:rsidP="00160988">
      <w:pPr>
        <w:pStyle w:val="Chartsource"/>
      </w:pPr>
      <w:r w:rsidRPr="00522E43">
        <w:rPr>
          <w:noProof/>
        </w:rPr>
        <w:t xml:space="preserve">Notes: </w:t>
      </w:r>
      <w:r w:rsidRPr="00522E43">
        <w:t xml:space="preserve">Frontier is top 5 per cent of firms in an industry. </w:t>
      </w:r>
      <w:r w:rsidR="00B018C7" w:rsidRPr="00DB2AF2">
        <w:t>Business sector is defined here as the manufacturing sector plus the services secto</w:t>
      </w:r>
      <w:r w:rsidR="00E52B1C">
        <w:t>r</w:t>
      </w:r>
      <w:r w:rsidR="00B018C7" w:rsidRPr="00657250">
        <w:t>.</w:t>
      </w:r>
      <w:r w:rsidR="00B018C7" w:rsidRPr="00522E43">
        <w:t xml:space="preserve"> </w:t>
      </w:r>
      <w:r w:rsidRPr="00522E43">
        <w:t>Indexed to 2002=1</w:t>
      </w:r>
      <w:r w:rsidR="007451C9">
        <w:t>, so that the vertical axis shows cumulative productivity growth.</w:t>
      </w:r>
    </w:p>
    <w:p w14:paraId="573E2604" w14:textId="2B7BBE4D" w:rsidR="00E33476" w:rsidRDefault="00E33476" w:rsidP="00160988">
      <w:pPr>
        <w:pStyle w:val="Chartsource"/>
      </w:pPr>
      <w:r w:rsidRPr="00522E43">
        <w:t>Source:</w:t>
      </w:r>
      <w:r w:rsidRPr="00657250">
        <w:t xml:space="preserve"> </w:t>
      </w:r>
      <w:r w:rsidRPr="00522E43">
        <w:t>Andrews et al</w:t>
      </w:r>
      <w:r w:rsidR="00CB4374">
        <w:t>.</w:t>
      </w:r>
      <w:r w:rsidRPr="00522E43">
        <w:t xml:space="preserve"> (2022).  </w:t>
      </w:r>
    </w:p>
    <w:p w14:paraId="39E8FC62" w14:textId="77777777" w:rsidR="00DB2AF2" w:rsidRDefault="00DB2AF2" w:rsidP="00DB2AF2">
      <w:pPr>
        <w:rPr>
          <w:b/>
          <w:bCs/>
        </w:rPr>
      </w:pPr>
      <w:r>
        <w:t>T</w:t>
      </w:r>
      <w:r w:rsidRPr="00BD1EE9">
        <w:t>he slowdown was larger in sectors with declining entry and exit rates, and where measures of competitive pressures had declined. This suggests that declining dynamism and competitive pressures have lowered the impetus for firms to adopt new technologies and improve their productivity</w:t>
      </w:r>
      <w:r>
        <w:t xml:space="preserve"> (Andrews et al. 2022)</w:t>
      </w:r>
      <w:r w:rsidRPr="00BD1EE9">
        <w:t>.</w:t>
      </w:r>
    </w:p>
    <w:p w14:paraId="010462D5" w14:textId="08B57F82" w:rsidR="00E33476" w:rsidRDefault="00E33476" w:rsidP="008E07EA">
      <w:pPr>
        <w:pStyle w:val="Heading2"/>
        <w:rPr>
          <w:b/>
        </w:rPr>
      </w:pPr>
      <w:r>
        <w:lastRenderedPageBreak/>
        <w:t xml:space="preserve">Innovative activity </w:t>
      </w:r>
      <w:r w:rsidR="00160988">
        <w:t>continues to</w:t>
      </w:r>
      <w:r w:rsidR="005F43D9">
        <w:t xml:space="preserve"> </w:t>
      </w:r>
      <w:r>
        <w:t xml:space="preserve">grow slowly, </w:t>
      </w:r>
      <w:r w:rsidR="00AD13EF">
        <w:t>while</w:t>
      </w:r>
      <w:r w:rsidR="00E45F89">
        <w:t xml:space="preserve"> </w:t>
      </w:r>
      <w:r w:rsidR="00540D88">
        <w:t>research and development (R&amp;D)</w:t>
      </w:r>
      <w:r>
        <w:t xml:space="preserve"> lag</w:t>
      </w:r>
      <w:r w:rsidR="000A2F8F">
        <w:t>s</w:t>
      </w:r>
      <w:r>
        <w:t xml:space="preserve"> global peers</w:t>
      </w:r>
    </w:p>
    <w:p w14:paraId="20503676" w14:textId="034E974D" w:rsidR="00E33476" w:rsidRDefault="00E33476" w:rsidP="00B32F3B">
      <w:pPr>
        <w:autoSpaceDE w:val="0"/>
        <w:autoSpaceDN w:val="0"/>
        <w:adjustRightInd w:val="0"/>
      </w:pPr>
      <w:r>
        <w:t>Business R&amp;D (BERD) is an important input into innovation and</w:t>
      </w:r>
      <w:r w:rsidR="000A2F8F">
        <w:t>,</w:t>
      </w:r>
      <w:r>
        <w:t xml:space="preserve"> therefore</w:t>
      </w:r>
      <w:r w:rsidR="000A2F8F">
        <w:t>,</w:t>
      </w:r>
      <w:r>
        <w:t xml:space="preserve"> productivity. A</w:t>
      </w:r>
      <w:r w:rsidRPr="0061741A">
        <w:t>s a share of GDP, Australia’s BERD declined from 1.</w:t>
      </w:r>
      <w:r w:rsidR="00D56E94">
        <w:t>3</w:t>
      </w:r>
      <w:r w:rsidR="00D56E94" w:rsidRPr="0061741A">
        <w:t xml:space="preserve"> </w:t>
      </w:r>
      <w:r w:rsidRPr="0061741A">
        <w:t xml:space="preserve">per cent in </w:t>
      </w:r>
      <w:r w:rsidR="00D56E94">
        <w:t>2009</w:t>
      </w:r>
      <w:r w:rsidR="001821E4">
        <w:sym w:font="Symbol" w:char="F02D"/>
      </w:r>
      <w:r w:rsidR="00D56E94">
        <w:t>10</w:t>
      </w:r>
      <w:r w:rsidRPr="0061741A">
        <w:t xml:space="preserve"> to 0.9 per cent in</w:t>
      </w:r>
      <w:r w:rsidRPr="009459EF">
        <w:t xml:space="preserve"> </w:t>
      </w:r>
      <w:r w:rsidR="00D56E94">
        <w:t>2019</w:t>
      </w:r>
      <w:r w:rsidR="001821E4">
        <w:sym w:font="Symbol" w:char="F02D"/>
      </w:r>
      <w:r w:rsidR="00D56E94">
        <w:t>20</w:t>
      </w:r>
      <w:r>
        <w:t xml:space="preserve"> (</w:t>
      </w:r>
      <w:r w:rsidR="00F23ED7">
        <w:t>DISER</w:t>
      </w:r>
      <w:r>
        <w:t xml:space="preserve"> 2021)</w:t>
      </w:r>
      <w:r w:rsidRPr="009459EF">
        <w:t>. In contrast,</w:t>
      </w:r>
      <w:r>
        <w:t xml:space="preserve"> BERD as a percentage of GDP has increased slightly for OECD economies, going from 1.5 per cent in </w:t>
      </w:r>
      <w:r w:rsidR="00500BE0">
        <w:t>2010</w:t>
      </w:r>
      <w:r>
        <w:t xml:space="preserve"> to 1.</w:t>
      </w:r>
      <w:r w:rsidR="00500BE0">
        <w:t>9</w:t>
      </w:r>
      <w:r>
        <w:t xml:space="preserve"> per cent in </w:t>
      </w:r>
      <w:r w:rsidR="00500BE0">
        <w:t>2020</w:t>
      </w:r>
      <w:r>
        <w:t>.</w:t>
      </w:r>
      <w:r w:rsidR="00AE3AD8">
        <w:rPr>
          <w:rStyle w:val="FootnoteReference"/>
        </w:rPr>
        <w:footnoteReference w:id="7"/>
      </w:r>
    </w:p>
    <w:p w14:paraId="4045FF5F" w14:textId="73D171BB" w:rsidR="00E33476" w:rsidRDefault="00E33476" w:rsidP="00160988">
      <w:pPr>
        <w:autoSpaceDE w:val="0"/>
        <w:autoSpaceDN w:val="0"/>
        <w:adjustRightInd w:val="0"/>
        <w:spacing w:after="0"/>
      </w:pPr>
      <w:r>
        <w:t xml:space="preserve">While </w:t>
      </w:r>
      <w:r w:rsidR="00566257">
        <w:t>this result is</w:t>
      </w:r>
      <w:r>
        <w:t xml:space="preserve"> important, the extent of Australia’s underperformance may be slightly overstated. Much of the decline reflects a decrease in mining exploration following the end of the resources boom. </w:t>
      </w:r>
      <w:r w:rsidR="00E266D0">
        <w:t xml:space="preserve">After excluding the </w:t>
      </w:r>
      <w:r w:rsidR="00321A19">
        <w:t>mining sector, t</w:t>
      </w:r>
      <w:r w:rsidR="000A2F8F">
        <w:t>he</w:t>
      </w:r>
      <w:r>
        <w:t xml:space="preserve"> decline in BERD</w:t>
      </w:r>
      <w:r w:rsidR="00321A19">
        <w:t xml:space="preserve"> as a percentage of </w:t>
      </w:r>
      <w:r>
        <w:t>GDP is much smaller</w:t>
      </w:r>
      <w:r w:rsidR="00FC249F">
        <w:t>,</w:t>
      </w:r>
      <w:r>
        <w:t xml:space="preserve"> and some industries such as </w:t>
      </w:r>
      <w:r w:rsidR="000A2F8F">
        <w:t>p</w:t>
      </w:r>
      <w:r w:rsidRPr="008E7432">
        <w:t xml:space="preserve">rofessional, </w:t>
      </w:r>
      <w:proofErr w:type="gramStart"/>
      <w:r w:rsidR="000A2F8F">
        <w:t>s</w:t>
      </w:r>
      <w:r w:rsidRPr="008E7432">
        <w:t>cientific</w:t>
      </w:r>
      <w:proofErr w:type="gramEnd"/>
      <w:r w:rsidRPr="008E7432">
        <w:t xml:space="preserve"> and </w:t>
      </w:r>
      <w:r w:rsidR="000A2F8F">
        <w:t>t</w:t>
      </w:r>
      <w:r w:rsidRPr="008E7432">
        <w:t>echnical services</w:t>
      </w:r>
      <w:r>
        <w:t xml:space="preserve"> have seen increases (from </w:t>
      </w:r>
      <w:r w:rsidR="00A607EE">
        <w:t>3.0</w:t>
      </w:r>
      <w:r w:rsidR="00F257FC">
        <w:t xml:space="preserve"> per cent</w:t>
      </w:r>
      <w:r>
        <w:t xml:space="preserve"> in </w:t>
      </w:r>
      <w:r w:rsidR="00A607EE">
        <w:t>2009</w:t>
      </w:r>
      <w:r w:rsidR="009E4C4D">
        <w:sym w:font="Symbol" w:char="F02D"/>
      </w:r>
      <w:r w:rsidR="00A607EE">
        <w:t>10</w:t>
      </w:r>
      <w:r>
        <w:t xml:space="preserve"> to 4.</w:t>
      </w:r>
      <w:r w:rsidR="00A607EE">
        <w:t>5</w:t>
      </w:r>
      <w:r>
        <w:t xml:space="preserve"> per cent in </w:t>
      </w:r>
      <w:r w:rsidR="00A607EE">
        <w:t>2019</w:t>
      </w:r>
      <w:r w:rsidR="009E4C4D">
        <w:sym w:font="Symbol" w:char="F02D"/>
      </w:r>
      <w:r w:rsidR="00A607EE">
        <w:t>20</w:t>
      </w:r>
      <w:r w:rsidR="00E47400">
        <w:t>).</w:t>
      </w:r>
      <w:r w:rsidR="00AE3AD8">
        <w:rPr>
          <w:rStyle w:val="FootnoteReference"/>
        </w:rPr>
        <w:footnoteReference w:id="8"/>
      </w:r>
      <w:r>
        <w:t xml:space="preserve"> </w:t>
      </w:r>
    </w:p>
    <w:p w14:paraId="5862AED2" w14:textId="0751BF8B" w:rsidR="00E33476" w:rsidRDefault="00E33476" w:rsidP="00F257FC">
      <w:pPr>
        <w:autoSpaceDE w:val="0"/>
        <w:autoSpaceDN w:val="0"/>
        <w:adjustRightInd w:val="0"/>
        <w:spacing w:after="0"/>
        <w:rPr>
          <w:rFonts w:cs="Calibri"/>
          <w:color w:val="000000"/>
        </w:rPr>
      </w:pPr>
      <w:r>
        <w:t>Other measures of innovation have also been more favourable. The share of human resources devoted to R&amp;D increased slightly between</w:t>
      </w:r>
      <w:r w:rsidR="00C050D0">
        <w:t xml:space="preserve"> 2005</w:t>
      </w:r>
      <w:r w:rsidR="00514178">
        <w:sym w:font="Symbol" w:char="F02D"/>
      </w:r>
      <w:r w:rsidR="00C050D0">
        <w:t>06 to 2019</w:t>
      </w:r>
      <w:r w:rsidR="00514178">
        <w:sym w:font="Symbol" w:char="F02D"/>
      </w:r>
      <w:r w:rsidR="00C050D0">
        <w:t>20</w:t>
      </w:r>
      <w:r>
        <w:t>, from 0.</w:t>
      </w:r>
      <w:r w:rsidR="001C7BF0">
        <w:t>41</w:t>
      </w:r>
      <w:r>
        <w:t xml:space="preserve"> per cent of </w:t>
      </w:r>
      <w:r w:rsidR="007C29C5">
        <w:t>the labour force</w:t>
      </w:r>
      <w:r>
        <w:t xml:space="preserve"> to 0.</w:t>
      </w:r>
      <w:r w:rsidR="001C7BF0">
        <w:t>57</w:t>
      </w:r>
      <w:r>
        <w:t xml:space="preserve"> per cent</w:t>
      </w:r>
      <w:r w:rsidR="00237350">
        <w:t>.</w:t>
      </w:r>
      <w:r w:rsidR="00510AF2">
        <w:rPr>
          <w:rStyle w:val="FootnoteReference"/>
        </w:rPr>
        <w:footnoteReference w:id="9"/>
      </w:r>
      <w:r>
        <w:t xml:space="preserve"> </w:t>
      </w:r>
      <w:r w:rsidR="009304C4">
        <w:t>B</w:t>
      </w:r>
      <w:r>
        <w:t xml:space="preserve">roader measures of innovation have also improved moderately over this time; for example, the </w:t>
      </w:r>
      <w:r>
        <w:rPr>
          <w:rFonts w:cs="Calibri"/>
          <w:color w:val="000000"/>
        </w:rPr>
        <w:t xml:space="preserve">share of </w:t>
      </w:r>
      <w:r w:rsidR="000A2F8F">
        <w:rPr>
          <w:rFonts w:cs="Calibri"/>
          <w:color w:val="000000"/>
        </w:rPr>
        <w:t xml:space="preserve">firms actively </w:t>
      </w:r>
      <w:r>
        <w:rPr>
          <w:rFonts w:cs="Calibri"/>
          <w:color w:val="000000"/>
        </w:rPr>
        <w:t>innovati</w:t>
      </w:r>
      <w:r w:rsidR="000A2F8F">
        <w:rPr>
          <w:rFonts w:cs="Calibri"/>
          <w:color w:val="000000"/>
        </w:rPr>
        <w:t>ng</w:t>
      </w:r>
      <w:r w:rsidDel="000A2F8F">
        <w:rPr>
          <w:rFonts w:cs="Calibri"/>
          <w:color w:val="000000"/>
        </w:rPr>
        <w:t xml:space="preserve"> </w:t>
      </w:r>
      <w:r>
        <w:rPr>
          <w:rFonts w:cs="Calibri"/>
          <w:color w:val="000000"/>
        </w:rPr>
        <w:t>has steadily risen from 42.4 per cent in 2005</w:t>
      </w:r>
      <w:r w:rsidR="009304C4">
        <w:rPr>
          <w:rFonts w:cs="Calibri"/>
          <w:color w:val="000000"/>
        </w:rPr>
        <w:sym w:font="Symbol" w:char="F02D"/>
      </w:r>
      <w:r>
        <w:rPr>
          <w:rFonts w:cs="Calibri"/>
          <w:color w:val="000000"/>
        </w:rPr>
        <w:t>06 to 50.7 per cent in 2019</w:t>
      </w:r>
      <w:r w:rsidR="009304C4">
        <w:rPr>
          <w:rFonts w:cs="Calibri"/>
          <w:color w:val="000000"/>
        </w:rPr>
        <w:sym w:font="Symbol" w:char="F02D"/>
      </w:r>
      <w:r>
        <w:rPr>
          <w:rFonts w:cs="Calibri"/>
          <w:color w:val="000000"/>
        </w:rPr>
        <w:t>20</w:t>
      </w:r>
      <w:r w:rsidR="00AE3AD8">
        <w:rPr>
          <w:rFonts w:cs="Calibri"/>
          <w:color w:val="000000"/>
        </w:rPr>
        <w:t xml:space="preserve"> </w:t>
      </w:r>
      <w:r w:rsidR="00AE3AD8">
        <w:t>(</w:t>
      </w:r>
      <w:r w:rsidR="00F23ED7">
        <w:t>DISER</w:t>
      </w:r>
      <w:r w:rsidR="00AE3AD8">
        <w:t xml:space="preserve"> 2021)</w:t>
      </w:r>
      <w:r>
        <w:rPr>
          <w:rFonts w:cs="Calibri"/>
          <w:color w:val="000000"/>
        </w:rPr>
        <w:t xml:space="preserve">. </w:t>
      </w:r>
    </w:p>
    <w:p w14:paraId="5CD9A593" w14:textId="77777777" w:rsidR="00E33476" w:rsidRPr="004A2958" w:rsidRDefault="00E33476" w:rsidP="00B527A0">
      <w:pPr>
        <w:pStyle w:val="Heading1"/>
      </w:pPr>
      <w:r w:rsidRPr="005D5F73">
        <w:t>Fiscal impacts of slowing productivity growth</w:t>
      </w:r>
      <w:r w:rsidRPr="00852B46">
        <w:t xml:space="preserve"> </w:t>
      </w:r>
    </w:p>
    <w:p w14:paraId="24B1D8D6" w14:textId="0A099B6F" w:rsidR="00E33476" w:rsidRDefault="00E33476" w:rsidP="00160988">
      <w:r>
        <w:t>If Australia was closer to the global frontier of productivity growth, this would lead to permanent increases in income</w:t>
      </w:r>
      <w:r w:rsidR="00F257FC">
        <w:t xml:space="preserve"> levels</w:t>
      </w:r>
      <w:r>
        <w:t xml:space="preserve"> and higher living standards. Australia is limited in the extent to which it can grow more rapidly than comparable countries, however, it is likely we are not near that limit. </w:t>
      </w:r>
    </w:p>
    <w:p w14:paraId="6820CBEE" w14:textId="53EA1DB2" w:rsidR="00E33476" w:rsidRDefault="00E33476" w:rsidP="00160988">
      <w:r w:rsidRPr="004A2958">
        <w:t xml:space="preserve">There are fiscal implications if the slowing </w:t>
      </w:r>
      <w:r w:rsidR="00FB71F5">
        <w:t>of</w:t>
      </w:r>
      <w:r w:rsidR="00FB71F5" w:rsidRPr="004A2958">
        <w:t xml:space="preserve"> </w:t>
      </w:r>
      <w:r w:rsidRPr="004A2958">
        <w:t>productivity over the past 2 decades persists</w:t>
      </w:r>
      <w:r w:rsidR="00FB71F5">
        <w:t xml:space="preserve">. </w:t>
      </w:r>
      <w:r w:rsidR="00774692">
        <w:t xml:space="preserve">Modelling from the </w:t>
      </w:r>
      <w:r w:rsidR="00041358">
        <w:t>Intergenerational Report 2021</w:t>
      </w:r>
      <w:r w:rsidR="00F56FE2">
        <w:t xml:space="preserve"> </w:t>
      </w:r>
      <w:r w:rsidR="00774692">
        <w:t>suggests that</w:t>
      </w:r>
      <w:r w:rsidR="00F56FE2">
        <w:t xml:space="preserve"> </w:t>
      </w:r>
      <w:r w:rsidR="00F739CD">
        <w:t xml:space="preserve">if </w:t>
      </w:r>
      <w:r w:rsidR="00F56FE2">
        <w:t xml:space="preserve">productivity growth </w:t>
      </w:r>
      <w:r w:rsidR="000B0BB7">
        <w:t>averaged</w:t>
      </w:r>
      <w:r w:rsidR="00F56FE2">
        <w:t xml:space="preserve"> 1.2 per cent </w:t>
      </w:r>
      <w:r w:rsidR="000B0BB7">
        <w:t>over the medium term rather than 1.5 per cent</w:t>
      </w:r>
      <w:r w:rsidRPr="004A2958">
        <w:t xml:space="preserve">, </w:t>
      </w:r>
      <w:r w:rsidR="00674628">
        <w:t xml:space="preserve">real </w:t>
      </w:r>
      <w:r w:rsidRPr="004A2958">
        <w:t xml:space="preserve">GDP growth would be lower and </w:t>
      </w:r>
      <w:r w:rsidR="00237350">
        <w:t xml:space="preserve">real </w:t>
      </w:r>
      <w:r w:rsidR="00674628">
        <w:t xml:space="preserve">gross national income per person </w:t>
      </w:r>
      <w:r w:rsidR="00522BD2">
        <w:t xml:space="preserve">would be </w:t>
      </w:r>
      <w:r w:rsidR="00674628">
        <w:t>around $13,000</w:t>
      </w:r>
      <w:r w:rsidR="00522BD2">
        <w:t xml:space="preserve"> smaller</w:t>
      </w:r>
      <w:r w:rsidR="00237350">
        <w:t xml:space="preserve"> by 2060</w:t>
      </w:r>
      <w:r w:rsidR="00522BD2">
        <w:t xml:space="preserve">. </w:t>
      </w:r>
      <w:r w:rsidR="00674628">
        <w:t xml:space="preserve"> </w:t>
      </w:r>
      <w:r w:rsidR="00522BD2">
        <w:t>Additionally,</w:t>
      </w:r>
      <w:r w:rsidRPr="004A2958" w:rsidDel="00674628">
        <w:t xml:space="preserve"> </w:t>
      </w:r>
      <w:r w:rsidRPr="004A2958">
        <w:t xml:space="preserve">the </w:t>
      </w:r>
      <w:r w:rsidR="00F56E1C">
        <w:t xml:space="preserve">underlying cash </w:t>
      </w:r>
      <w:r w:rsidR="008514DB">
        <w:t xml:space="preserve">balance </w:t>
      </w:r>
      <w:r w:rsidR="00F56E1C">
        <w:t xml:space="preserve">as a percentage </w:t>
      </w:r>
      <w:r w:rsidRPr="004A2958">
        <w:t>of GDP would be around 2</w:t>
      </w:r>
      <w:r w:rsidR="00F56E1C">
        <w:t>.2</w:t>
      </w:r>
      <w:r w:rsidR="00674628" w:rsidRPr="004A2958">
        <w:t xml:space="preserve"> </w:t>
      </w:r>
      <w:r w:rsidRPr="004A2958">
        <w:t xml:space="preserve">percentage points </w:t>
      </w:r>
      <w:r w:rsidR="008514DB">
        <w:t>lower</w:t>
      </w:r>
      <w:r w:rsidRPr="004A2958">
        <w:t>.</w:t>
      </w:r>
      <w:r>
        <w:t xml:space="preserve"> </w:t>
      </w:r>
    </w:p>
    <w:p w14:paraId="4D3C58A7" w14:textId="77777777" w:rsidR="00E33476" w:rsidRDefault="00E33476" w:rsidP="00B527A0">
      <w:pPr>
        <w:pStyle w:val="Heading1"/>
      </w:pPr>
      <w:r>
        <w:t>Policy can support productivity growth</w:t>
      </w:r>
      <w:r w:rsidRPr="00852B46">
        <w:t xml:space="preserve">  </w:t>
      </w:r>
    </w:p>
    <w:p w14:paraId="1F21EDCA" w14:textId="36AC1784" w:rsidR="00E33476" w:rsidRPr="0089130B" w:rsidRDefault="00E33476" w:rsidP="00160988">
      <w:pPr>
        <w:rPr>
          <w:bCs/>
          <w:iCs/>
        </w:rPr>
      </w:pPr>
      <w:bookmarkStart w:id="4" w:name="_Hlk90910502"/>
      <w:r w:rsidRPr="0089130B">
        <w:rPr>
          <w:bCs/>
          <w:iCs/>
        </w:rPr>
        <w:t xml:space="preserve">Policy can play a crucial role in addressing the productivity slowdown. Slower global </w:t>
      </w:r>
      <w:r w:rsidR="000A4495">
        <w:rPr>
          <w:bCs/>
          <w:iCs/>
        </w:rPr>
        <w:t xml:space="preserve">productivity </w:t>
      </w:r>
      <w:r w:rsidRPr="0089130B">
        <w:rPr>
          <w:bCs/>
          <w:iCs/>
        </w:rPr>
        <w:t xml:space="preserve">growth will weigh on Australia’s productivity growth, especially as a small open economy that tends to adopt innovations from the frontier. </w:t>
      </w:r>
      <w:r>
        <w:rPr>
          <w:bCs/>
          <w:iCs/>
        </w:rPr>
        <w:t>However,</w:t>
      </w:r>
      <w:r w:rsidRPr="0089130B">
        <w:rPr>
          <w:bCs/>
          <w:iCs/>
        </w:rPr>
        <w:t xml:space="preserve"> </w:t>
      </w:r>
      <w:bookmarkStart w:id="5" w:name="_Hlk93998224"/>
      <w:r w:rsidRPr="0089130B">
        <w:rPr>
          <w:bCs/>
          <w:iCs/>
        </w:rPr>
        <w:t>domestic policy can still have significant impacts on productivity growth</w:t>
      </w:r>
      <w:r w:rsidR="00F30D94">
        <w:rPr>
          <w:bCs/>
          <w:iCs/>
        </w:rPr>
        <w:t xml:space="preserve">. </w:t>
      </w:r>
      <w:r w:rsidR="00E02FB2">
        <w:rPr>
          <w:bCs/>
          <w:iCs/>
        </w:rPr>
        <w:t>Policies that could support</w:t>
      </w:r>
      <w:r w:rsidR="00F30D94" w:rsidRPr="0089130B">
        <w:rPr>
          <w:bCs/>
          <w:iCs/>
        </w:rPr>
        <w:t xml:space="preserve"> </w:t>
      </w:r>
      <w:r w:rsidR="00E02FB2" w:rsidRPr="0089130B">
        <w:rPr>
          <w:bCs/>
          <w:iCs/>
        </w:rPr>
        <w:t>Australia</w:t>
      </w:r>
      <w:r w:rsidR="00E02FB2">
        <w:rPr>
          <w:bCs/>
          <w:iCs/>
        </w:rPr>
        <w:t xml:space="preserve"> to move</w:t>
      </w:r>
      <w:r w:rsidR="00E02FB2" w:rsidRPr="0089130B">
        <w:rPr>
          <w:bCs/>
          <w:iCs/>
        </w:rPr>
        <w:t xml:space="preserve"> closer to the global productivity frontier</w:t>
      </w:r>
      <w:r w:rsidR="00E02FB2">
        <w:rPr>
          <w:bCs/>
          <w:iCs/>
        </w:rPr>
        <w:t xml:space="preserve"> </w:t>
      </w:r>
      <w:proofErr w:type="gramStart"/>
      <w:r w:rsidR="00E02FB2">
        <w:rPr>
          <w:bCs/>
          <w:iCs/>
        </w:rPr>
        <w:t>include</w:t>
      </w:r>
      <w:r w:rsidR="003D356F">
        <w:rPr>
          <w:bCs/>
          <w:iCs/>
        </w:rPr>
        <w:t>:</w:t>
      </w:r>
      <w:proofErr w:type="gramEnd"/>
      <w:r w:rsidR="00E02FB2" w:rsidRPr="0089130B">
        <w:rPr>
          <w:bCs/>
          <w:iCs/>
        </w:rPr>
        <w:t xml:space="preserve"> </w:t>
      </w:r>
      <w:r w:rsidRPr="0089130B">
        <w:rPr>
          <w:bCs/>
          <w:iCs/>
        </w:rPr>
        <w:t xml:space="preserve">incentivising and facilitating </w:t>
      </w:r>
      <w:r w:rsidR="00990A4F">
        <w:rPr>
          <w:bCs/>
          <w:iCs/>
        </w:rPr>
        <w:t xml:space="preserve">the </w:t>
      </w:r>
      <w:r w:rsidRPr="0089130B">
        <w:rPr>
          <w:bCs/>
          <w:iCs/>
        </w:rPr>
        <w:t>innovation and diffusion of technologies</w:t>
      </w:r>
      <w:r w:rsidR="00236475">
        <w:rPr>
          <w:bCs/>
          <w:iCs/>
        </w:rPr>
        <w:t>;</w:t>
      </w:r>
      <w:r w:rsidRPr="0089130B">
        <w:rPr>
          <w:bCs/>
          <w:iCs/>
        </w:rPr>
        <w:t xml:space="preserve"> supporting firm growth and innovations of higher novelty (new</w:t>
      </w:r>
      <w:r w:rsidR="002B75D0">
        <w:rPr>
          <w:bCs/>
          <w:iCs/>
        </w:rPr>
        <w:noBreakHyphen/>
      </w:r>
      <w:r w:rsidRPr="0089130B">
        <w:rPr>
          <w:bCs/>
          <w:iCs/>
        </w:rPr>
        <w:t>to</w:t>
      </w:r>
      <w:r w:rsidR="002B75D0">
        <w:rPr>
          <w:bCs/>
          <w:iCs/>
        </w:rPr>
        <w:noBreakHyphen/>
      </w:r>
      <w:r w:rsidRPr="0089130B">
        <w:rPr>
          <w:bCs/>
          <w:iCs/>
        </w:rPr>
        <w:t>world</w:t>
      </w:r>
      <w:r w:rsidR="00236475">
        <w:rPr>
          <w:bCs/>
          <w:iCs/>
        </w:rPr>
        <w:t>,</w:t>
      </w:r>
      <w:r w:rsidRPr="0089130B">
        <w:rPr>
          <w:bCs/>
          <w:iCs/>
        </w:rPr>
        <w:t xml:space="preserve"> new</w:t>
      </w:r>
      <w:r w:rsidR="002B75D0">
        <w:rPr>
          <w:bCs/>
          <w:iCs/>
        </w:rPr>
        <w:noBreakHyphen/>
      </w:r>
      <w:r w:rsidRPr="0089130B">
        <w:rPr>
          <w:bCs/>
          <w:iCs/>
        </w:rPr>
        <w:t>to</w:t>
      </w:r>
      <w:r w:rsidR="002B75D0">
        <w:rPr>
          <w:bCs/>
          <w:iCs/>
        </w:rPr>
        <w:noBreakHyphen/>
      </w:r>
      <w:r w:rsidRPr="0089130B">
        <w:rPr>
          <w:bCs/>
          <w:iCs/>
        </w:rPr>
        <w:t>country)</w:t>
      </w:r>
      <w:r w:rsidR="00236475">
        <w:rPr>
          <w:bCs/>
          <w:iCs/>
        </w:rPr>
        <w:t>;</w:t>
      </w:r>
      <w:r w:rsidRPr="0089130B">
        <w:rPr>
          <w:bCs/>
          <w:iCs/>
        </w:rPr>
        <w:t xml:space="preserve"> </w:t>
      </w:r>
      <w:r w:rsidR="00990A4F">
        <w:rPr>
          <w:bCs/>
          <w:iCs/>
        </w:rPr>
        <w:t xml:space="preserve">and </w:t>
      </w:r>
      <w:r w:rsidRPr="0089130B">
        <w:rPr>
          <w:bCs/>
          <w:iCs/>
        </w:rPr>
        <w:t xml:space="preserve">removing </w:t>
      </w:r>
      <w:r w:rsidRPr="0089130B">
        <w:rPr>
          <w:bCs/>
          <w:iCs/>
        </w:rPr>
        <w:lastRenderedPageBreak/>
        <w:t>barriers to resource reallocation and formation of trade linkages (particularly global value chains) (</w:t>
      </w:r>
      <w:proofErr w:type="spellStart"/>
      <w:r w:rsidRPr="0089130B">
        <w:rPr>
          <w:rFonts w:cs="Calibri"/>
          <w:bCs/>
          <w:iCs/>
        </w:rPr>
        <w:t>Athukorala</w:t>
      </w:r>
      <w:proofErr w:type="spellEnd"/>
      <w:r w:rsidRPr="0089130B">
        <w:rPr>
          <w:rFonts w:cs="Calibri"/>
          <w:bCs/>
          <w:iCs/>
        </w:rPr>
        <w:t xml:space="preserve"> at el. </w:t>
      </w:r>
      <w:bookmarkEnd w:id="5"/>
      <w:r w:rsidRPr="0089130B">
        <w:rPr>
          <w:rFonts w:cs="Calibri"/>
          <w:bCs/>
          <w:iCs/>
        </w:rPr>
        <w:t>2017)</w:t>
      </w:r>
      <w:r w:rsidRPr="0089130B">
        <w:rPr>
          <w:bCs/>
          <w:iCs/>
        </w:rPr>
        <w:t xml:space="preserve">. </w:t>
      </w:r>
    </w:p>
    <w:bookmarkEnd w:id="4"/>
    <w:p w14:paraId="73AC202B" w14:textId="7FB62F5F" w:rsidR="00E33476" w:rsidRDefault="00E33476" w:rsidP="005A5BDA">
      <w:pPr>
        <w:rPr>
          <w:bCs/>
          <w:iCs/>
        </w:rPr>
      </w:pPr>
      <w:r w:rsidRPr="0089130B">
        <w:rPr>
          <w:bCs/>
          <w:iCs/>
        </w:rPr>
        <w:t>This is evident overseas. OECD</w:t>
      </w:r>
      <w:r w:rsidRPr="0089130B" w:rsidDel="00E02FB2">
        <w:rPr>
          <w:bCs/>
          <w:iCs/>
        </w:rPr>
        <w:t xml:space="preserve"> </w:t>
      </w:r>
      <w:r w:rsidR="00E02FB2">
        <w:rPr>
          <w:bCs/>
          <w:iCs/>
        </w:rPr>
        <w:t>research has</w:t>
      </w:r>
      <w:r w:rsidR="00E02FB2" w:rsidRPr="0089130B">
        <w:rPr>
          <w:bCs/>
          <w:iCs/>
        </w:rPr>
        <w:t xml:space="preserve"> </w:t>
      </w:r>
      <w:r w:rsidRPr="0089130B">
        <w:rPr>
          <w:bCs/>
          <w:iCs/>
        </w:rPr>
        <w:t xml:space="preserve">shown that declines in dynamism were larger </w:t>
      </w:r>
      <w:r w:rsidR="00E02FB2">
        <w:rPr>
          <w:bCs/>
          <w:iCs/>
        </w:rPr>
        <w:t xml:space="preserve">when </w:t>
      </w:r>
      <w:r w:rsidRPr="0089130B">
        <w:rPr>
          <w:bCs/>
          <w:iCs/>
        </w:rPr>
        <w:t>there were higher regulatory barriers, less efficient bankruptcy rules, and lower levels of education and skills (</w:t>
      </w:r>
      <w:r w:rsidRPr="00616358">
        <w:t>Calvino</w:t>
      </w:r>
      <w:r w:rsidR="008C031F" w:rsidRPr="00616358">
        <w:t xml:space="preserve">, </w:t>
      </w:r>
      <w:proofErr w:type="spellStart"/>
      <w:r w:rsidR="008C031F">
        <w:rPr>
          <w:rFonts w:cs="Calibri"/>
          <w:bCs/>
        </w:rPr>
        <w:t>Criscuolo</w:t>
      </w:r>
      <w:proofErr w:type="spellEnd"/>
      <w:r w:rsidR="008C031F" w:rsidRPr="00616358">
        <w:t xml:space="preserve"> and </w:t>
      </w:r>
      <w:proofErr w:type="spellStart"/>
      <w:r w:rsidR="008C031F" w:rsidRPr="00616358">
        <w:t>Verlhac</w:t>
      </w:r>
      <w:proofErr w:type="spellEnd"/>
      <w:r w:rsidR="008C031F" w:rsidRPr="00616358">
        <w:t xml:space="preserve"> 2020)</w:t>
      </w:r>
      <w:r w:rsidRPr="0089130B">
        <w:rPr>
          <w:bCs/>
          <w:iCs/>
        </w:rPr>
        <w:t xml:space="preserve">. Good policy can </w:t>
      </w:r>
      <w:r w:rsidR="008F5629">
        <w:rPr>
          <w:bCs/>
          <w:iCs/>
        </w:rPr>
        <w:t xml:space="preserve">partly </w:t>
      </w:r>
      <w:r w:rsidRPr="0089130B">
        <w:rPr>
          <w:bCs/>
          <w:iCs/>
        </w:rPr>
        <w:t xml:space="preserve">offset the global factors weighing </w:t>
      </w:r>
      <w:r w:rsidR="00E02FB2">
        <w:rPr>
          <w:bCs/>
          <w:iCs/>
        </w:rPr>
        <w:t>down</w:t>
      </w:r>
      <w:r w:rsidR="00E02FB2" w:rsidRPr="0089130B">
        <w:rPr>
          <w:bCs/>
          <w:iCs/>
        </w:rPr>
        <w:t xml:space="preserve"> </w:t>
      </w:r>
      <w:r w:rsidRPr="0089130B">
        <w:rPr>
          <w:bCs/>
          <w:iCs/>
        </w:rPr>
        <w:t>dynamism.</w:t>
      </w:r>
      <w:r>
        <w:rPr>
          <w:bCs/>
          <w:iCs/>
        </w:rPr>
        <w:t xml:space="preserve"> </w:t>
      </w:r>
      <w:r w:rsidR="009434FD">
        <w:rPr>
          <w:bCs/>
          <w:iCs/>
        </w:rPr>
        <w:t>P</w:t>
      </w:r>
      <w:r w:rsidRPr="0089130B">
        <w:rPr>
          <w:bCs/>
          <w:iCs/>
        </w:rPr>
        <w:t>revious</w:t>
      </w:r>
      <w:r w:rsidRPr="0089130B" w:rsidDel="009434FD">
        <w:rPr>
          <w:bCs/>
          <w:iCs/>
        </w:rPr>
        <w:t xml:space="preserve"> </w:t>
      </w:r>
      <w:r w:rsidRPr="0089130B">
        <w:rPr>
          <w:bCs/>
          <w:iCs/>
        </w:rPr>
        <w:t xml:space="preserve">reform </w:t>
      </w:r>
      <w:r w:rsidR="009434FD">
        <w:rPr>
          <w:bCs/>
          <w:iCs/>
        </w:rPr>
        <w:t>eras</w:t>
      </w:r>
      <w:r w:rsidRPr="0089130B" w:rsidDel="00236475">
        <w:rPr>
          <w:bCs/>
          <w:iCs/>
        </w:rPr>
        <w:t xml:space="preserve"> </w:t>
      </w:r>
      <w:r w:rsidR="00236475">
        <w:rPr>
          <w:bCs/>
          <w:iCs/>
        </w:rPr>
        <w:t>of</w:t>
      </w:r>
      <w:r w:rsidR="00236475" w:rsidRPr="0089130B">
        <w:rPr>
          <w:bCs/>
          <w:iCs/>
        </w:rPr>
        <w:t xml:space="preserve"> </w:t>
      </w:r>
      <w:r w:rsidRPr="0089130B">
        <w:rPr>
          <w:bCs/>
          <w:iCs/>
        </w:rPr>
        <w:t xml:space="preserve">the 1980s and 1990s were followed by periods of strong productivity growth, bringing Australia closer to </w:t>
      </w:r>
      <w:r w:rsidR="009434FD">
        <w:rPr>
          <w:bCs/>
          <w:iCs/>
        </w:rPr>
        <w:t>United States</w:t>
      </w:r>
      <w:r w:rsidRPr="0089130B">
        <w:rPr>
          <w:bCs/>
          <w:iCs/>
        </w:rPr>
        <w:t xml:space="preserve"> levels (</w:t>
      </w:r>
      <w:r>
        <w:rPr>
          <w:bCs/>
          <w:iCs/>
        </w:rPr>
        <w:t xml:space="preserve">Figure </w:t>
      </w:r>
      <w:r w:rsidR="007C0681">
        <w:rPr>
          <w:bCs/>
          <w:iCs/>
        </w:rPr>
        <w:t>6</w:t>
      </w:r>
      <w:r w:rsidRPr="0089130B">
        <w:rPr>
          <w:bCs/>
          <w:iCs/>
        </w:rPr>
        <w:t xml:space="preserve">). </w:t>
      </w:r>
    </w:p>
    <w:p w14:paraId="3680C335" w14:textId="0C809F90" w:rsidR="00E33476" w:rsidRDefault="00E33476" w:rsidP="00E02FB2">
      <w:pPr>
        <w:pStyle w:val="Charttitle"/>
      </w:pPr>
      <w:r>
        <w:t xml:space="preserve">Figure </w:t>
      </w:r>
      <w:r w:rsidR="007C0681">
        <w:t>6</w:t>
      </w:r>
      <w:r w:rsidRPr="003802C6">
        <w:t xml:space="preserve">: </w:t>
      </w:r>
      <w:r>
        <w:t xml:space="preserve">Ratio of </w:t>
      </w:r>
      <w:r w:rsidR="008D570B">
        <w:t xml:space="preserve">Australian to US </w:t>
      </w:r>
      <w:r>
        <w:t>l</w:t>
      </w:r>
      <w:r w:rsidRPr="003802C6">
        <w:t>abour productivity</w:t>
      </w:r>
    </w:p>
    <w:p w14:paraId="04CDABC3" w14:textId="6F1FC892" w:rsidR="00E33476" w:rsidRPr="00EE02EB" w:rsidRDefault="00CC17C5" w:rsidP="00ED3CF2">
      <w:pPr>
        <w:pStyle w:val="Chart"/>
      </w:pPr>
      <w:r>
        <w:drawing>
          <wp:inline distT="0" distB="0" distL="0" distR="0" wp14:anchorId="7757C75F" wp14:editId="519E83D7">
            <wp:extent cx="4072255" cy="2883535"/>
            <wp:effectExtent l="0" t="0" r="4445" b="0"/>
            <wp:docPr id="25" name="Picture 25" descr="Line graph showing the ratio of Australian to US productivity growth. The ratio has increased over time, indicating Australia's labour productivity is closer to the 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Line graph showing the ratio of Australian to US productivity growth. The ratio has increased over time, indicating Australia's labour productivity is closer to the US. "/>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072255" cy="2883535"/>
                    </a:xfrm>
                    <a:prstGeom prst="rect">
                      <a:avLst/>
                    </a:prstGeom>
                    <a:noFill/>
                  </pic:spPr>
                </pic:pic>
              </a:graphicData>
            </a:graphic>
          </wp:inline>
        </w:drawing>
      </w:r>
    </w:p>
    <w:p w14:paraId="614313B5" w14:textId="5B211D54" w:rsidR="00E33476" w:rsidRDefault="00E33476" w:rsidP="003D356F">
      <w:pPr>
        <w:pStyle w:val="Chartsource"/>
        <w:rPr>
          <w:noProof/>
        </w:rPr>
      </w:pPr>
      <w:r w:rsidRPr="007B20FB">
        <w:rPr>
          <w:noProof/>
        </w:rPr>
        <w:t>Notes:</w:t>
      </w:r>
      <w:r>
        <w:rPr>
          <w:noProof/>
        </w:rPr>
        <w:t xml:space="preserve"> GDP per hour worked in Australia  divided by GDP per hour worked in the US (output</w:t>
      </w:r>
      <w:r w:rsidR="002B75D0">
        <w:rPr>
          <w:noProof/>
        </w:rPr>
        <w:noBreakHyphen/>
      </w:r>
      <w:r>
        <w:rPr>
          <w:noProof/>
        </w:rPr>
        <w:t xml:space="preserve">side GDP at chained PPPs in 2017 USD). </w:t>
      </w:r>
      <w:r>
        <w:rPr>
          <w:noProof/>
        </w:rPr>
        <w:br/>
      </w:r>
      <w:r w:rsidRPr="007B20FB">
        <w:rPr>
          <w:noProof/>
        </w:rPr>
        <w:t xml:space="preserve">Source: </w:t>
      </w:r>
      <w:r w:rsidRPr="00074868">
        <w:rPr>
          <w:noProof/>
        </w:rPr>
        <w:t>Feenstra et al. 2015</w:t>
      </w:r>
      <w:r>
        <w:rPr>
          <w:noProof/>
        </w:rPr>
        <w:t xml:space="preserve"> (Penn World Table)</w:t>
      </w:r>
    </w:p>
    <w:p w14:paraId="76447FB4" w14:textId="34A1EB1D" w:rsidR="00E33476" w:rsidRPr="008843AE" w:rsidRDefault="00E33476" w:rsidP="003D356F">
      <w:pPr>
        <w:rPr>
          <w:rFonts w:cs="Calibri"/>
          <w:szCs w:val="22"/>
        </w:rPr>
      </w:pPr>
      <w:r w:rsidRPr="008843AE">
        <w:rPr>
          <w:szCs w:val="22"/>
        </w:rPr>
        <w:t xml:space="preserve">While some of the larger reforms of the 1980s and 1990s have been realised, there are still many important reforms that can be undertaken. The Productivity Commission </w:t>
      </w:r>
      <w:r w:rsidR="00150011">
        <w:rPr>
          <w:szCs w:val="22"/>
        </w:rPr>
        <w:t>has commenced</w:t>
      </w:r>
      <w:r w:rsidR="00DB5256">
        <w:rPr>
          <w:szCs w:val="22"/>
        </w:rPr>
        <w:t xml:space="preserve"> </w:t>
      </w:r>
      <w:r w:rsidRPr="008843AE">
        <w:rPr>
          <w:szCs w:val="22"/>
        </w:rPr>
        <w:t>its second 5</w:t>
      </w:r>
      <w:r w:rsidR="009434FD">
        <w:rPr>
          <w:szCs w:val="22"/>
        </w:rPr>
        <w:noBreakHyphen/>
      </w:r>
      <w:r w:rsidRPr="008843AE">
        <w:rPr>
          <w:szCs w:val="22"/>
        </w:rPr>
        <w:t>yearly review to identify this next round of productivity</w:t>
      </w:r>
      <w:r w:rsidR="002B75D0">
        <w:rPr>
          <w:szCs w:val="22"/>
        </w:rPr>
        <w:noBreakHyphen/>
      </w:r>
      <w:r w:rsidRPr="008843AE">
        <w:rPr>
          <w:szCs w:val="22"/>
        </w:rPr>
        <w:t xml:space="preserve">enhancing reforms. </w:t>
      </w:r>
    </w:p>
    <w:p w14:paraId="1AC4DE5D" w14:textId="219FB11E" w:rsidR="00033798" w:rsidRDefault="00E33476">
      <w:pPr>
        <w:spacing w:before="0" w:after="0"/>
        <w:rPr>
          <w:rFonts w:cs="Arial"/>
          <w:iCs/>
          <w:color w:val="2C384A"/>
          <w:kern w:val="32"/>
          <w:sz w:val="32"/>
          <w:szCs w:val="28"/>
        </w:rPr>
      </w:pPr>
      <w:r w:rsidRPr="008843AE">
        <w:rPr>
          <w:szCs w:val="22"/>
        </w:rPr>
        <w:t xml:space="preserve">While there is evidence Australia avoided </w:t>
      </w:r>
      <w:r w:rsidR="009434FD">
        <w:rPr>
          <w:szCs w:val="22"/>
        </w:rPr>
        <w:t xml:space="preserve">a </w:t>
      </w:r>
      <w:r w:rsidRPr="008843AE">
        <w:rPr>
          <w:szCs w:val="22"/>
        </w:rPr>
        <w:t>shakeout of highly productive firms during the COVID</w:t>
      </w:r>
      <w:r w:rsidR="002B75D0">
        <w:rPr>
          <w:szCs w:val="22"/>
        </w:rPr>
        <w:noBreakHyphen/>
      </w:r>
      <w:r w:rsidRPr="008843AE">
        <w:rPr>
          <w:szCs w:val="22"/>
        </w:rPr>
        <w:t>19 lockdowns, it is too early to ascertain the productivity impacts of COVID</w:t>
      </w:r>
      <w:r w:rsidR="002B75D0">
        <w:rPr>
          <w:szCs w:val="22"/>
        </w:rPr>
        <w:noBreakHyphen/>
      </w:r>
      <w:r w:rsidRPr="008843AE">
        <w:rPr>
          <w:szCs w:val="22"/>
        </w:rPr>
        <w:t>19 (Andrews, Bahar and Hambur 2021). There is evidence that</w:t>
      </w:r>
      <w:r w:rsidR="008F5629">
        <w:rPr>
          <w:szCs w:val="22"/>
        </w:rPr>
        <w:t>,</w:t>
      </w:r>
      <w:r w:rsidRPr="008843AE">
        <w:rPr>
          <w:szCs w:val="22"/>
        </w:rPr>
        <w:t xml:space="preserve"> globally</w:t>
      </w:r>
      <w:r w:rsidR="008F5629">
        <w:rPr>
          <w:szCs w:val="22"/>
        </w:rPr>
        <w:t>,</w:t>
      </w:r>
      <w:r w:rsidRPr="008843AE">
        <w:rPr>
          <w:szCs w:val="22"/>
        </w:rPr>
        <w:t xml:space="preserve"> COVID</w:t>
      </w:r>
      <w:r w:rsidR="002B75D0">
        <w:rPr>
          <w:szCs w:val="22"/>
        </w:rPr>
        <w:noBreakHyphen/>
      </w:r>
      <w:r w:rsidRPr="008843AE">
        <w:rPr>
          <w:szCs w:val="22"/>
        </w:rPr>
        <w:t>19 has sped up the process of digital adoption and policy can potentially help facilitate this. However, disruptions to schooling may have negative implications for human capital, while global shifts towards domestic production undo some of the productivity gains provided by global value chain</w:t>
      </w:r>
      <w:r w:rsidR="009434FD">
        <w:rPr>
          <w:szCs w:val="22"/>
        </w:rPr>
        <w:t>s</w:t>
      </w:r>
      <w:r>
        <w:rPr>
          <w:szCs w:val="22"/>
        </w:rPr>
        <w:t>.</w:t>
      </w:r>
    </w:p>
    <w:p w14:paraId="51FDFE6A" w14:textId="77777777" w:rsidR="00EE6ED4" w:rsidRDefault="00EE6ED4">
      <w:pPr>
        <w:spacing w:before="0" w:after="0"/>
        <w:rPr>
          <w:rFonts w:cs="Arial"/>
          <w:b/>
          <w:color w:val="5D779D" w:themeColor="accent3"/>
          <w:kern w:val="32"/>
          <w:sz w:val="36"/>
          <w:szCs w:val="36"/>
        </w:rPr>
      </w:pPr>
      <w:r>
        <w:br w:type="page"/>
      </w:r>
    </w:p>
    <w:p w14:paraId="51C47813" w14:textId="33FB7D2D" w:rsidR="00E33476" w:rsidRDefault="00E33476" w:rsidP="00ED3CF2">
      <w:pPr>
        <w:pStyle w:val="Heading1"/>
      </w:pPr>
      <w:r>
        <w:lastRenderedPageBreak/>
        <w:t>References</w:t>
      </w:r>
    </w:p>
    <w:p w14:paraId="793F59E0" w14:textId="02C6981F" w:rsidR="00E33476" w:rsidRPr="004A5D9A" w:rsidRDefault="00E33476" w:rsidP="00150011">
      <w:pPr>
        <w:spacing w:before="100" w:beforeAutospacing="1" w:after="100" w:afterAutospacing="1"/>
        <w:rPr>
          <w:rFonts w:cstheme="minorHAnsi"/>
          <w:color w:val="000000"/>
        </w:rPr>
      </w:pPr>
      <w:proofErr w:type="spellStart"/>
      <w:r w:rsidRPr="004A5D9A">
        <w:rPr>
          <w:rFonts w:cstheme="minorHAnsi"/>
          <w:color w:val="000000"/>
        </w:rPr>
        <w:t>Akcigit</w:t>
      </w:r>
      <w:proofErr w:type="spellEnd"/>
      <w:r w:rsidRPr="004A5D9A">
        <w:rPr>
          <w:rFonts w:cstheme="minorHAnsi"/>
          <w:color w:val="000000"/>
        </w:rPr>
        <w:t xml:space="preserve"> U and </w:t>
      </w:r>
      <w:proofErr w:type="spellStart"/>
      <w:r w:rsidRPr="004A5D9A">
        <w:rPr>
          <w:rFonts w:cstheme="minorHAnsi"/>
          <w:color w:val="000000"/>
        </w:rPr>
        <w:t>Ates</w:t>
      </w:r>
      <w:proofErr w:type="spellEnd"/>
      <w:r w:rsidRPr="004A5D9A">
        <w:rPr>
          <w:rFonts w:cstheme="minorHAnsi"/>
          <w:color w:val="000000"/>
        </w:rPr>
        <w:t xml:space="preserve"> S </w:t>
      </w:r>
      <w:r w:rsidR="006B6E8D">
        <w:rPr>
          <w:rFonts w:cstheme="minorHAnsi"/>
          <w:color w:val="000000"/>
        </w:rPr>
        <w:t>(</w:t>
      </w:r>
      <w:r w:rsidRPr="004A5D9A">
        <w:rPr>
          <w:rFonts w:cstheme="minorHAnsi"/>
          <w:color w:val="000000"/>
        </w:rPr>
        <w:t>2019</w:t>
      </w:r>
      <w:r w:rsidR="006B6E8D">
        <w:rPr>
          <w:rFonts w:cstheme="minorHAnsi"/>
          <w:color w:val="000000"/>
        </w:rPr>
        <w:t>)</w:t>
      </w:r>
      <w:r w:rsidRPr="004A5D9A">
        <w:rPr>
          <w:rFonts w:cstheme="minorHAnsi"/>
          <w:color w:val="000000"/>
        </w:rPr>
        <w:t xml:space="preserve"> </w:t>
      </w:r>
      <w:r w:rsidR="006B6E8D">
        <w:rPr>
          <w:rFonts w:cstheme="minorHAnsi"/>
          <w:color w:val="000000"/>
        </w:rPr>
        <w:t>‘</w:t>
      </w:r>
      <w:r w:rsidRPr="004A5D9A">
        <w:rPr>
          <w:rFonts w:cstheme="minorHAnsi"/>
          <w:color w:val="000000"/>
        </w:rPr>
        <w:t>Ten Facts on Declining Business Dynamism and Lessons from Endogenous Growth Theory</w:t>
      </w:r>
      <w:r w:rsidR="006B6E8D">
        <w:rPr>
          <w:rFonts w:cstheme="minorHAnsi"/>
          <w:color w:val="000000"/>
        </w:rPr>
        <w:t>’</w:t>
      </w:r>
      <w:r w:rsidRPr="004A5D9A">
        <w:rPr>
          <w:rFonts w:cstheme="minorHAnsi"/>
          <w:color w:val="000000"/>
        </w:rPr>
        <w:t xml:space="preserve">, </w:t>
      </w:r>
      <w:r w:rsidRPr="00FC7F02">
        <w:rPr>
          <w:rFonts w:cstheme="minorHAnsi"/>
          <w:i/>
          <w:color w:val="000000"/>
        </w:rPr>
        <w:t>NBER working paper</w:t>
      </w:r>
      <w:r w:rsidRPr="004A5D9A">
        <w:rPr>
          <w:rFonts w:cstheme="minorHAnsi"/>
          <w:color w:val="000000"/>
        </w:rPr>
        <w:t xml:space="preserve"> 25755.</w:t>
      </w:r>
    </w:p>
    <w:p w14:paraId="0E67D293" w14:textId="0B16E8FC" w:rsidR="00E33476" w:rsidRPr="004A5D9A" w:rsidRDefault="00E33476" w:rsidP="00150011">
      <w:pPr>
        <w:spacing w:before="100" w:beforeAutospacing="1" w:after="100" w:afterAutospacing="1"/>
        <w:rPr>
          <w:rFonts w:cstheme="minorHAnsi"/>
          <w:color w:val="000000"/>
        </w:rPr>
      </w:pPr>
      <w:r w:rsidRPr="004A5D9A">
        <w:rPr>
          <w:rFonts w:cstheme="minorHAnsi"/>
          <w:color w:val="000000"/>
        </w:rPr>
        <w:t xml:space="preserve">Andrews D, </w:t>
      </w:r>
      <w:proofErr w:type="spellStart"/>
      <w:r w:rsidRPr="004A5D9A">
        <w:rPr>
          <w:rFonts w:cstheme="minorHAnsi"/>
          <w:color w:val="000000"/>
        </w:rPr>
        <w:t>Criscuolo</w:t>
      </w:r>
      <w:proofErr w:type="spellEnd"/>
      <w:r w:rsidRPr="004A5D9A">
        <w:rPr>
          <w:rFonts w:cstheme="minorHAnsi"/>
          <w:color w:val="000000"/>
        </w:rPr>
        <w:t xml:space="preserve"> C and Gal PN </w:t>
      </w:r>
      <w:r w:rsidR="006B6E8D">
        <w:rPr>
          <w:rFonts w:cstheme="minorHAnsi"/>
          <w:color w:val="000000"/>
        </w:rPr>
        <w:t>(</w:t>
      </w:r>
      <w:r w:rsidRPr="004A5D9A">
        <w:rPr>
          <w:rFonts w:cstheme="minorHAnsi"/>
          <w:color w:val="000000"/>
        </w:rPr>
        <w:t>2019</w:t>
      </w:r>
      <w:r w:rsidR="006B6E8D">
        <w:rPr>
          <w:rFonts w:cstheme="minorHAnsi"/>
          <w:color w:val="000000"/>
        </w:rPr>
        <w:t>)</w:t>
      </w:r>
      <w:r w:rsidRPr="004A5D9A">
        <w:rPr>
          <w:rFonts w:cstheme="minorHAnsi"/>
          <w:color w:val="000000"/>
        </w:rPr>
        <w:t xml:space="preserve"> </w:t>
      </w:r>
      <w:r w:rsidR="006B6E8D">
        <w:rPr>
          <w:rFonts w:cstheme="minorHAnsi"/>
          <w:color w:val="000000"/>
        </w:rPr>
        <w:t>‘</w:t>
      </w:r>
      <w:r w:rsidRPr="004A5D9A">
        <w:rPr>
          <w:rFonts w:cstheme="minorHAnsi"/>
          <w:color w:val="000000"/>
        </w:rPr>
        <w:t>The Best Versus the Rest: Divergence across Firms during the Global Productivity Slowdown</w:t>
      </w:r>
      <w:r w:rsidR="006B6E8D">
        <w:rPr>
          <w:rFonts w:cstheme="minorHAnsi"/>
          <w:color w:val="000000"/>
        </w:rPr>
        <w:t>’</w:t>
      </w:r>
      <w:r w:rsidRPr="004A5D9A">
        <w:rPr>
          <w:rFonts w:cstheme="minorHAnsi"/>
          <w:color w:val="000000"/>
        </w:rPr>
        <w:t xml:space="preserve">, </w:t>
      </w:r>
      <w:r w:rsidRPr="00FC7F02">
        <w:rPr>
          <w:rFonts w:cstheme="minorHAnsi"/>
          <w:i/>
          <w:color w:val="000000"/>
        </w:rPr>
        <w:t xml:space="preserve">CEP Discussion </w:t>
      </w:r>
      <w:r w:rsidRPr="00FC7F02">
        <w:rPr>
          <w:rFonts w:cstheme="minorHAnsi"/>
          <w:i/>
          <w:iCs/>
          <w:color w:val="000000"/>
        </w:rPr>
        <w:t>Pa</w:t>
      </w:r>
      <w:r w:rsidR="006B6E8D" w:rsidRPr="00FC7F02">
        <w:rPr>
          <w:rFonts w:cstheme="minorHAnsi"/>
          <w:i/>
          <w:iCs/>
          <w:color w:val="000000"/>
        </w:rPr>
        <w:t>p</w:t>
      </w:r>
      <w:r w:rsidRPr="00FC7F02">
        <w:rPr>
          <w:rFonts w:cstheme="minorHAnsi"/>
          <w:i/>
          <w:iCs/>
          <w:color w:val="000000"/>
        </w:rPr>
        <w:t>er</w:t>
      </w:r>
      <w:r w:rsidRPr="004A5D9A">
        <w:rPr>
          <w:rFonts w:cstheme="minorHAnsi"/>
          <w:color w:val="000000"/>
        </w:rPr>
        <w:t xml:space="preserve"> 1645.</w:t>
      </w:r>
    </w:p>
    <w:p w14:paraId="40060FF8" w14:textId="12E86397" w:rsidR="00E33476" w:rsidRPr="004A5D9A" w:rsidRDefault="00E33476" w:rsidP="00150011">
      <w:pPr>
        <w:spacing w:before="100" w:beforeAutospacing="1" w:after="100" w:afterAutospacing="1"/>
        <w:rPr>
          <w:rFonts w:cstheme="minorHAnsi"/>
          <w:color w:val="000000"/>
        </w:rPr>
      </w:pPr>
      <w:r w:rsidRPr="004A5D9A">
        <w:rPr>
          <w:rFonts w:cstheme="minorHAnsi"/>
          <w:color w:val="000000"/>
        </w:rPr>
        <w:t xml:space="preserve">Andrews D, Bahar E </w:t>
      </w:r>
      <w:r w:rsidR="009F3773">
        <w:rPr>
          <w:rFonts w:cstheme="minorHAnsi"/>
          <w:color w:val="000000"/>
        </w:rPr>
        <w:t>and Hambur J</w:t>
      </w:r>
      <w:r w:rsidRPr="004A5D9A">
        <w:rPr>
          <w:rFonts w:cstheme="minorHAnsi"/>
          <w:color w:val="000000"/>
        </w:rPr>
        <w:t xml:space="preserve"> </w:t>
      </w:r>
      <w:r w:rsidR="006B6E8D">
        <w:rPr>
          <w:rFonts w:cstheme="minorHAnsi"/>
          <w:color w:val="000000"/>
        </w:rPr>
        <w:t>(</w:t>
      </w:r>
      <w:r w:rsidRPr="004A5D9A">
        <w:rPr>
          <w:rFonts w:cstheme="minorHAnsi"/>
          <w:color w:val="000000"/>
        </w:rPr>
        <w:t>2021</w:t>
      </w:r>
      <w:r w:rsidR="006B6E8D">
        <w:rPr>
          <w:rFonts w:cstheme="minorHAnsi"/>
          <w:color w:val="000000"/>
        </w:rPr>
        <w:t>)</w:t>
      </w:r>
      <w:r w:rsidRPr="004A5D9A">
        <w:rPr>
          <w:rFonts w:cstheme="minorHAnsi"/>
          <w:color w:val="000000"/>
        </w:rPr>
        <w:t xml:space="preserve"> </w:t>
      </w:r>
      <w:r w:rsidR="006B6E8D">
        <w:rPr>
          <w:rFonts w:cstheme="minorHAnsi"/>
          <w:color w:val="000000"/>
        </w:rPr>
        <w:t>‘</w:t>
      </w:r>
      <w:r w:rsidRPr="004A5D9A">
        <w:rPr>
          <w:rFonts w:cstheme="minorHAnsi"/>
          <w:color w:val="000000"/>
        </w:rPr>
        <w:t>The COVID</w:t>
      </w:r>
      <w:r w:rsidR="002B75D0">
        <w:rPr>
          <w:rFonts w:cstheme="minorHAnsi"/>
          <w:color w:val="000000"/>
        </w:rPr>
        <w:noBreakHyphen/>
      </w:r>
      <w:r w:rsidRPr="004A5D9A">
        <w:rPr>
          <w:rFonts w:cstheme="minorHAnsi"/>
          <w:color w:val="000000"/>
        </w:rPr>
        <w:t>19 shock and productivity</w:t>
      </w:r>
      <w:r w:rsidR="002B75D0">
        <w:rPr>
          <w:rFonts w:cstheme="minorHAnsi"/>
          <w:color w:val="000000"/>
        </w:rPr>
        <w:noBreakHyphen/>
      </w:r>
      <w:r w:rsidRPr="004A5D9A">
        <w:rPr>
          <w:rFonts w:cstheme="minorHAnsi"/>
          <w:color w:val="000000"/>
        </w:rPr>
        <w:t>enhancing reallocation in Australia: Real</w:t>
      </w:r>
      <w:r w:rsidR="002B75D0">
        <w:rPr>
          <w:rFonts w:cstheme="minorHAnsi"/>
          <w:color w:val="000000"/>
        </w:rPr>
        <w:noBreakHyphen/>
      </w:r>
      <w:r w:rsidRPr="004A5D9A">
        <w:rPr>
          <w:rFonts w:cstheme="minorHAnsi"/>
          <w:color w:val="000000"/>
        </w:rPr>
        <w:t>time evidence from Single Touch Payroll</w:t>
      </w:r>
      <w:r w:rsidR="006B6E8D">
        <w:rPr>
          <w:rFonts w:cstheme="minorHAnsi"/>
          <w:color w:val="000000"/>
        </w:rPr>
        <w:t>’</w:t>
      </w:r>
      <w:r w:rsidRPr="004A5D9A">
        <w:rPr>
          <w:rFonts w:cstheme="minorHAnsi"/>
          <w:color w:val="000000"/>
        </w:rPr>
        <w:t xml:space="preserve">, </w:t>
      </w:r>
      <w:r w:rsidRPr="00FC7F02">
        <w:rPr>
          <w:rFonts w:cstheme="minorHAnsi"/>
          <w:i/>
          <w:color w:val="000000"/>
        </w:rPr>
        <w:t>OECD Economics Department Working Papers</w:t>
      </w:r>
      <w:r w:rsidRPr="004A5D9A">
        <w:rPr>
          <w:rFonts w:cstheme="minorHAnsi"/>
          <w:color w:val="000000"/>
        </w:rPr>
        <w:t>.</w:t>
      </w:r>
    </w:p>
    <w:p w14:paraId="439F6A45" w14:textId="173E8AE6" w:rsidR="00E33476" w:rsidRPr="004A5D9A" w:rsidRDefault="00E33476" w:rsidP="00150011">
      <w:pPr>
        <w:spacing w:before="100" w:beforeAutospacing="1" w:after="100" w:afterAutospacing="1"/>
        <w:rPr>
          <w:rFonts w:cstheme="minorHAnsi"/>
          <w:color w:val="000000"/>
        </w:rPr>
      </w:pPr>
      <w:r w:rsidRPr="004A5D9A">
        <w:rPr>
          <w:rFonts w:cstheme="minorHAnsi"/>
          <w:color w:val="000000"/>
        </w:rPr>
        <w:t xml:space="preserve">Andrews D, Hambur J, Hansell D and Wheeler A </w:t>
      </w:r>
      <w:r w:rsidR="006B6E8D">
        <w:rPr>
          <w:rFonts w:cstheme="minorHAnsi"/>
          <w:color w:val="000000"/>
        </w:rPr>
        <w:t>(</w:t>
      </w:r>
      <w:r w:rsidR="007A7104">
        <w:rPr>
          <w:rFonts w:cstheme="minorHAnsi"/>
          <w:color w:val="000000"/>
        </w:rPr>
        <w:t>2022</w:t>
      </w:r>
      <w:r w:rsidR="006B6E8D">
        <w:rPr>
          <w:rFonts w:cstheme="minorHAnsi"/>
          <w:color w:val="000000"/>
        </w:rPr>
        <w:t>)</w:t>
      </w:r>
      <w:r w:rsidR="007A7104">
        <w:rPr>
          <w:rFonts w:cstheme="minorHAnsi"/>
          <w:color w:val="000000"/>
        </w:rPr>
        <w:t xml:space="preserve"> </w:t>
      </w:r>
      <w:r w:rsidR="006B6E8D">
        <w:rPr>
          <w:rFonts w:cstheme="minorHAnsi"/>
          <w:color w:val="000000"/>
        </w:rPr>
        <w:t>‘</w:t>
      </w:r>
      <w:r w:rsidRPr="004A5D9A">
        <w:rPr>
          <w:rFonts w:cstheme="minorHAnsi"/>
          <w:color w:val="000000"/>
        </w:rPr>
        <w:t>Reaching for the Stars: Australian Firms and the Global Productivity Frontier</w:t>
      </w:r>
      <w:r w:rsidR="006B6E8D">
        <w:rPr>
          <w:rFonts w:cstheme="minorHAnsi"/>
          <w:color w:val="000000"/>
        </w:rPr>
        <w:t>’</w:t>
      </w:r>
      <w:r w:rsidRPr="004A5D9A">
        <w:rPr>
          <w:rFonts w:cstheme="minorHAnsi"/>
          <w:color w:val="000000"/>
        </w:rPr>
        <w:t xml:space="preserve">, </w:t>
      </w:r>
      <w:r w:rsidRPr="00FC7F02">
        <w:rPr>
          <w:rFonts w:cstheme="minorHAnsi"/>
          <w:i/>
          <w:color w:val="000000"/>
        </w:rPr>
        <w:t>Treasury Working Paper</w:t>
      </w:r>
      <w:r w:rsidRPr="004A5D9A">
        <w:rPr>
          <w:rFonts w:cstheme="minorHAnsi"/>
          <w:color w:val="000000"/>
        </w:rPr>
        <w:t>.</w:t>
      </w:r>
    </w:p>
    <w:p w14:paraId="55BCB65A" w14:textId="262BB560" w:rsidR="00E33476" w:rsidRPr="004A5D9A" w:rsidRDefault="00E33476" w:rsidP="00150011">
      <w:pPr>
        <w:spacing w:before="100" w:beforeAutospacing="1" w:after="100" w:afterAutospacing="1"/>
        <w:rPr>
          <w:rFonts w:cstheme="minorHAnsi"/>
          <w:color w:val="000000"/>
        </w:rPr>
      </w:pPr>
      <w:r w:rsidRPr="004A5D9A">
        <w:rPr>
          <w:rFonts w:cstheme="minorHAnsi"/>
          <w:color w:val="000000"/>
        </w:rPr>
        <w:t xml:space="preserve">Andrews D and Hansell D </w:t>
      </w:r>
      <w:r w:rsidR="006B6E8D">
        <w:rPr>
          <w:rFonts w:cstheme="minorHAnsi"/>
          <w:color w:val="000000"/>
        </w:rPr>
        <w:t>(</w:t>
      </w:r>
      <w:r w:rsidRPr="004A5D9A">
        <w:rPr>
          <w:rFonts w:cstheme="minorHAnsi"/>
          <w:color w:val="000000"/>
        </w:rPr>
        <w:t>2021</w:t>
      </w:r>
      <w:r w:rsidR="006B6E8D">
        <w:rPr>
          <w:rFonts w:cstheme="minorHAnsi"/>
          <w:color w:val="000000"/>
        </w:rPr>
        <w:t>)</w:t>
      </w:r>
      <w:r w:rsidRPr="004A5D9A">
        <w:rPr>
          <w:rFonts w:cstheme="minorHAnsi"/>
          <w:color w:val="000000"/>
        </w:rPr>
        <w:t xml:space="preserve"> </w:t>
      </w:r>
      <w:r w:rsidR="006B6E8D">
        <w:rPr>
          <w:rFonts w:cstheme="minorHAnsi"/>
          <w:color w:val="000000"/>
        </w:rPr>
        <w:t>‘</w:t>
      </w:r>
      <w:r w:rsidRPr="004A5D9A">
        <w:rPr>
          <w:rFonts w:cstheme="minorHAnsi"/>
          <w:color w:val="000000"/>
        </w:rPr>
        <w:t>Productivity</w:t>
      </w:r>
      <w:r w:rsidR="002B75D0">
        <w:rPr>
          <w:rFonts w:cstheme="minorHAnsi"/>
          <w:color w:val="000000"/>
        </w:rPr>
        <w:noBreakHyphen/>
      </w:r>
      <w:r w:rsidRPr="004A5D9A">
        <w:rPr>
          <w:rFonts w:cstheme="minorHAnsi"/>
          <w:color w:val="000000"/>
        </w:rPr>
        <w:t>Enhancing Labour Reallocation in Australia</w:t>
      </w:r>
      <w:r w:rsidR="006B6E8D">
        <w:rPr>
          <w:rFonts w:cstheme="minorHAnsi"/>
          <w:color w:val="000000"/>
        </w:rPr>
        <w:t>’</w:t>
      </w:r>
      <w:r w:rsidRPr="004A5D9A">
        <w:rPr>
          <w:rFonts w:cstheme="minorHAnsi"/>
          <w:color w:val="000000"/>
        </w:rPr>
        <w:t xml:space="preserve">, </w:t>
      </w:r>
      <w:r w:rsidRPr="00FC7F02">
        <w:rPr>
          <w:rFonts w:cstheme="minorHAnsi"/>
          <w:i/>
          <w:color w:val="000000"/>
        </w:rPr>
        <w:t>Economic Record</w:t>
      </w:r>
      <w:r w:rsidRPr="004A5D9A">
        <w:rPr>
          <w:rFonts w:cstheme="minorHAnsi"/>
          <w:color w:val="000000"/>
        </w:rPr>
        <w:t>, 97</w:t>
      </w:r>
      <w:r w:rsidR="00E63900">
        <w:rPr>
          <w:rFonts w:cstheme="minorHAnsi"/>
          <w:color w:val="000000"/>
        </w:rPr>
        <w:t>(</w:t>
      </w:r>
      <w:r w:rsidRPr="004A5D9A">
        <w:rPr>
          <w:rFonts w:cstheme="minorHAnsi"/>
          <w:color w:val="000000"/>
        </w:rPr>
        <w:t>317</w:t>
      </w:r>
      <w:r w:rsidR="00E63900">
        <w:rPr>
          <w:rFonts w:cstheme="minorHAnsi"/>
          <w:color w:val="000000"/>
        </w:rPr>
        <w:t>):</w:t>
      </w:r>
      <w:r w:rsidRPr="004A5D9A">
        <w:rPr>
          <w:rFonts w:cstheme="minorHAnsi"/>
          <w:color w:val="000000"/>
        </w:rPr>
        <w:t xml:space="preserve"> 157</w:t>
      </w:r>
      <w:r w:rsidR="002B75D0">
        <w:rPr>
          <w:rFonts w:cstheme="minorHAnsi"/>
          <w:color w:val="000000"/>
        </w:rPr>
        <w:noBreakHyphen/>
      </w:r>
      <w:r w:rsidRPr="004A5D9A">
        <w:rPr>
          <w:rFonts w:cstheme="minorHAnsi"/>
          <w:color w:val="000000"/>
        </w:rPr>
        <w:t>169.</w:t>
      </w:r>
    </w:p>
    <w:p w14:paraId="43AC7A01" w14:textId="3CF0F92B" w:rsidR="00E33476" w:rsidRDefault="00E33476" w:rsidP="00150011">
      <w:pPr>
        <w:spacing w:before="100" w:beforeAutospacing="1" w:after="100" w:afterAutospacing="1"/>
        <w:rPr>
          <w:rFonts w:cstheme="minorHAnsi"/>
          <w:color w:val="000000"/>
        </w:rPr>
      </w:pPr>
      <w:proofErr w:type="spellStart"/>
      <w:r w:rsidRPr="004A5D9A">
        <w:rPr>
          <w:rFonts w:cstheme="minorHAnsi"/>
          <w:color w:val="000000"/>
        </w:rPr>
        <w:t>Athukorala</w:t>
      </w:r>
      <w:proofErr w:type="spellEnd"/>
      <w:r w:rsidRPr="004A5D9A">
        <w:rPr>
          <w:rFonts w:cstheme="minorHAnsi"/>
          <w:color w:val="000000"/>
        </w:rPr>
        <w:t xml:space="preserve"> PC, </w:t>
      </w:r>
      <w:proofErr w:type="spellStart"/>
      <w:r w:rsidRPr="004A5D9A">
        <w:rPr>
          <w:rFonts w:cstheme="minorHAnsi"/>
          <w:color w:val="000000"/>
        </w:rPr>
        <w:t>Talgaswatta</w:t>
      </w:r>
      <w:proofErr w:type="spellEnd"/>
      <w:r w:rsidRPr="004A5D9A">
        <w:rPr>
          <w:rFonts w:cstheme="minorHAnsi"/>
          <w:color w:val="000000"/>
        </w:rPr>
        <w:t xml:space="preserve"> T and Majeed O </w:t>
      </w:r>
      <w:r w:rsidR="00E63900">
        <w:rPr>
          <w:rFonts w:cstheme="minorHAnsi"/>
          <w:color w:val="000000"/>
        </w:rPr>
        <w:t>(</w:t>
      </w:r>
      <w:r w:rsidRPr="004A5D9A">
        <w:rPr>
          <w:rFonts w:cstheme="minorHAnsi"/>
          <w:color w:val="000000"/>
        </w:rPr>
        <w:t>2017</w:t>
      </w:r>
      <w:r w:rsidR="00E63900">
        <w:rPr>
          <w:rFonts w:cstheme="minorHAnsi"/>
          <w:color w:val="000000"/>
        </w:rPr>
        <w:t>)</w:t>
      </w:r>
      <w:r w:rsidRPr="004A5D9A">
        <w:rPr>
          <w:rFonts w:cstheme="minorHAnsi"/>
          <w:color w:val="000000"/>
        </w:rPr>
        <w:t xml:space="preserve"> </w:t>
      </w:r>
      <w:r w:rsidR="00E63900">
        <w:rPr>
          <w:rFonts w:cstheme="minorHAnsi"/>
          <w:color w:val="000000"/>
        </w:rPr>
        <w:t>‘</w:t>
      </w:r>
      <w:r w:rsidRPr="004A5D9A">
        <w:rPr>
          <w:rFonts w:cstheme="minorHAnsi"/>
          <w:color w:val="000000"/>
        </w:rPr>
        <w:t>Global production sharing: Exploring Australia</w:t>
      </w:r>
      <w:r w:rsidR="00F77F23">
        <w:rPr>
          <w:rFonts w:cstheme="minorHAnsi"/>
          <w:color w:val="000000"/>
        </w:rPr>
        <w:t>’</w:t>
      </w:r>
      <w:r w:rsidRPr="004A5D9A">
        <w:rPr>
          <w:rFonts w:cstheme="minorHAnsi"/>
          <w:color w:val="000000"/>
        </w:rPr>
        <w:t>s competitive edge</w:t>
      </w:r>
      <w:r w:rsidR="00E63900">
        <w:rPr>
          <w:rFonts w:cstheme="minorHAnsi"/>
          <w:color w:val="000000"/>
        </w:rPr>
        <w:t>’</w:t>
      </w:r>
      <w:r w:rsidRPr="004A5D9A">
        <w:rPr>
          <w:rFonts w:cstheme="minorHAnsi"/>
          <w:color w:val="000000"/>
        </w:rPr>
        <w:t xml:space="preserve">, </w:t>
      </w:r>
      <w:r w:rsidRPr="00FC7F02">
        <w:rPr>
          <w:rFonts w:cstheme="minorHAnsi"/>
          <w:i/>
          <w:color w:val="000000"/>
        </w:rPr>
        <w:t>The World Economy</w:t>
      </w:r>
      <w:r w:rsidRPr="004A5D9A">
        <w:rPr>
          <w:rFonts w:cstheme="minorHAnsi"/>
          <w:color w:val="000000"/>
        </w:rPr>
        <w:t>, 40(10)</w:t>
      </w:r>
      <w:r w:rsidR="00E63900">
        <w:rPr>
          <w:rFonts w:cstheme="minorHAnsi"/>
          <w:color w:val="000000"/>
        </w:rPr>
        <w:t xml:space="preserve">: </w:t>
      </w:r>
      <w:r w:rsidRPr="004A5D9A">
        <w:rPr>
          <w:rFonts w:cstheme="minorHAnsi"/>
          <w:color w:val="000000"/>
        </w:rPr>
        <w:t>2172</w:t>
      </w:r>
      <w:r w:rsidR="002B75D0">
        <w:rPr>
          <w:rFonts w:cstheme="minorHAnsi"/>
          <w:color w:val="000000"/>
        </w:rPr>
        <w:noBreakHyphen/>
      </w:r>
      <w:r w:rsidRPr="004A5D9A">
        <w:rPr>
          <w:rFonts w:cstheme="minorHAnsi"/>
          <w:color w:val="000000"/>
        </w:rPr>
        <w:t>2192.</w:t>
      </w:r>
    </w:p>
    <w:p w14:paraId="4AD15400" w14:textId="09011B23" w:rsidR="00E33476" w:rsidRDefault="00E33476" w:rsidP="00150011">
      <w:pPr>
        <w:spacing w:before="100" w:beforeAutospacing="1" w:after="100" w:afterAutospacing="1"/>
        <w:rPr>
          <w:rFonts w:cstheme="minorHAnsi"/>
          <w:color w:val="000000"/>
        </w:rPr>
      </w:pPr>
      <w:r>
        <w:rPr>
          <w:rFonts w:cstheme="minorHAnsi"/>
          <w:color w:val="000000"/>
        </w:rPr>
        <w:t>Australian Bureau of Statistics (2020</w:t>
      </w:r>
      <w:r w:rsidR="007E2C84">
        <w:rPr>
          <w:rFonts w:cstheme="minorHAnsi"/>
          <w:color w:val="000000"/>
        </w:rPr>
        <w:sym w:font="Symbol" w:char="F02D"/>
      </w:r>
      <w:r>
        <w:rPr>
          <w:rFonts w:cstheme="minorHAnsi"/>
          <w:color w:val="000000"/>
        </w:rPr>
        <w:t xml:space="preserve">21 financial year a) </w:t>
      </w:r>
      <w:r w:rsidR="00E63900">
        <w:rPr>
          <w:rFonts w:cstheme="minorHAnsi"/>
          <w:color w:val="000000"/>
        </w:rPr>
        <w:t>‘</w:t>
      </w:r>
      <w:r>
        <w:rPr>
          <w:rFonts w:cstheme="minorHAnsi"/>
          <w:color w:val="000000"/>
        </w:rPr>
        <w:t>Tables 1 to 19: Estimates of industry multifactor productivity</w:t>
      </w:r>
      <w:r w:rsidR="00E63900">
        <w:rPr>
          <w:rFonts w:cstheme="minorHAnsi"/>
          <w:color w:val="000000"/>
        </w:rPr>
        <w:t>’</w:t>
      </w:r>
      <w:r>
        <w:rPr>
          <w:rFonts w:cstheme="minorHAnsi"/>
          <w:color w:val="000000"/>
        </w:rPr>
        <w:t xml:space="preserve"> [time series spreadsheet], </w:t>
      </w:r>
      <w:hyperlink r:id="rId34" w:anchor="data-download" w:history="1">
        <w:r w:rsidRPr="009D68B7">
          <w:rPr>
            <w:rStyle w:val="Hyperlink"/>
            <w:rFonts w:cstheme="minorHAnsi"/>
            <w:i/>
          </w:rPr>
          <w:t>Estimates of Industry Multifactor Productivity</w:t>
        </w:r>
      </w:hyperlink>
      <w:r>
        <w:rPr>
          <w:rFonts w:cstheme="minorHAnsi"/>
          <w:color w:val="000000"/>
        </w:rPr>
        <w:t>, accessed 17 December 2021.</w:t>
      </w:r>
    </w:p>
    <w:p w14:paraId="5B906375" w14:textId="6BB741C7" w:rsidR="00E33476" w:rsidRDefault="00E33476" w:rsidP="00150011">
      <w:pPr>
        <w:spacing w:before="100" w:beforeAutospacing="1" w:after="100" w:afterAutospacing="1"/>
        <w:rPr>
          <w:rFonts w:cstheme="minorHAnsi"/>
          <w:color w:val="000000"/>
        </w:rPr>
      </w:pPr>
      <w:r>
        <w:rPr>
          <w:rFonts w:cstheme="minorHAnsi"/>
          <w:color w:val="000000"/>
        </w:rPr>
        <w:t>Australian Bureau of Statistics (2020</w:t>
      </w:r>
      <w:r w:rsidR="007E2C84">
        <w:rPr>
          <w:rFonts w:cstheme="minorHAnsi"/>
          <w:color w:val="000000"/>
        </w:rPr>
        <w:sym w:font="Symbol" w:char="F02D"/>
      </w:r>
      <w:r>
        <w:rPr>
          <w:rFonts w:cstheme="minorHAnsi"/>
          <w:color w:val="000000"/>
        </w:rPr>
        <w:t xml:space="preserve">21 financial year b) </w:t>
      </w:r>
      <w:r w:rsidR="00E63900">
        <w:rPr>
          <w:rFonts w:cstheme="minorHAnsi"/>
          <w:color w:val="000000"/>
        </w:rPr>
        <w:t>‘</w:t>
      </w:r>
      <w:r>
        <w:rPr>
          <w:rFonts w:cstheme="minorHAnsi"/>
          <w:color w:val="000000"/>
        </w:rPr>
        <w:t>Australian industry by division</w:t>
      </w:r>
      <w:r w:rsidR="00E63900">
        <w:rPr>
          <w:rFonts w:cstheme="minorHAnsi"/>
          <w:color w:val="000000"/>
        </w:rPr>
        <w:t>’</w:t>
      </w:r>
      <w:r>
        <w:rPr>
          <w:rFonts w:cstheme="minorHAnsi"/>
          <w:color w:val="000000"/>
        </w:rPr>
        <w:t xml:space="preserve"> [time series spreadsheet], </w:t>
      </w:r>
      <w:hyperlink r:id="rId35" w:anchor="data-download" w:history="1">
        <w:r w:rsidRPr="002B0362">
          <w:rPr>
            <w:rStyle w:val="Hyperlink"/>
            <w:rFonts w:cstheme="minorHAnsi"/>
            <w:i/>
          </w:rPr>
          <w:t>Australian Industry</w:t>
        </w:r>
      </w:hyperlink>
      <w:r>
        <w:rPr>
          <w:rFonts w:cstheme="minorHAnsi"/>
          <w:color w:val="000000"/>
        </w:rPr>
        <w:t>, accessed 14 January 2022</w:t>
      </w:r>
      <w:r w:rsidR="00E63900">
        <w:rPr>
          <w:rFonts w:cstheme="minorHAnsi"/>
          <w:color w:val="000000"/>
        </w:rPr>
        <w:t>.</w:t>
      </w:r>
    </w:p>
    <w:p w14:paraId="4D446914" w14:textId="0748ED64" w:rsidR="00E33476" w:rsidRPr="007378ED" w:rsidRDefault="00E33476" w:rsidP="00150011">
      <w:pPr>
        <w:spacing w:before="100" w:beforeAutospacing="1" w:after="100" w:afterAutospacing="1"/>
        <w:rPr>
          <w:rFonts w:cstheme="minorHAnsi"/>
          <w:color w:val="000000"/>
        </w:rPr>
      </w:pPr>
      <w:r>
        <w:rPr>
          <w:rFonts w:cstheme="minorHAnsi"/>
          <w:color w:val="000000"/>
        </w:rPr>
        <w:t>Australian Bureau of Statistics (2019</w:t>
      </w:r>
      <w:r w:rsidR="007E2C84">
        <w:rPr>
          <w:rFonts w:cstheme="minorHAnsi"/>
          <w:color w:val="000000"/>
        </w:rPr>
        <w:sym w:font="Symbol" w:char="F02D"/>
      </w:r>
      <w:r>
        <w:rPr>
          <w:rFonts w:cstheme="minorHAnsi"/>
          <w:color w:val="000000"/>
        </w:rPr>
        <w:t xml:space="preserve">20 financial year) </w:t>
      </w:r>
      <w:r w:rsidR="00E63900">
        <w:rPr>
          <w:rFonts w:cstheme="minorHAnsi"/>
          <w:color w:val="000000"/>
        </w:rPr>
        <w:t>‘</w:t>
      </w:r>
      <w:r>
        <w:rPr>
          <w:rFonts w:cstheme="minorHAnsi"/>
          <w:color w:val="000000"/>
        </w:rPr>
        <w:t>Business expenditure on R&amp;D, by ANZSIC06 industry subdivision, by employment size</w:t>
      </w:r>
      <w:r w:rsidR="00E63900">
        <w:rPr>
          <w:rFonts w:cstheme="minorHAnsi"/>
          <w:color w:val="000000"/>
        </w:rPr>
        <w:t>’</w:t>
      </w:r>
      <w:r>
        <w:rPr>
          <w:rFonts w:cstheme="minorHAnsi"/>
          <w:color w:val="000000"/>
        </w:rPr>
        <w:t xml:space="preserve"> [data cube], </w:t>
      </w:r>
      <w:hyperlink r:id="rId36" w:anchor="key-statistics" w:history="1">
        <w:r w:rsidRPr="007378ED">
          <w:rPr>
            <w:rStyle w:val="Hyperlink"/>
            <w:rFonts w:cstheme="minorHAnsi"/>
            <w:i/>
          </w:rPr>
          <w:t>Research and Experimental Development, Businesses, Australia</w:t>
        </w:r>
      </w:hyperlink>
      <w:r>
        <w:rPr>
          <w:rFonts w:cstheme="minorHAnsi"/>
          <w:i/>
          <w:iCs/>
          <w:color w:val="000000"/>
        </w:rPr>
        <w:t xml:space="preserve">, </w:t>
      </w:r>
      <w:r>
        <w:rPr>
          <w:rFonts w:cstheme="minorHAnsi"/>
          <w:color w:val="000000"/>
        </w:rPr>
        <w:t>accessed 14 January 2022</w:t>
      </w:r>
      <w:r w:rsidR="00E63900">
        <w:rPr>
          <w:rFonts w:cstheme="minorHAnsi"/>
          <w:color w:val="000000"/>
        </w:rPr>
        <w:t>.</w:t>
      </w:r>
    </w:p>
    <w:p w14:paraId="547FFB7B" w14:textId="565CCF41" w:rsidR="00E33476" w:rsidRPr="00181E3B" w:rsidRDefault="00E33476" w:rsidP="00150011">
      <w:pPr>
        <w:spacing w:before="100" w:beforeAutospacing="1" w:after="100" w:afterAutospacing="1"/>
        <w:rPr>
          <w:rFonts w:cstheme="minorHAnsi"/>
          <w:i/>
          <w:iCs/>
          <w:color w:val="000000"/>
        </w:rPr>
      </w:pPr>
      <w:r>
        <w:rPr>
          <w:rFonts w:cstheme="minorHAnsi"/>
          <w:color w:val="000000"/>
        </w:rPr>
        <w:t xml:space="preserve">Australian Bureau of Statistics (July 2017 – June 2021) </w:t>
      </w:r>
      <w:r w:rsidR="00E63900">
        <w:rPr>
          <w:rFonts w:cstheme="minorHAnsi"/>
          <w:color w:val="000000"/>
        </w:rPr>
        <w:t>‘</w:t>
      </w:r>
      <w:r>
        <w:rPr>
          <w:rFonts w:cstheme="minorHAnsi"/>
          <w:color w:val="000000"/>
        </w:rPr>
        <w:t>Data cube 1: Tables 1</w:t>
      </w:r>
      <w:r w:rsidR="002B75D0">
        <w:rPr>
          <w:rFonts w:cstheme="minorHAnsi"/>
          <w:color w:val="000000"/>
        </w:rPr>
        <w:noBreakHyphen/>
      </w:r>
      <w:r>
        <w:rPr>
          <w:rFonts w:cstheme="minorHAnsi"/>
          <w:color w:val="000000"/>
        </w:rPr>
        <w:t>20 of counts of Australian businesses, including entries and exits</w:t>
      </w:r>
      <w:r w:rsidR="00E63900">
        <w:rPr>
          <w:rFonts w:cstheme="minorHAnsi"/>
          <w:color w:val="000000"/>
        </w:rPr>
        <w:t>’</w:t>
      </w:r>
      <w:r>
        <w:rPr>
          <w:rFonts w:cstheme="minorHAnsi"/>
          <w:color w:val="000000"/>
        </w:rPr>
        <w:t xml:space="preserve"> [data set], </w:t>
      </w:r>
      <w:hyperlink r:id="rId37" w:anchor="data-download" w:history="1">
        <w:r w:rsidRPr="007C711F">
          <w:rPr>
            <w:rStyle w:val="Hyperlink"/>
            <w:rFonts w:cstheme="minorHAnsi"/>
            <w:i/>
          </w:rPr>
          <w:t>Counts of Australian Businesses, including Entries and Exits</w:t>
        </w:r>
      </w:hyperlink>
      <w:r>
        <w:rPr>
          <w:rFonts w:cstheme="minorHAnsi"/>
          <w:i/>
          <w:iCs/>
          <w:color w:val="000000"/>
        </w:rPr>
        <w:t xml:space="preserve">, </w:t>
      </w:r>
      <w:r w:rsidRPr="00181E3B">
        <w:rPr>
          <w:rFonts w:cstheme="minorHAnsi"/>
          <w:color w:val="000000"/>
        </w:rPr>
        <w:t xml:space="preserve">accessed </w:t>
      </w:r>
      <w:r>
        <w:rPr>
          <w:rFonts w:cstheme="minorHAnsi"/>
          <w:color w:val="000000"/>
        </w:rPr>
        <w:t>21</w:t>
      </w:r>
      <w:r w:rsidRPr="00181E3B">
        <w:rPr>
          <w:rFonts w:cstheme="minorHAnsi"/>
          <w:color w:val="000000"/>
        </w:rPr>
        <w:t xml:space="preserve"> July 2022</w:t>
      </w:r>
      <w:r w:rsidR="00E63900">
        <w:rPr>
          <w:rFonts w:cstheme="minorHAnsi"/>
          <w:color w:val="000000"/>
        </w:rPr>
        <w:t>.</w:t>
      </w:r>
      <w:r>
        <w:rPr>
          <w:rFonts w:cstheme="minorHAnsi"/>
          <w:i/>
          <w:iCs/>
          <w:color w:val="000000"/>
        </w:rPr>
        <w:t xml:space="preserve"> </w:t>
      </w:r>
    </w:p>
    <w:p w14:paraId="4CDF8802" w14:textId="51CB5128" w:rsidR="00E33476" w:rsidRPr="004A5D9A" w:rsidRDefault="00E33476" w:rsidP="00150011">
      <w:pPr>
        <w:spacing w:before="100" w:beforeAutospacing="1" w:after="100" w:afterAutospacing="1"/>
        <w:rPr>
          <w:rFonts w:cstheme="minorHAnsi"/>
          <w:color w:val="000000"/>
        </w:rPr>
      </w:pPr>
      <w:proofErr w:type="spellStart"/>
      <w:r w:rsidRPr="004A5D9A">
        <w:rPr>
          <w:rFonts w:cstheme="minorHAnsi"/>
          <w:color w:val="000000"/>
        </w:rPr>
        <w:t>Boppart</w:t>
      </w:r>
      <w:proofErr w:type="spellEnd"/>
      <w:r w:rsidRPr="004A5D9A">
        <w:rPr>
          <w:rFonts w:cstheme="minorHAnsi"/>
          <w:color w:val="000000"/>
        </w:rPr>
        <w:t xml:space="preserve"> T and Li H </w:t>
      </w:r>
      <w:r w:rsidR="00E63900">
        <w:rPr>
          <w:rFonts w:cstheme="minorHAnsi"/>
          <w:color w:val="000000"/>
        </w:rPr>
        <w:t>(</w:t>
      </w:r>
      <w:r w:rsidRPr="004A5D9A">
        <w:rPr>
          <w:rFonts w:cstheme="minorHAnsi"/>
          <w:color w:val="000000"/>
        </w:rPr>
        <w:t>2021</w:t>
      </w:r>
      <w:r w:rsidR="00E63900">
        <w:rPr>
          <w:rFonts w:cstheme="minorHAnsi"/>
          <w:color w:val="000000"/>
        </w:rPr>
        <w:t>)</w:t>
      </w:r>
      <w:r w:rsidRPr="004A5D9A">
        <w:rPr>
          <w:rFonts w:cstheme="minorHAnsi"/>
          <w:color w:val="000000"/>
        </w:rPr>
        <w:t xml:space="preserve"> </w:t>
      </w:r>
      <w:r w:rsidR="00E63900">
        <w:rPr>
          <w:rFonts w:cstheme="minorHAnsi"/>
          <w:color w:val="000000"/>
        </w:rPr>
        <w:t>‘</w:t>
      </w:r>
      <w:r w:rsidRPr="004A5D9A">
        <w:rPr>
          <w:rFonts w:cstheme="minorHAnsi"/>
          <w:color w:val="000000"/>
        </w:rPr>
        <w:t xml:space="preserve">Productivity Slowdown: Reducing the Measure of Our Ignorance’, </w:t>
      </w:r>
      <w:r w:rsidRPr="00FC7F02">
        <w:rPr>
          <w:rFonts w:cstheme="minorHAnsi"/>
          <w:i/>
          <w:color w:val="000000"/>
        </w:rPr>
        <w:t xml:space="preserve">Federal Reserve Bank of San </w:t>
      </w:r>
      <w:proofErr w:type="spellStart"/>
      <w:r w:rsidRPr="00FC7F02">
        <w:rPr>
          <w:rFonts w:cstheme="minorHAnsi"/>
          <w:i/>
          <w:color w:val="000000"/>
        </w:rPr>
        <w:t>Fransisco</w:t>
      </w:r>
      <w:proofErr w:type="spellEnd"/>
      <w:r w:rsidRPr="00FC7F02">
        <w:rPr>
          <w:rFonts w:cstheme="minorHAnsi"/>
          <w:i/>
          <w:color w:val="000000"/>
        </w:rPr>
        <w:t xml:space="preserve"> working paper</w:t>
      </w:r>
      <w:r w:rsidRPr="004A5D9A">
        <w:rPr>
          <w:rFonts w:cstheme="minorHAnsi"/>
          <w:color w:val="000000"/>
        </w:rPr>
        <w:t>.</w:t>
      </w:r>
    </w:p>
    <w:p w14:paraId="367184E7" w14:textId="4110B0B8" w:rsidR="00E33476" w:rsidRPr="004A5D9A" w:rsidRDefault="00E33476" w:rsidP="00150011">
      <w:pPr>
        <w:spacing w:before="100" w:beforeAutospacing="1" w:after="100" w:afterAutospacing="1"/>
        <w:rPr>
          <w:rFonts w:cstheme="minorHAnsi"/>
          <w:color w:val="000000"/>
        </w:rPr>
      </w:pPr>
      <w:r w:rsidRPr="004A5D9A">
        <w:rPr>
          <w:rFonts w:cstheme="minorHAnsi"/>
          <w:color w:val="000000"/>
        </w:rPr>
        <w:t xml:space="preserve">Burnell DS and </w:t>
      </w:r>
      <w:proofErr w:type="spellStart"/>
      <w:r w:rsidRPr="004A5D9A">
        <w:rPr>
          <w:rFonts w:cstheme="minorHAnsi"/>
          <w:color w:val="000000"/>
        </w:rPr>
        <w:t>Elnasri</w:t>
      </w:r>
      <w:proofErr w:type="spellEnd"/>
      <w:r w:rsidRPr="004A5D9A">
        <w:rPr>
          <w:rFonts w:cstheme="minorHAnsi"/>
          <w:color w:val="000000"/>
        </w:rPr>
        <w:t xml:space="preserve"> A </w:t>
      </w:r>
      <w:r w:rsidR="00E63900">
        <w:rPr>
          <w:rFonts w:cstheme="minorHAnsi"/>
          <w:color w:val="000000"/>
        </w:rPr>
        <w:t>(</w:t>
      </w:r>
      <w:r w:rsidRPr="004A5D9A">
        <w:rPr>
          <w:rFonts w:cstheme="minorHAnsi"/>
          <w:color w:val="000000"/>
        </w:rPr>
        <w:t>2020</w:t>
      </w:r>
      <w:r w:rsidR="00E63900">
        <w:rPr>
          <w:rFonts w:cstheme="minorHAnsi"/>
          <w:color w:val="000000"/>
        </w:rPr>
        <w:t>)</w:t>
      </w:r>
      <w:r w:rsidRPr="004A5D9A">
        <w:rPr>
          <w:rFonts w:cstheme="minorHAnsi"/>
          <w:color w:val="000000"/>
        </w:rPr>
        <w:t xml:space="preserve"> </w:t>
      </w:r>
      <w:r w:rsidR="00E63900">
        <w:rPr>
          <w:rFonts w:cstheme="minorHAnsi"/>
          <w:color w:val="000000"/>
        </w:rPr>
        <w:t>‘</w:t>
      </w:r>
      <w:r w:rsidRPr="004A5D9A">
        <w:rPr>
          <w:rFonts w:cstheme="minorHAnsi"/>
          <w:color w:val="000000"/>
        </w:rPr>
        <w:t>Does Measurement of Digital Activities Explain Productivity Slowdown? The Case for Australia</w:t>
      </w:r>
      <w:r w:rsidR="00E63900">
        <w:rPr>
          <w:rFonts w:cstheme="minorHAnsi"/>
          <w:color w:val="000000"/>
        </w:rPr>
        <w:t>’</w:t>
      </w:r>
      <w:r w:rsidRPr="004A5D9A">
        <w:rPr>
          <w:rFonts w:cstheme="minorHAnsi"/>
          <w:color w:val="000000"/>
        </w:rPr>
        <w:t xml:space="preserve">, </w:t>
      </w:r>
      <w:proofErr w:type="spellStart"/>
      <w:r w:rsidRPr="00FC7F02">
        <w:rPr>
          <w:rFonts w:cstheme="minorHAnsi"/>
          <w:i/>
          <w:color w:val="000000"/>
        </w:rPr>
        <w:t>Economie</w:t>
      </w:r>
      <w:proofErr w:type="spellEnd"/>
      <w:r w:rsidRPr="00FC7F02">
        <w:rPr>
          <w:rFonts w:cstheme="minorHAnsi"/>
          <w:i/>
          <w:color w:val="000000"/>
        </w:rPr>
        <w:t xml:space="preserve"> et </w:t>
      </w:r>
      <w:proofErr w:type="spellStart"/>
      <w:r w:rsidRPr="00FC7F02">
        <w:rPr>
          <w:rFonts w:cstheme="minorHAnsi"/>
          <w:i/>
          <w:color w:val="000000"/>
        </w:rPr>
        <w:t>Statistique</w:t>
      </w:r>
      <w:proofErr w:type="spellEnd"/>
      <w:r w:rsidRPr="00FC7F02">
        <w:rPr>
          <w:rFonts w:cstheme="minorHAnsi"/>
          <w:i/>
          <w:color w:val="000000"/>
        </w:rPr>
        <w:t xml:space="preserve"> / Economics and Statistics</w:t>
      </w:r>
      <w:r w:rsidRPr="004A5D9A">
        <w:rPr>
          <w:rFonts w:cstheme="minorHAnsi"/>
          <w:color w:val="000000"/>
        </w:rPr>
        <w:t>, 517</w:t>
      </w:r>
      <w:r w:rsidR="0021283A">
        <w:rPr>
          <w:rFonts w:cstheme="minorHAnsi"/>
          <w:color w:val="000000"/>
        </w:rPr>
        <w:t>-</w:t>
      </w:r>
      <w:r w:rsidRPr="004A5D9A">
        <w:rPr>
          <w:rFonts w:cstheme="minorHAnsi"/>
          <w:color w:val="000000"/>
        </w:rPr>
        <w:t>518</w:t>
      </w:r>
      <w:r w:rsidR="0021283A">
        <w:rPr>
          <w:rFonts w:cstheme="minorHAnsi"/>
          <w:color w:val="000000"/>
        </w:rPr>
        <w:t>-519:</w:t>
      </w:r>
      <w:r w:rsidRPr="004A5D9A">
        <w:rPr>
          <w:rFonts w:cstheme="minorHAnsi"/>
          <w:color w:val="000000"/>
        </w:rPr>
        <w:t xml:space="preserve"> 123–137.</w:t>
      </w:r>
    </w:p>
    <w:p w14:paraId="3C045308" w14:textId="1C83C507" w:rsidR="00E33476" w:rsidRPr="004A5D9A" w:rsidRDefault="00E33476" w:rsidP="00150011">
      <w:pPr>
        <w:spacing w:before="100" w:beforeAutospacing="1" w:after="100" w:afterAutospacing="1"/>
        <w:rPr>
          <w:rFonts w:cstheme="minorHAnsi"/>
          <w:color w:val="000000"/>
        </w:rPr>
      </w:pPr>
      <w:r w:rsidRPr="004A5D9A">
        <w:rPr>
          <w:rFonts w:cstheme="minorHAnsi"/>
          <w:color w:val="000000"/>
        </w:rPr>
        <w:t xml:space="preserve">Brynjolfsson E and McAfee A </w:t>
      </w:r>
      <w:r w:rsidR="0021283A">
        <w:rPr>
          <w:rFonts w:cstheme="minorHAnsi"/>
          <w:color w:val="000000"/>
        </w:rPr>
        <w:t>(</w:t>
      </w:r>
      <w:r w:rsidRPr="004A5D9A">
        <w:rPr>
          <w:rFonts w:cstheme="minorHAnsi"/>
          <w:color w:val="000000"/>
        </w:rPr>
        <w:t>2011</w:t>
      </w:r>
      <w:r w:rsidR="0021283A">
        <w:rPr>
          <w:rFonts w:cstheme="minorHAnsi"/>
          <w:color w:val="000000"/>
        </w:rPr>
        <w:t>)</w:t>
      </w:r>
      <w:r w:rsidRPr="004A5D9A">
        <w:rPr>
          <w:rFonts w:cstheme="minorHAnsi"/>
          <w:color w:val="000000"/>
        </w:rPr>
        <w:t xml:space="preserve"> </w:t>
      </w:r>
      <w:r w:rsidR="0021283A">
        <w:rPr>
          <w:rFonts w:cstheme="minorHAnsi"/>
          <w:color w:val="000000"/>
        </w:rPr>
        <w:t>‘</w:t>
      </w:r>
      <w:r w:rsidRPr="004A5D9A">
        <w:rPr>
          <w:rFonts w:cstheme="minorHAnsi"/>
          <w:color w:val="000000"/>
        </w:rPr>
        <w:t xml:space="preserve">Race Against </w:t>
      </w:r>
      <w:proofErr w:type="gramStart"/>
      <w:r w:rsidRPr="004A5D9A">
        <w:rPr>
          <w:rFonts w:cstheme="minorHAnsi"/>
          <w:color w:val="000000"/>
        </w:rPr>
        <w:t>The</w:t>
      </w:r>
      <w:proofErr w:type="gramEnd"/>
      <w:r w:rsidRPr="004A5D9A">
        <w:rPr>
          <w:rFonts w:cstheme="minorHAnsi"/>
          <w:color w:val="000000"/>
        </w:rPr>
        <w:t xml:space="preserve"> Machine: How the Digital Revolution is Accelerating Innovation, Driving Productivity, and Irreversibly Transforming Employment and the Economy</w:t>
      </w:r>
      <w:r w:rsidR="0021283A">
        <w:rPr>
          <w:rFonts w:cstheme="minorHAnsi"/>
          <w:color w:val="000000"/>
        </w:rPr>
        <w:t>’</w:t>
      </w:r>
      <w:r w:rsidRPr="004A5D9A">
        <w:rPr>
          <w:rFonts w:cstheme="minorHAnsi"/>
          <w:color w:val="000000"/>
        </w:rPr>
        <w:t xml:space="preserve">, </w:t>
      </w:r>
      <w:r w:rsidRPr="00FC7F02">
        <w:rPr>
          <w:rFonts w:cstheme="minorHAnsi"/>
          <w:i/>
          <w:color w:val="000000"/>
        </w:rPr>
        <w:t>Digital Frontier Press</w:t>
      </w:r>
      <w:r w:rsidRPr="004A5D9A">
        <w:rPr>
          <w:rFonts w:cstheme="minorHAnsi"/>
          <w:color w:val="000000"/>
        </w:rPr>
        <w:t>.</w:t>
      </w:r>
    </w:p>
    <w:p w14:paraId="0CF22DD4" w14:textId="106D8DCF" w:rsidR="00E33476" w:rsidRDefault="00E33476" w:rsidP="00150011">
      <w:pPr>
        <w:spacing w:before="100" w:beforeAutospacing="1" w:after="100" w:afterAutospacing="1"/>
        <w:rPr>
          <w:rFonts w:cstheme="minorHAnsi"/>
          <w:color w:val="000000"/>
        </w:rPr>
      </w:pPr>
      <w:r w:rsidRPr="004A5D9A">
        <w:rPr>
          <w:rFonts w:cstheme="minorHAnsi"/>
          <w:color w:val="000000"/>
        </w:rPr>
        <w:t xml:space="preserve">Calvino F, </w:t>
      </w:r>
      <w:proofErr w:type="spellStart"/>
      <w:r w:rsidRPr="004A5D9A">
        <w:rPr>
          <w:rFonts w:cstheme="minorHAnsi"/>
          <w:color w:val="000000"/>
        </w:rPr>
        <w:t>Criscuolo</w:t>
      </w:r>
      <w:proofErr w:type="spellEnd"/>
      <w:r w:rsidRPr="004A5D9A">
        <w:rPr>
          <w:rFonts w:cstheme="minorHAnsi"/>
          <w:color w:val="000000"/>
        </w:rPr>
        <w:t xml:space="preserve"> C and </w:t>
      </w:r>
      <w:proofErr w:type="spellStart"/>
      <w:r w:rsidRPr="004A5D9A">
        <w:rPr>
          <w:rFonts w:cstheme="minorHAnsi"/>
          <w:color w:val="000000"/>
        </w:rPr>
        <w:t>Verlhac</w:t>
      </w:r>
      <w:proofErr w:type="spellEnd"/>
      <w:r w:rsidRPr="004A5D9A">
        <w:rPr>
          <w:rFonts w:cstheme="minorHAnsi"/>
          <w:color w:val="000000"/>
        </w:rPr>
        <w:t xml:space="preserve"> R </w:t>
      </w:r>
      <w:r w:rsidR="0021283A">
        <w:rPr>
          <w:rFonts w:cstheme="minorHAnsi"/>
          <w:color w:val="000000"/>
        </w:rPr>
        <w:t>(</w:t>
      </w:r>
      <w:r w:rsidRPr="004A5D9A">
        <w:rPr>
          <w:rFonts w:cstheme="minorHAnsi"/>
          <w:color w:val="000000"/>
        </w:rPr>
        <w:t>2020</w:t>
      </w:r>
      <w:r w:rsidR="0021283A">
        <w:rPr>
          <w:rFonts w:cstheme="minorHAnsi"/>
          <w:color w:val="000000"/>
        </w:rPr>
        <w:t>) ‘</w:t>
      </w:r>
      <w:r w:rsidRPr="004A5D9A">
        <w:rPr>
          <w:rFonts w:cstheme="minorHAnsi"/>
          <w:color w:val="000000"/>
        </w:rPr>
        <w:t>Declining business dynamism: structural and policy determinants</w:t>
      </w:r>
      <w:r w:rsidR="0021283A">
        <w:rPr>
          <w:rFonts w:cstheme="minorHAnsi"/>
          <w:color w:val="000000"/>
        </w:rPr>
        <w:t>’</w:t>
      </w:r>
      <w:r w:rsidRPr="004A5D9A">
        <w:rPr>
          <w:rFonts w:cstheme="minorHAnsi"/>
          <w:color w:val="000000"/>
        </w:rPr>
        <w:t xml:space="preserve">, </w:t>
      </w:r>
      <w:r w:rsidRPr="00FC7F02">
        <w:rPr>
          <w:rFonts w:cstheme="minorHAnsi"/>
          <w:i/>
          <w:color w:val="000000"/>
        </w:rPr>
        <w:t xml:space="preserve">OECD Science, </w:t>
      </w:r>
      <w:proofErr w:type="gramStart"/>
      <w:r w:rsidRPr="00FC7F02">
        <w:rPr>
          <w:rFonts w:cstheme="minorHAnsi"/>
          <w:i/>
          <w:color w:val="000000"/>
        </w:rPr>
        <w:t>Technology</w:t>
      </w:r>
      <w:proofErr w:type="gramEnd"/>
      <w:r w:rsidRPr="00FC7F02">
        <w:rPr>
          <w:rFonts w:cstheme="minorHAnsi"/>
          <w:i/>
          <w:color w:val="000000"/>
        </w:rPr>
        <w:t xml:space="preserve"> and Innovation Policy Papers</w:t>
      </w:r>
      <w:r w:rsidRPr="004A5D9A">
        <w:rPr>
          <w:rFonts w:cstheme="minorHAnsi"/>
          <w:color w:val="000000"/>
        </w:rPr>
        <w:t>, 94.</w:t>
      </w:r>
    </w:p>
    <w:p w14:paraId="12897681" w14:textId="55E5FE56" w:rsidR="00214C5E" w:rsidRPr="00214C5E" w:rsidRDefault="00214C5E" w:rsidP="00150011">
      <w:pPr>
        <w:spacing w:before="100" w:beforeAutospacing="1" w:after="100" w:afterAutospacing="1"/>
        <w:rPr>
          <w:rFonts w:cstheme="minorHAnsi"/>
          <w:color w:val="000000"/>
        </w:rPr>
      </w:pPr>
      <w:r>
        <w:rPr>
          <w:rFonts w:cstheme="minorHAnsi"/>
          <w:color w:val="000000"/>
        </w:rPr>
        <w:lastRenderedPageBreak/>
        <w:t xml:space="preserve">Campbell S and Withers H </w:t>
      </w:r>
      <w:r w:rsidR="0021283A">
        <w:rPr>
          <w:rFonts w:cstheme="minorHAnsi"/>
          <w:color w:val="000000"/>
        </w:rPr>
        <w:t>(</w:t>
      </w:r>
      <w:r>
        <w:rPr>
          <w:rFonts w:cstheme="minorHAnsi"/>
          <w:color w:val="000000"/>
        </w:rPr>
        <w:t>2017</w:t>
      </w:r>
      <w:r w:rsidR="0021283A">
        <w:rPr>
          <w:rFonts w:cstheme="minorHAnsi"/>
          <w:color w:val="000000"/>
        </w:rPr>
        <w:t>)</w:t>
      </w:r>
      <w:r>
        <w:rPr>
          <w:rFonts w:cstheme="minorHAnsi"/>
          <w:color w:val="000000"/>
        </w:rPr>
        <w:t xml:space="preserve"> </w:t>
      </w:r>
      <w:r w:rsidR="0073321D">
        <w:rPr>
          <w:rFonts w:cstheme="minorHAnsi"/>
          <w:color w:val="000000"/>
        </w:rPr>
        <w:t>‘</w:t>
      </w:r>
      <w:r>
        <w:rPr>
          <w:rFonts w:cstheme="minorHAnsi"/>
          <w:color w:val="000000"/>
        </w:rPr>
        <w:t>Australian productivity trends and the effect of structural change</w:t>
      </w:r>
      <w:r w:rsidR="0073321D">
        <w:rPr>
          <w:rFonts w:cstheme="minorHAnsi"/>
          <w:color w:val="000000"/>
        </w:rPr>
        <w:t>’</w:t>
      </w:r>
      <w:r>
        <w:rPr>
          <w:rFonts w:cstheme="minorHAnsi"/>
          <w:color w:val="000000"/>
        </w:rPr>
        <w:t xml:space="preserve">, </w:t>
      </w:r>
      <w:r>
        <w:rPr>
          <w:rFonts w:cstheme="minorHAnsi"/>
          <w:i/>
          <w:iCs/>
          <w:color w:val="000000"/>
        </w:rPr>
        <w:t>Department of the Treasury</w:t>
      </w:r>
      <w:r>
        <w:rPr>
          <w:rFonts w:cstheme="minorHAnsi"/>
          <w:color w:val="000000"/>
        </w:rPr>
        <w:t>, &lt;</w:t>
      </w:r>
      <w:r w:rsidRPr="00214C5E">
        <w:rPr>
          <w:rFonts w:cstheme="minorHAnsi"/>
          <w:color w:val="000000"/>
        </w:rPr>
        <w:t>https://treasury.gov.au/publication/p2017-t213722c</w:t>
      </w:r>
      <w:r>
        <w:rPr>
          <w:rFonts w:cstheme="minorHAnsi"/>
          <w:color w:val="000000"/>
        </w:rPr>
        <w:t xml:space="preserve">&gt;. </w:t>
      </w:r>
    </w:p>
    <w:p w14:paraId="157F32F4" w14:textId="7D17C92D" w:rsidR="0044447A" w:rsidRPr="00DB2AF2" w:rsidRDefault="0044447A" w:rsidP="00DB2AF2">
      <w:pPr>
        <w:spacing w:before="0" w:after="0"/>
        <w:rPr>
          <w:rFonts w:cs="Calibri"/>
          <w:szCs w:val="22"/>
        </w:rPr>
      </w:pPr>
      <w:proofErr w:type="spellStart"/>
      <w:r w:rsidRPr="0044447A">
        <w:rPr>
          <w:rFonts w:cs="Calibri"/>
          <w:szCs w:val="22"/>
        </w:rPr>
        <w:t>Criscuolo</w:t>
      </w:r>
      <w:proofErr w:type="spellEnd"/>
      <w:r w:rsidR="0073321D">
        <w:rPr>
          <w:rFonts w:cs="Calibri"/>
          <w:szCs w:val="22"/>
        </w:rPr>
        <w:t xml:space="preserve"> </w:t>
      </w:r>
      <w:r w:rsidRPr="0044447A">
        <w:rPr>
          <w:rFonts w:cs="Calibri"/>
          <w:szCs w:val="22"/>
        </w:rPr>
        <w:t>C, Gal</w:t>
      </w:r>
      <w:r w:rsidR="0021283A">
        <w:rPr>
          <w:rFonts w:cs="Calibri"/>
          <w:szCs w:val="22"/>
        </w:rPr>
        <w:t xml:space="preserve"> P,</w:t>
      </w:r>
      <w:r w:rsidRPr="0044447A">
        <w:rPr>
          <w:rFonts w:cs="Calibri"/>
          <w:szCs w:val="22"/>
        </w:rPr>
        <w:t xml:space="preserve"> </w:t>
      </w:r>
      <w:proofErr w:type="spellStart"/>
      <w:r w:rsidRPr="0044447A">
        <w:rPr>
          <w:rFonts w:cs="Calibri"/>
          <w:szCs w:val="22"/>
        </w:rPr>
        <w:t>Leidecker</w:t>
      </w:r>
      <w:proofErr w:type="spellEnd"/>
      <w:r w:rsidRPr="0044447A">
        <w:rPr>
          <w:rFonts w:cs="Calibri"/>
          <w:szCs w:val="22"/>
        </w:rPr>
        <w:t> </w:t>
      </w:r>
      <w:r w:rsidR="0021283A">
        <w:rPr>
          <w:rFonts w:cs="Calibri"/>
          <w:szCs w:val="22"/>
        </w:rPr>
        <w:t xml:space="preserve">T </w:t>
      </w:r>
      <w:r w:rsidRPr="0044447A">
        <w:rPr>
          <w:rFonts w:cs="Calibri"/>
          <w:szCs w:val="22"/>
        </w:rPr>
        <w:t>and Nicoletti</w:t>
      </w:r>
      <w:r w:rsidR="0021283A">
        <w:rPr>
          <w:rFonts w:cs="Calibri"/>
          <w:szCs w:val="22"/>
        </w:rPr>
        <w:t xml:space="preserve"> G</w:t>
      </w:r>
      <w:r w:rsidRPr="0044447A">
        <w:rPr>
          <w:rFonts w:cs="Calibri"/>
          <w:szCs w:val="22"/>
        </w:rPr>
        <w:t xml:space="preserve"> </w:t>
      </w:r>
      <w:r w:rsidR="0021283A">
        <w:rPr>
          <w:rFonts w:cs="Calibri"/>
          <w:szCs w:val="22"/>
        </w:rPr>
        <w:t>(</w:t>
      </w:r>
      <w:r w:rsidRPr="0044447A">
        <w:rPr>
          <w:rFonts w:cs="Calibri"/>
          <w:szCs w:val="22"/>
        </w:rPr>
        <w:t>2021</w:t>
      </w:r>
      <w:r w:rsidR="0021283A">
        <w:rPr>
          <w:rFonts w:cs="Calibri"/>
          <w:szCs w:val="22"/>
        </w:rPr>
        <w:t>)</w:t>
      </w:r>
      <w:r w:rsidRPr="0044447A">
        <w:rPr>
          <w:rFonts w:cs="Calibri"/>
          <w:szCs w:val="22"/>
        </w:rPr>
        <w:t xml:space="preserve"> </w:t>
      </w:r>
      <w:r w:rsidR="0021283A">
        <w:rPr>
          <w:rFonts w:cs="Calibri"/>
          <w:szCs w:val="22"/>
        </w:rPr>
        <w:t>‘</w:t>
      </w:r>
      <w:r w:rsidRPr="0044447A">
        <w:rPr>
          <w:rFonts w:cs="Calibri"/>
          <w:szCs w:val="22"/>
        </w:rPr>
        <w:t>The human side of productivity: Uncovering the role of skills and diversity for firm productivity</w:t>
      </w:r>
      <w:r w:rsidR="0021283A">
        <w:rPr>
          <w:rFonts w:cs="Calibri"/>
          <w:szCs w:val="22"/>
        </w:rPr>
        <w:t>’</w:t>
      </w:r>
      <w:r w:rsidRPr="0044447A">
        <w:rPr>
          <w:rFonts w:cs="Calibri"/>
          <w:szCs w:val="22"/>
        </w:rPr>
        <w:t>, </w:t>
      </w:r>
      <w:r w:rsidRPr="0044447A">
        <w:rPr>
          <w:rFonts w:cs="Calibri"/>
          <w:i/>
          <w:iCs/>
          <w:szCs w:val="22"/>
        </w:rPr>
        <w:t>OECD Productivity Working Papers</w:t>
      </w:r>
      <w:r w:rsidRPr="0044447A">
        <w:rPr>
          <w:rFonts w:cs="Calibri"/>
          <w:szCs w:val="22"/>
        </w:rPr>
        <w:t>, 29, OECD Publishing, Paris.</w:t>
      </w:r>
    </w:p>
    <w:p w14:paraId="1EF9837B" w14:textId="1CDBD240" w:rsidR="00E33476" w:rsidRPr="004A5D9A" w:rsidRDefault="00F23ED7" w:rsidP="00150011">
      <w:pPr>
        <w:spacing w:before="100" w:beforeAutospacing="1" w:after="100" w:afterAutospacing="1"/>
        <w:rPr>
          <w:rFonts w:cstheme="minorHAnsi"/>
          <w:color w:val="000000"/>
        </w:rPr>
      </w:pPr>
      <w:r>
        <w:rPr>
          <w:rFonts w:cstheme="minorHAnsi"/>
          <w:color w:val="000000"/>
        </w:rPr>
        <w:t>DISER</w:t>
      </w:r>
      <w:r w:rsidR="006B6E8D">
        <w:rPr>
          <w:rFonts w:cstheme="minorHAnsi"/>
          <w:color w:val="000000"/>
        </w:rPr>
        <w:t xml:space="preserve"> (</w:t>
      </w:r>
      <w:r w:rsidR="00E33476" w:rsidRPr="004A5D9A">
        <w:rPr>
          <w:rFonts w:cstheme="minorHAnsi"/>
          <w:color w:val="000000"/>
        </w:rPr>
        <w:t>Department of Industry, Science, Energy and Resources</w:t>
      </w:r>
      <w:r w:rsidR="006B6E8D">
        <w:rPr>
          <w:rFonts w:cstheme="minorHAnsi"/>
          <w:color w:val="000000"/>
        </w:rPr>
        <w:t>)</w:t>
      </w:r>
      <w:r w:rsidR="00E33476" w:rsidRPr="004A5D9A">
        <w:rPr>
          <w:rFonts w:cstheme="minorHAnsi"/>
          <w:color w:val="000000"/>
        </w:rPr>
        <w:t xml:space="preserve"> </w:t>
      </w:r>
      <w:r w:rsidR="0021283A">
        <w:rPr>
          <w:rFonts w:cstheme="minorHAnsi"/>
          <w:color w:val="000000"/>
        </w:rPr>
        <w:t>(</w:t>
      </w:r>
      <w:r w:rsidR="00E33476" w:rsidRPr="004A5D9A">
        <w:rPr>
          <w:rFonts w:cstheme="minorHAnsi"/>
          <w:color w:val="000000"/>
        </w:rPr>
        <w:t>2021</w:t>
      </w:r>
      <w:r w:rsidR="0021283A">
        <w:rPr>
          <w:rFonts w:cstheme="minorHAnsi"/>
          <w:color w:val="000000"/>
        </w:rPr>
        <w:t>)</w:t>
      </w:r>
      <w:r w:rsidR="00E33476" w:rsidRPr="004A5D9A">
        <w:rPr>
          <w:rFonts w:cstheme="minorHAnsi"/>
          <w:color w:val="000000"/>
        </w:rPr>
        <w:t xml:space="preserve"> </w:t>
      </w:r>
      <w:r w:rsidR="0021283A">
        <w:rPr>
          <w:rFonts w:cstheme="minorHAnsi"/>
          <w:color w:val="000000"/>
        </w:rPr>
        <w:t>‘</w:t>
      </w:r>
      <w:r w:rsidR="00E33476" w:rsidRPr="004A5D9A">
        <w:rPr>
          <w:rFonts w:cstheme="minorHAnsi"/>
          <w:color w:val="000000"/>
        </w:rPr>
        <w:t>Australian Innovation System Monitor</w:t>
      </w:r>
      <w:r w:rsidR="0021283A">
        <w:rPr>
          <w:rFonts w:cstheme="minorHAnsi"/>
          <w:color w:val="000000"/>
        </w:rPr>
        <w:t>’</w:t>
      </w:r>
      <w:r w:rsidR="00E33476" w:rsidRPr="004A5D9A">
        <w:rPr>
          <w:rFonts w:cstheme="minorHAnsi"/>
          <w:color w:val="000000"/>
        </w:rPr>
        <w:t>, Australian Government, viewed 25 October 2021 &lt;</w:t>
      </w:r>
      <w:hyperlink r:id="rId38" w:history="1">
        <w:r w:rsidR="00E33476" w:rsidRPr="00962A35">
          <w:rPr>
            <w:rStyle w:val="Hyperlink"/>
            <w:rFonts w:cstheme="minorHAnsi"/>
          </w:rPr>
          <w:t>www.industry.gov.au/aismonitor</w:t>
        </w:r>
      </w:hyperlink>
      <w:r w:rsidR="00E33476" w:rsidRPr="004A5D9A">
        <w:rPr>
          <w:rFonts w:cstheme="minorHAnsi"/>
          <w:color w:val="000000"/>
        </w:rPr>
        <w:t>&gt;.</w:t>
      </w:r>
    </w:p>
    <w:p w14:paraId="6535B64F" w14:textId="381D9673" w:rsidR="00E33476" w:rsidRDefault="00E33476" w:rsidP="00150011">
      <w:pPr>
        <w:spacing w:before="100" w:beforeAutospacing="1" w:after="100" w:afterAutospacing="1"/>
        <w:rPr>
          <w:rFonts w:cstheme="minorHAnsi"/>
          <w:color w:val="000000"/>
        </w:rPr>
      </w:pPr>
      <w:r w:rsidRPr="004A5D9A">
        <w:rPr>
          <w:rFonts w:cstheme="minorHAnsi"/>
          <w:color w:val="000000"/>
        </w:rPr>
        <w:t xml:space="preserve">Department of the Treasury </w:t>
      </w:r>
      <w:r w:rsidR="0021283A">
        <w:rPr>
          <w:rFonts w:cstheme="minorHAnsi"/>
          <w:color w:val="000000"/>
        </w:rPr>
        <w:t>(</w:t>
      </w:r>
      <w:r w:rsidRPr="004A5D9A">
        <w:rPr>
          <w:rFonts w:cstheme="minorHAnsi"/>
          <w:color w:val="000000"/>
        </w:rPr>
        <w:t>2021</w:t>
      </w:r>
      <w:r w:rsidR="0021283A">
        <w:rPr>
          <w:rFonts w:cstheme="minorHAnsi"/>
          <w:color w:val="000000"/>
        </w:rPr>
        <w:t>)</w:t>
      </w:r>
      <w:r w:rsidRPr="004A5D9A">
        <w:rPr>
          <w:rFonts w:cstheme="minorHAnsi"/>
          <w:color w:val="000000"/>
        </w:rPr>
        <w:t xml:space="preserve"> </w:t>
      </w:r>
      <w:r w:rsidR="0021283A">
        <w:rPr>
          <w:rFonts w:cstheme="minorHAnsi"/>
          <w:color w:val="000000"/>
        </w:rPr>
        <w:t>‘</w:t>
      </w:r>
      <w:r w:rsidRPr="004A5D9A">
        <w:rPr>
          <w:rFonts w:cstheme="minorHAnsi"/>
          <w:color w:val="000000"/>
        </w:rPr>
        <w:t>2021 Intergenerational Report</w:t>
      </w:r>
      <w:r w:rsidR="0021283A">
        <w:rPr>
          <w:rFonts w:cstheme="minorHAnsi"/>
          <w:color w:val="000000"/>
        </w:rPr>
        <w:t>’</w:t>
      </w:r>
      <w:r w:rsidRPr="004A5D9A">
        <w:rPr>
          <w:rFonts w:cstheme="minorHAnsi"/>
          <w:color w:val="000000"/>
        </w:rPr>
        <w:t>, Australian Government, viewed 22 October 2021, &lt;</w:t>
      </w:r>
      <w:hyperlink r:id="rId39" w:history="1">
        <w:r w:rsidRPr="000C445F">
          <w:rPr>
            <w:rStyle w:val="Hyperlink"/>
            <w:rFonts w:cstheme="minorHAnsi"/>
          </w:rPr>
          <w:t>https://treasury.gov.au/publication/2021</w:t>
        </w:r>
        <w:r w:rsidR="002B75D0">
          <w:rPr>
            <w:rStyle w:val="Hyperlink"/>
            <w:rFonts w:cstheme="minorHAnsi"/>
          </w:rPr>
          <w:noBreakHyphen/>
        </w:r>
        <w:r w:rsidRPr="000C445F">
          <w:rPr>
            <w:rStyle w:val="Hyperlink"/>
            <w:rFonts w:cstheme="minorHAnsi"/>
          </w:rPr>
          <w:t>intergenerational</w:t>
        </w:r>
        <w:r w:rsidR="002B75D0">
          <w:rPr>
            <w:rStyle w:val="Hyperlink"/>
            <w:rFonts w:cstheme="minorHAnsi"/>
          </w:rPr>
          <w:noBreakHyphen/>
        </w:r>
        <w:r w:rsidRPr="000C445F">
          <w:rPr>
            <w:rStyle w:val="Hyperlink"/>
            <w:rFonts w:cstheme="minorHAnsi"/>
          </w:rPr>
          <w:t>report</w:t>
        </w:r>
      </w:hyperlink>
      <w:r w:rsidRPr="004A5D9A">
        <w:rPr>
          <w:rFonts w:cstheme="minorHAnsi"/>
          <w:color w:val="000000"/>
        </w:rPr>
        <w:t>&gt;.</w:t>
      </w:r>
    </w:p>
    <w:p w14:paraId="589FF07B" w14:textId="52C35D82" w:rsidR="00E33476" w:rsidRPr="00AB619B" w:rsidRDefault="00E33476" w:rsidP="00150011">
      <w:pPr>
        <w:spacing w:before="100" w:beforeAutospacing="1" w:after="100" w:afterAutospacing="1"/>
        <w:rPr>
          <w:rFonts w:cstheme="minorHAnsi"/>
          <w:color w:val="000000"/>
        </w:rPr>
      </w:pPr>
      <w:r>
        <w:rPr>
          <w:rFonts w:cstheme="minorHAnsi"/>
          <w:color w:val="000000"/>
        </w:rPr>
        <w:t xml:space="preserve">Department of the Treasury (20 June 2019) </w:t>
      </w:r>
      <w:hyperlink r:id="rId40" w:history="1">
        <w:r w:rsidRPr="00AB619B">
          <w:rPr>
            <w:rStyle w:val="Hyperlink"/>
            <w:rFonts w:cstheme="minorHAnsi"/>
            <w:i/>
          </w:rPr>
          <w:t>Keeping pace with technological change: the role of capabilities and dynamism</w:t>
        </w:r>
      </w:hyperlink>
      <w:r>
        <w:rPr>
          <w:rFonts w:cstheme="minorHAnsi"/>
          <w:color w:val="000000"/>
        </w:rPr>
        <w:t xml:space="preserve"> [media release], Department of the Treasury, accessed 10 July 2022</w:t>
      </w:r>
      <w:r w:rsidR="0021283A">
        <w:rPr>
          <w:rFonts w:cstheme="minorHAnsi"/>
          <w:color w:val="000000"/>
        </w:rPr>
        <w:t>.</w:t>
      </w:r>
      <w:r>
        <w:rPr>
          <w:rFonts w:cstheme="minorHAnsi"/>
          <w:i/>
          <w:iCs/>
          <w:color w:val="000000"/>
        </w:rPr>
        <w:t xml:space="preserve"> </w:t>
      </w:r>
    </w:p>
    <w:p w14:paraId="76A97B68" w14:textId="5404EA09" w:rsidR="0007133E" w:rsidRDefault="0007133E" w:rsidP="00150011">
      <w:pPr>
        <w:spacing w:before="100" w:beforeAutospacing="1" w:after="100" w:afterAutospacing="1"/>
        <w:rPr>
          <w:rFonts w:cstheme="minorHAnsi"/>
          <w:color w:val="000000"/>
        </w:rPr>
      </w:pPr>
      <w:r w:rsidRPr="00DB2AF2">
        <w:rPr>
          <w:rFonts w:cstheme="minorHAnsi"/>
          <w:color w:val="000000"/>
        </w:rPr>
        <w:t xml:space="preserve">Deutscher N </w:t>
      </w:r>
      <w:r w:rsidR="0021283A">
        <w:rPr>
          <w:rFonts w:cstheme="minorHAnsi"/>
          <w:color w:val="000000"/>
        </w:rPr>
        <w:t>(</w:t>
      </w:r>
      <w:r w:rsidRPr="00DB2AF2">
        <w:rPr>
          <w:rFonts w:cstheme="minorHAnsi"/>
          <w:color w:val="000000"/>
        </w:rPr>
        <w:t xml:space="preserve">2019 </w:t>
      </w:r>
      <w:r w:rsidR="0021283A">
        <w:rPr>
          <w:rFonts w:cstheme="minorHAnsi"/>
          <w:color w:val="000000"/>
        </w:rPr>
        <w:t>‘</w:t>
      </w:r>
      <w:r w:rsidRPr="00DB2AF2">
        <w:rPr>
          <w:rFonts w:cstheme="minorHAnsi"/>
          <w:color w:val="000000"/>
        </w:rPr>
        <w:t>Job</w:t>
      </w:r>
      <w:r w:rsidR="002B75D0">
        <w:rPr>
          <w:rFonts w:cstheme="minorHAnsi"/>
          <w:color w:val="000000"/>
        </w:rPr>
        <w:noBreakHyphen/>
      </w:r>
      <w:r w:rsidRPr="00DB2AF2">
        <w:rPr>
          <w:rFonts w:cstheme="minorHAnsi"/>
          <w:color w:val="000000"/>
        </w:rPr>
        <w:t>to</w:t>
      </w:r>
      <w:r w:rsidR="002B75D0">
        <w:rPr>
          <w:rFonts w:cstheme="minorHAnsi"/>
          <w:color w:val="000000"/>
        </w:rPr>
        <w:noBreakHyphen/>
      </w:r>
      <w:r w:rsidRPr="00DB2AF2">
        <w:rPr>
          <w:rFonts w:cstheme="minorHAnsi"/>
          <w:color w:val="000000"/>
        </w:rPr>
        <w:t>Job transitions and the wages of Australian workers</w:t>
      </w:r>
      <w:r w:rsidR="0021283A">
        <w:rPr>
          <w:rFonts w:cstheme="minorHAnsi"/>
          <w:color w:val="000000"/>
        </w:rPr>
        <w:t>’</w:t>
      </w:r>
      <w:r w:rsidRPr="00DB2AF2">
        <w:rPr>
          <w:rFonts w:cstheme="minorHAnsi"/>
          <w:color w:val="000000"/>
        </w:rPr>
        <w:t xml:space="preserve">, </w:t>
      </w:r>
      <w:r w:rsidRPr="00FC7F02">
        <w:rPr>
          <w:rFonts w:cstheme="minorHAnsi"/>
          <w:i/>
          <w:color w:val="000000"/>
        </w:rPr>
        <w:t>Treasury Working Paper</w:t>
      </w:r>
      <w:r w:rsidRPr="00DB2AF2">
        <w:rPr>
          <w:rFonts w:cstheme="minorHAnsi"/>
          <w:color w:val="000000"/>
        </w:rPr>
        <w:t>.</w:t>
      </w:r>
    </w:p>
    <w:p w14:paraId="3EF7E20E" w14:textId="29F06BE2" w:rsidR="0044447A" w:rsidRPr="00DB2AF2" w:rsidRDefault="0044447A" w:rsidP="00DB2AF2">
      <w:pPr>
        <w:spacing w:before="0" w:after="0"/>
        <w:rPr>
          <w:rFonts w:cs="Calibri"/>
          <w:szCs w:val="22"/>
        </w:rPr>
      </w:pPr>
      <w:proofErr w:type="spellStart"/>
      <w:r w:rsidRPr="0044447A">
        <w:rPr>
          <w:rFonts w:cs="Calibri"/>
          <w:szCs w:val="22"/>
        </w:rPr>
        <w:t>Égert</w:t>
      </w:r>
      <w:proofErr w:type="spellEnd"/>
      <w:r w:rsidRPr="0044447A">
        <w:rPr>
          <w:rFonts w:cs="Calibri"/>
          <w:szCs w:val="22"/>
        </w:rPr>
        <w:t xml:space="preserve"> B and Turner</w:t>
      </w:r>
      <w:r w:rsidR="0021283A">
        <w:rPr>
          <w:rFonts w:cs="Calibri"/>
          <w:szCs w:val="22"/>
        </w:rPr>
        <w:t xml:space="preserve"> D</w:t>
      </w:r>
      <w:r w:rsidRPr="0044447A">
        <w:rPr>
          <w:rFonts w:cs="Calibri"/>
          <w:szCs w:val="22"/>
        </w:rPr>
        <w:t xml:space="preserve"> </w:t>
      </w:r>
      <w:r w:rsidR="0021283A">
        <w:rPr>
          <w:rFonts w:cs="Calibri"/>
          <w:szCs w:val="22"/>
        </w:rPr>
        <w:t>(</w:t>
      </w:r>
      <w:r w:rsidRPr="0044447A">
        <w:rPr>
          <w:rFonts w:cs="Calibri"/>
          <w:szCs w:val="22"/>
        </w:rPr>
        <w:t>2022</w:t>
      </w:r>
      <w:r w:rsidR="0021283A">
        <w:rPr>
          <w:rFonts w:cs="Calibri"/>
          <w:szCs w:val="22"/>
        </w:rPr>
        <w:t>)</w:t>
      </w:r>
      <w:r w:rsidRPr="0044447A">
        <w:rPr>
          <w:rFonts w:cs="Calibri"/>
          <w:szCs w:val="22"/>
        </w:rPr>
        <w:t xml:space="preserve"> </w:t>
      </w:r>
      <w:r w:rsidR="0021283A">
        <w:rPr>
          <w:rFonts w:cs="Calibri"/>
          <w:szCs w:val="22"/>
        </w:rPr>
        <w:t>‘</w:t>
      </w:r>
      <w:r w:rsidRPr="0044447A">
        <w:rPr>
          <w:rFonts w:cs="Calibri"/>
          <w:szCs w:val="22"/>
        </w:rPr>
        <w:t>A new macroeconomic measure of human capital exploiting PISA and PIAAC: Linking education policies to productivity</w:t>
      </w:r>
      <w:r w:rsidR="0021283A">
        <w:rPr>
          <w:rFonts w:cs="Calibri"/>
          <w:szCs w:val="22"/>
        </w:rPr>
        <w:t>’</w:t>
      </w:r>
      <w:r w:rsidRPr="0044447A">
        <w:rPr>
          <w:rFonts w:cs="Calibri"/>
          <w:szCs w:val="22"/>
        </w:rPr>
        <w:t>, </w:t>
      </w:r>
      <w:r w:rsidRPr="0044447A">
        <w:rPr>
          <w:rFonts w:cs="Calibri"/>
          <w:i/>
          <w:iCs/>
          <w:szCs w:val="22"/>
        </w:rPr>
        <w:t>OECD Economics Department Working Papers</w:t>
      </w:r>
      <w:r w:rsidRPr="0044447A">
        <w:rPr>
          <w:rFonts w:cs="Calibri"/>
          <w:szCs w:val="22"/>
        </w:rPr>
        <w:t>, 1709, OECD Publishing, Paris.</w:t>
      </w:r>
    </w:p>
    <w:p w14:paraId="0AD97B39" w14:textId="3324932C" w:rsidR="00E33476" w:rsidRPr="004A5D9A" w:rsidRDefault="00E33476" w:rsidP="00150011">
      <w:pPr>
        <w:spacing w:before="100" w:beforeAutospacing="1" w:after="100" w:afterAutospacing="1"/>
        <w:rPr>
          <w:rFonts w:cstheme="minorHAnsi"/>
          <w:color w:val="000000"/>
        </w:rPr>
      </w:pPr>
      <w:proofErr w:type="spellStart"/>
      <w:r w:rsidRPr="003A5184">
        <w:rPr>
          <w:rFonts w:cstheme="minorHAnsi"/>
          <w:color w:val="000000"/>
        </w:rPr>
        <w:t>Feenstra</w:t>
      </w:r>
      <w:proofErr w:type="spellEnd"/>
      <w:r w:rsidRPr="003A5184">
        <w:rPr>
          <w:rFonts w:cstheme="minorHAnsi"/>
          <w:color w:val="000000"/>
        </w:rPr>
        <w:t xml:space="preserve"> RC, </w:t>
      </w:r>
      <w:proofErr w:type="spellStart"/>
      <w:r w:rsidRPr="003A5184">
        <w:rPr>
          <w:rFonts w:cstheme="minorHAnsi"/>
          <w:color w:val="000000"/>
        </w:rPr>
        <w:t>Inklaar</w:t>
      </w:r>
      <w:proofErr w:type="spellEnd"/>
      <w:r w:rsidRPr="003A5184">
        <w:rPr>
          <w:rFonts w:cstheme="minorHAnsi"/>
          <w:color w:val="000000"/>
        </w:rPr>
        <w:t xml:space="preserve"> </w:t>
      </w:r>
      <w:r w:rsidR="002E4DAA">
        <w:rPr>
          <w:rFonts w:cstheme="minorHAnsi"/>
          <w:color w:val="000000"/>
        </w:rPr>
        <w:t>R</w:t>
      </w:r>
      <w:r w:rsidRPr="003A5184">
        <w:rPr>
          <w:rFonts w:cstheme="minorHAnsi"/>
          <w:color w:val="000000"/>
        </w:rPr>
        <w:t xml:space="preserve"> and Timmer</w:t>
      </w:r>
      <w:r w:rsidR="002E4DAA">
        <w:rPr>
          <w:rFonts w:cstheme="minorHAnsi"/>
          <w:color w:val="000000"/>
        </w:rPr>
        <w:t xml:space="preserve"> MP</w:t>
      </w:r>
      <w:r w:rsidRPr="003A5184">
        <w:rPr>
          <w:rFonts w:cstheme="minorHAnsi"/>
          <w:color w:val="000000"/>
        </w:rPr>
        <w:t xml:space="preserve"> </w:t>
      </w:r>
      <w:r w:rsidR="002E4DAA">
        <w:rPr>
          <w:rFonts w:cstheme="minorHAnsi"/>
          <w:color w:val="000000"/>
        </w:rPr>
        <w:t>(</w:t>
      </w:r>
      <w:r w:rsidRPr="003A5184">
        <w:rPr>
          <w:rFonts w:cstheme="minorHAnsi"/>
          <w:color w:val="000000"/>
        </w:rPr>
        <w:t>2015</w:t>
      </w:r>
      <w:r w:rsidR="002E4DAA">
        <w:rPr>
          <w:rFonts w:cstheme="minorHAnsi"/>
          <w:color w:val="000000"/>
        </w:rPr>
        <w:t>)</w:t>
      </w:r>
      <w:r w:rsidRPr="003A5184">
        <w:rPr>
          <w:rFonts w:cstheme="minorHAnsi"/>
          <w:color w:val="000000"/>
        </w:rPr>
        <w:t xml:space="preserve"> </w:t>
      </w:r>
      <w:r w:rsidR="002E4DAA">
        <w:rPr>
          <w:rFonts w:cstheme="minorHAnsi"/>
          <w:color w:val="000000"/>
        </w:rPr>
        <w:t>‘</w:t>
      </w:r>
      <w:r w:rsidRPr="003A5184">
        <w:rPr>
          <w:rFonts w:cstheme="minorHAnsi"/>
          <w:color w:val="000000"/>
        </w:rPr>
        <w:t>The Next Generation of the Penn World Table</w:t>
      </w:r>
      <w:r w:rsidR="002E4DAA">
        <w:rPr>
          <w:rFonts w:cstheme="minorHAnsi"/>
          <w:color w:val="000000"/>
        </w:rPr>
        <w:t>’</w:t>
      </w:r>
      <w:r w:rsidRPr="003A5184">
        <w:rPr>
          <w:rFonts w:cstheme="minorHAnsi"/>
          <w:color w:val="000000"/>
        </w:rPr>
        <w:t xml:space="preserve"> </w:t>
      </w:r>
      <w:r w:rsidRPr="00FC7F02">
        <w:rPr>
          <w:rFonts w:cstheme="minorHAnsi"/>
          <w:i/>
          <w:color w:val="000000"/>
        </w:rPr>
        <w:t>American Economic Review</w:t>
      </w:r>
      <w:r w:rsidRPr="003A5184">
        <w:rPr>
          <w:rFonts w:cstheme="minorHAnsi"/>
          <w:color w:val="000000"/>
        </w:rPr>
        <w:t>, 105(10)</w:t>
      </w:r>
      <w:r w:rsidR="002E4DAA">
        <w:rPr>
          <w:rFonts w:cstheme="minorHAnsi"/>
          <w:color w:val="000000"/>
        </w:rPr>
        <w:t>:</w:t>
      </w:r>
      <w:r w:rsidRPr="003A5184">
        <w:rPr>
          <w:rFonts w:cstheme="minorHAnsi"/>
          <w:color w:val="000000"/>
        </w:rPr>
        <w:t xml:space="preserve"> 3150</w:t>
      </w:r>
      <w:r w:rsidR="002B75D0">
        <w:rPr>
          <w:rFonts w:cstheme="minorHAnsi"/>
          <w:color w:val="000000"/>
        </w:rPr>
        <w:noBreakHyphen/>
      </w:r>
      <w:r w:rsidRPr="003A5184">
        <w:rPr>
          <w:rFonts w:cstheme="minorHAnsi"/>
          <w:color w:val="000000"/>
        </w:rPr>
        <w:t xml:space="preserve">3182, available for download at </w:t>
      </w:r>
      <w:r w:rsidR="002E4DAA">
        <w:rPr>
          <w:rFonts w:cstheme="minorHAnsi"/>
          <w:color w:val="000000"/>
        </w:rPr>
        <w:t>&lt;</w:t>
      </w:r>
      <w:hyperlink r:id="rId41" w:history="1">
        <w:r w:rsidR="002E4DAA" w:rsidRPr="00277201">
          <w:rPr>
            <w:rStyle w:val="Hyperlink"/>
            <w:rFonts w:cstheme="minorHAnsi"/>
          </w:rPr>
          <w:t>www.ggdc.net/pwt</w:t>
        </w:r>
      </w:hyperlink>
      <w:r w:rsidR="002E4DAA">
        <w:rPr>
          <w:rFonts w:cstheme="minorHAnsi"/>
        </w:rPr>
        <w:t>&gt;</w:t>
      </w:r>
      <w:r w:rsidR="002E4DAA" w:rsidRPr="00FC7F02">
        <w:rPr>
          <w:color w:val="000000"/>
        </w:rPr>
        <w:t>.</w:t>
      </w:r>
    </w:p>
    <w:p w14:paraId="5458F9B2" w14:textId="1AF7FC89" w:rsidR="00E33476" w:rsidRPr="004A5D9A" w:rsidRDefault="00E33476" w:rsidP="00150011">
      <w:pPr>
        <w:spacing w:before="100" w:beforeAutospacing="1" w:after="100" w:afterAutospacing="1"/>
        <w:rPr>
          <w:rFonts w:cstheme="minorHAnsi"/>
          <w:color w:val="000000"/>
        </w:rPr>
      </w:pPr>
      <w:r w:rsidRPr="004A5D9A">
        <w:rPr>
          <w:rFonts w:cstheme="minorHAnsi"/>
          <w:color w:val="000000"/>
        </w:rPr>
        <w:t xml:space="preserve">Goldin I, </w:t>
      </w:r>
      <w:proofErr w:type="spellStart"/>
      <w:r w:rsidRPr="004A5D9A">
        <w:rPr>
          <w:rFonts w:cstheme="minorHAnsi"/>
          <w:color w:val="000000"/>
        </w:rPr>
        <w:t>Koutroumpis</w:t>
      </w:r>
      <w:proofErr w:type="spellEnd"/>
      <w:r w:rsidRPr="004A5D9A">
        <w:rPr>
          <w:rFonts w:cstheme="minorHAnsi"/>
          <w:color w:val="000000"/>
        </w:rPr>
        <w:t xml:space="preserve"> P, Lafond F and Winkler J </w:t>
      </w:r>
      <w:r w:rsidR="002E4DAA">
        <w:rPr>
          <w:rFonts w:cstheme="minorHAnsi"/>
          <w:color w:val="000000"/>
        </w:rPr>
        <w:t>(</w:t>
      </w:r>
      <w:r w:rsidRPr="004A5D9A">
        <w:rPr>
          <w:rFonts w:cstheme="minorHAnsi"/>
          <w:color w:val="000000"/>
        </w:rPr>
        <w:t>2021</w:t>
      </w:r>
      <w:r w:rsidR="002E4DAA">
        <w:rPr>
          <w:rFonts w:cstheme="minorHAnsi"/>
          <w:color w:val="000000"/>
        </w:rPr>
        <w:t>)</w:t>
      </w:r>
      <w:r w:rsidRPr="004A5D9A">
        <w:rPr>
          <w:rFonts w:cstheme="minorHAnsi"/>
          <w:color w:val="000000"/>
        </w:rPr>
        <w:t xml:space="preserve"> </w:t>
      </w:r>
      <w:r w:rsidR="002E4DAA">
        <w:rPr>
          <w:rFonts w:cstheme="minorHAnsi"/>
          <w:color w:val="000000"/>
        </w:rPr>
        <w:t>‘</w:t>
      </w:r>
      <w:r w:rsidRPr="004A5D9A">
        <w:rPr>
          <w:rFonts w:cstheme="minorHAnsi"/>
          <w:color w:val="000000"/>
        </w:rPr>
        <w:t>Why is productivity slowing down?</w:t>
      </w:r>
      <w:r w:rsidR="002E4DAA">
        <w:rPr>
          <w:rFonts w:cstheme="minorHAnsi"/>
          <w:color w:val="000000"/>
        </w:rPr>
        <w:t>’</w:t>
      </w:r>
      <w:r w:rsidRPr="004A5D9A">
        <w:rPr>
          <w:rFonts w:cstheme="minorHAnsi"/>
          <w:color w:val="000000"/>
        </w:rPr>
        <w:t xml:space="preserve">, </w:t>
      </w:r>
      <w:r w:rsidRPr="00FC7F02">
        <w:rPr>
          <w:rFonts w:cstheme="minorHAnsi"/>
          <w:i/>
          <w:color w:val="000000"/>
        </w:rPr>
        <w:t>Oxford Martin Working Paper Series on Economic and Technological Change</w:t>
      </w:r>
      <w:r w:rsidRPr="004A5D9A">
        <w:rPr>
          <w:rFonts w:cstheme="minorHAnsi"/>
          <w:color w:val="000000"/>
        </w:rPr>
        <w:t>.</w:t>
      </w:r>
    </w:p>
    <w:p w14:paraId="74700025" w14:textId="2AB964C3" w:rsidR="00E33476" w:rsidRPr="004A5D9A" w:rsidRDefault="00E33476" w:rsidP="00150011">
      <w:pPr>
        <w:spacing w:before="100" w:beforeAutospacing="1" w:after="100" w:afterAutospacing="1"/>
        <w:rPr>
          <w:rFonts w:cstheme="minorHAnsi"/>
          <w:color w:val="000000"/>
        </w:rPr>
      </w:pPr>
      <w:r w:rsidRPr="004A5D9A">
        <w:rPr>
          <w:rFonts w:cstheme="minorHAnsi"/>
          <w:color w:val="000000"/>
        </w:rPr>
        <w:t xml:space="preserve">Gordon RJ </w:t>
      </w:r>
      <w:r w:rsidR="002E4DAA">
        <w:rPr>
          <w:rFonts w:cstheme="minorHAnsi"/>
          <w:color w:val="000000"/>
        </w:rPr>
        <w:t>(</w:t>
      </w:r>
      <w:r w:rsidRPr="004A5D9A">
        <w:rPr>
          <w:rFonts w:cstheme="minorHAnsi"/>
          <w:color w:val="000000"/>
        </w:rPr>
        <w:t>2012</w:t>
      </w:r>
      <w:r w:rsidR="002E4DAA">
        <w:rPr>
          <w:rFonts w:cstheme="minorHAnsi"/>
          <w:color w:val="000000"/>
        </w:rPr>
        <w:t>)</w:t>
      </w:r>
      <w:r w:rsidRPr="004A5D9A">
        <w:rPr>
          <w:rFonts w:cstheme="minorHAnsi"/>
          <w:color w:val="000000"/>
        </w:rPr>
        <w:t xml:space="preserve"> </w:t>
      </w:r>
      <w:r w:rsidR="002E4DAA">
        <w:rPr>
          <w:rFonts w:cstheme="minorHAnsi"/>
          <w:color w:val="000000"/>
        </w:rPr>
        <w:t>‘</w:t>
      </w:r>
      <w:r w:rsidRPr="004A5D9A">
        <w:rPr>
          <w:rFonts w:cstheme="minorHAnsi"/>
          <w:color w:val="000000"/>
        </w:rPr>
        <w:t>Is US Economic Growth Over? Faltering Innovation Confronts Six Headwinds</w:t>
      </w:r>
      <w:r w:rsidR="002E4DAA">
        <w:rPr>
          <w:rFonts w:cstheme="minorHAnsi"/>
          <w:color w:val="000000"/>
        </w:rPr>
        <w:t>’</w:t>
      </w:r>
      <w:r w:rsidRPr="004A5D9A">
        <w:rPr>
          <w:rFonts w:cstheme="minorHAnsi"/>
          <w:color w:val="000000"/>
        </w:rPr>
        <w:t xml:space="preserve">, </w:t>
      </w:r>
      <w:r w:rsidRPr="00FC7F02">
        <w:rPr>
          <w:rFonts w:cstheme="minorHAnsi"/>
          <w:i/>
          <w:color w:val="000000"/>
        </w:rPr>
        <w:t>NBER Working Paper</w:t>
      </w:r>
      <w:r w:rsidRPr="004A5D9A">
        <w:rPr>
          <w:rFonts w:cstheme="minorHAnsi"/>
          <w:color w:val="000000"/>
        </w:rPr>
        <w:t xml:space="preserve"> 18315.</w:t>
      </w:r>
    </w:p>
    <w:p w14:paraId="07C28D85" w14:textId="5E7DA30D" w:rsidR="00E33476" w:rsidRDefault="00E33476">
      <w:pPr>
        <w:spacing w:before="100" w:beforeAutospacing="1" w:after="100" w:afterAutospacing="1"/>
        <w:rPr>
          <w:rFonts w:cstheme="minorHAnsi"/>
          <w:color w:val="000000"/>
        </w:rPr>
      </w:pPr>
      <w:r w:rsidRPr="004A5D9A">
        <w:rPr>
          <w:rFonts w:cstheme="minorHAnsi"/>
          <w:color w:val="000000"/>
        </w:rPr>
        <w:t xml:space="preserve">Hambur J </w:t>
      </w:r>
      <w:r w:rsidR="002E4DAA">
        <w:rPr>
          <w:rFonts w:cstheme="minorHAnsi"/>
          <w:color w:val="000000"/>
        </w:rPr>
        <w:t>(</w:t>
      </w:r>
      <w:r w:rsidRPr="004A5D9A">
        <w:rPr>
          <w:rFonts w:cstheme="minorHAnsi"/>
          <w:color w:val="000000"/>
        </w:rPr>
        <w:t>2021</w:t>
      </w:r>
      <w:r w:rsidR="002E4DAA">
        <w:rPr>
          <w:rFonts w:cstheme="minorHAnsi"/>
          <w:color w:val="000000"/>
        </w:rPr>
        <w:t>)</w:t>
      </w:r>
      <w:r w:rsidRPr="004A5D9A">
        <w:rPr>
          <w:rFonts w:cstheme="minorHAnsi"/>
          <w:color w:val="000000"/>
        </w:rPr>
        <w:t xml:space="preserve"> </w:t>
      </w:r>
      <w:r w:rsidR="002E4DAA">
        <w:rPr>
          <w:rFonts w:cstheme="minorHAnsi"/>
          <w:color w:val="000000"/>
        </w:rPr>
        <w:t>‘</w:t>
      </w:r>
      <w:r w:rsidRPr="004A5D9A">
        <w:rPr>
          <w:rFonts w:cstheme="minorHAnsi"/>
          <w:color w:val="000000"/>
        </w:rPr>
        <w:t>Product Market Power and its Implications for the Australian Economy</w:t>
      </w:r>
      <w:r w:rsidR="002E4DAA">
        <w:rPr>
          <w:rFonts w:cstheme="minorHAnsi"/>
          <w:color w:val="000000"/>
        </w:rPr>
        <w:t>’</w:t>
      </w:r>
      <w:r w:rsidRPr="004A5D9A">
        <w:rPr>
          <w:rFonts w:cstheme="minorHAnsi"/>
          <w:color w:val="000000"/>
        </w:rPr>
        <w:t xml:space="preserve">, </w:t>
      </w:r>
      <w:r w:rsidRPr="00FC7F02">
        <w:rPr>
          <w:rFonts w:cstheme="minorHAnsi"/>
          <w:i/>
          <w:color w:val="000000"/>
        </w:rPr>
        <w:t>Treasury working paper</w:t>
      </w:r>
      <w:r w:rsidRPr="004A5D9A">
        <w:rPr>
          <w:rFonts w:cstheme="minorHAnsi"/>
          <w:color w:val="000000"/>
        </w:rPr>
        <w:t>.</w:t>
      </w:r>
    </w:p>
    <w:p w14:paraId="29AA643C" w14:textId="16F04213" w:rsidR="00741383" w:rsidRPr="00150011" w:rsidRDefault="00741383" w:rsidP="00150011">
      <w:pPr>
        <w:spacing w:before="100" w:beforeAutospacing="1" w:after="100" w:afterAutospacing="1"/>
        <w:rPr>
          <w:rFonts w:asciiTheme="minorHAnsi" w:hAnsiTheme="minorHAnsi" w:cstheme="minorHAnsi"/>
          <w:color w:val="000000"/>
          <w:szCs w:val="22"/>
        </w:rPr>
      </w:pPr>
      <w:proofErr w:type="spellStart"/>
      <w:r w:rsidRPr="00150011">
        <w:rPr>
          <w:rFonts w:asciiTheme="minorHAnsi" w:hAnsiTheme="minorHAnsi" w:cstheme="minorHAnsi"/>
          <w:color w:val="222222"/>
          <w:szCs w:val="22"/>
          <w:shd w:val="clear" w:color="auto" w:fill="FFFFFF"/>
        </w:rPr>
        <w:t>Jääskelä</w:t>
      </w:r>
      <w:proofErr w:type="spellEnd"/>
      <w:r w:rsidRPr="00150011">
        <w:rPr>
          <w:rFonts w:asciiTheme="minorHAnsi" w:hAnsiTheme="minorHAnsi" w:cstheme="minorHAnsi"/>
          <w:color w:val="222222"/>
          <w:szCs w:val="22"/>
          <w:shd w:val="clear" w:color="auto" w:fill="FFFFFF"/>
        </w:rPr>
        <w:t xml:space="preserve"> J and Mathews T </w:t>
      </w:r>
      <w:r w:rsidR="002E4DAA">
        <w:rPr>
          <w:rFonts w:asciiTheme="minorHAnsi" w:hAnsiTheme="minorHAnsi" w:cstheme="minorHAnsi"/>
          <w:color w:val="222222"/>
          <w:szCs w:val="22"/>
          <w:shd w:val="clear" w:color="auto" w:fill="FFFFFF"/>
        </w:rPr>
        <w:t>(</w:t>
      </w:r>
      <w:r w:rsidRPr="00150011">
        <w:rPr>
          <w:rFonts w:asciiTheme="minorHAnsi" w:hAnsiTheme="minorHAnsi" w:cstheme="minorHAnsi"/>
          <w:color w:val="222222"/>
          <w:szCs w:val="22"/>
          <w:shd w:val="clear" w:color="auto" w:fill="FFFFFF"/>
        </w:rPr>
        <w:t>2015</w:t>
      </w:r>
      <w:r w:rsidR="002E4DAA">
        <w:rPr>
          <w:rFonts w:asciiTheme="minorHAnsi" w:hAnsiTheme="minorHAnsi" w:cstheme="minorHAnsi"/>
          <w:color w:val="222222"/>
          <w:szCs w:val="22"/>
          <w:shd w:val="clear" w:color="auto" w:fill="FFFFFF"/>
        </w:rPr>
        <w:t>)</w:t>
      </w:r>
      <w:r w:rsidRPr="00150011">
        <w:rPr>
          <w:rFonts w:asciiTheme="minorHAnsi" w:hAnsiTheme="minorHAnsi" w:cstheme="minorHAnsi"/>
          <w:color w:val="222222"/>
          <w:szCs w:val="22"/>
          <w:shd w:val="clear" w:color="auto" w:fill="FFFFFF"/>
        </w:rPr>
        <w:t xml:space="preserve"> </w:t>
      </w:r>
      <w:r w:rsidR="002E4DAA">
        <w:rPr>
          <w:rFonts w:asciiTheme="minorHAnsi" w:hAnsiTheme="minorHAnsi" w:cstheme="minorHAnsi"/>
          <w:color w:val="222222"/>
          <w:szCs w:val="22"/>
          <w:shd w:val="clear" w:color="auto" w:fill="FFFFFF"/>
        </w:rPr>
        <w:t>‘</w:t>
      </w:r>
      <w:r w:rsidRPr="00150011">
        <w:rPr>
          <w:rFonts w:asciiTheme="minorHAnsi" w:hAnsiTheme="minorHAnsi" w:cstheme="minorHAnsi"/>
          <w:color w:val="222222"/>
          <w:szCs w:val="22"/>
          <w:shd w:val="clear" w:color="auto" w:fill="FFFFFF"/>
        </w:rPr>
        <w:t>Explaining the slowdown in global trade</w:t>
      </w:r>
      <w:r w:rsidR="002E4DAA">
        <w:rPr>
          <w:rFonts w:asciiTheme="minorHAnsi" w:hAnsiTheme="minorHAnsi" w:cstheme="minorHAnsi"/>
          <w:color w:val="222222"/>
          <w:szCs w:val="22"/>
          <w:shd w:val="clear" w:color="auto" w:fill="FFFFFF"/>
        </w:rPr>
        <w:t>’,</w:t>
      </w:r>
      <w:r w:rsidRPr="00150011">
        <w:rPr>
          <w:rFonts w:asciiTheme="minorHAnsi" w:hAnsiTheme="minorHAnsi" w:cstheme="minorHAnsi"/>
          <w:color w:val="222222"/>
          <w:szCs w:val="22"/>
          <w:shd w:val="clear" w:color="auto" w:fill="FFFFFF"/>
        </w:rPr>
        <w:t> </w:t>
      </w:r>
      <w:r w:rsidRPr="00150011">
        <w:rPr>
          <w:rFonts w:asciiTheme="minorHAnsi" w:hAnsiTheme="minorHAnsi" w:cstheme="minorHAnsi"/>
          <w:i/>
          <w:color w:val="222222"/>
          <w:szCs w:val="22"/>
          <w:shd w:val="clear" w:color="auto" w:fill="FFFFFF"/>
        </w:rPr>
        <w:t>Reserve Bank of Australia Bulletin, September</w:t>
      </w:r>
      <w:r w:rsidRPr="00150011">
        <w:rPr>
          <w:rFonts w:asciiTheme="minorHAnsi" w:hAnsiTheme="minorHAnsi" w:cstheme="minorHAnsi"/>
          <w:color w:val="222222"/>
          <w:szCs w:val="22"/>
          <w:shd w:val="clear" w:color="auto" w:fill="FFFFFF"/>
        </w:rPr>
        <w:t>, 39</w:t>
      </w:r>
      <w:r w:rsidR="002B75D0">
        <w:rPr>
          <w:rFonts w:asciiTheme="minorHAnsi" w:hAnsiTheme="minorHAnsi" w:cstheme="minorHAnsi"/>
          <w:color w:val="222222"/>
          <w:szCs w:val="22"/>
          <w:shd w:val="clear" w:color="auto" w:fill="FFFFFF"/>
        </w:rPr>
        <w:noBreakHyphen/>
      </w:r>
      <w:r w:rsidRPr="00150011">
        <w:rPr>
          <w:rFonts w:asciiTheme="minorHAnsi" w:hAnsiTheme="minorHAnsi" w:cstheme="minorHAnsi"/>
          <w:color w:val="222222"/>
          <w:szCs w:val="22"/>
          <w:shd w:val="clear" w:color="auto" w:fill="FFFFFF"/>
        </w:rPr>
        <w:t>46.</w:t>
      </w:r>
    </w:p>
    <w:p w14:paraId="3CA859B1" w14:textId="4330FCF4" w:rsidR="00E33476" w:rsidRPr="004A5D9A" w:rsidRDefault="00F0689E" w:rsidP="00150011">
      <w:pPr>
        <w:spacing w:before="100" w:beforeAutospacing="1" w:after="100" w:afterAutospacing="1"/>
        <w:rPr>
          <w:rFonts w:cstheme="minorHAnsi"/>
          <w:color w:val="000000"/>
        </w:rPr>
      </w:pPr>
      <w:r>
        <w:rPr>
          <w:rFonts w:cstheme="minorHAnsi"/>
          <w:color w:val="000000"/>
        </w:rPr>
        <w:t>PC (</w:t>
      </w:r>
      <w:r w:rsidR="00E33476" w:rsidRPr="004A5D9A">
        <w:rPr>
          <w:rFonts w:cstheme="minorHAnsi"/>
          <w:color w:val="000000"/>
        </w:rPr>
        <w:t>Productivity Commission</w:t>
      </w:r>
      <w:r>
        <w:rPr>
          <w:rFonts w:cstheme="minorHAnsi"/>
          <w:color w:val="000000"/>
        </w:rPr>
        <w:t>)</w:t>
      </w:r>
      <w:r w:rsidR="00E33476" w:rsidRPr="004A5D9A">
        <w:rPr>
          <w:rFonts w:cstheme="minorHAnsi"/>
          <w:color w:val="000000"/>
        </w:rPr>
        <w:t xml:space="preserve"> </w:t>
      </w:r>
      <w:r w:rsidR="002E4DAA">
        <w:rPr>
          <w:rFonts w:cstheme="minorHAnsi"/>
          <w:color w:val="000000"/>
        </w:rPr>
        <w:t>(</w:t>
      </w:r>
      <w:r w:rsidR="00E33476" w:rsidRPr="004A5D9A">
        <w:rPr>
          <w:rFonts w:cstheme="minorHAnsi"/>
          <w:color w:val="000000"/>
        </w:rPr>
        <w:t>2017</w:t>
      </w:r>
      <w:r w:rsidR="002E4DAA">
        <w:rPr>
          <w:rFonts w:cstheme="minorHAnsi"/>
          <w:color w:val="000000"/>
        </w:rPr>
        <w:t>)</w:t>
      </w:r>
      <w:r w:rsidR="00E33476" w:rsidRPr="004A5D9A">
        <w:rPr>
          <w:rFonts w:cstheme="minorHAnsi"/>
          <w:color w:val="000000"/>
        </w:rPr>
        <w:t xml:space="preserve"> </w:t>
      </w:r>
      <w:r w:rsidR="002E4DAA">
        <w:rPr>
          <w:rFonts w:cstheme="minorHAnsi"/>
          <w:color w:val="000000"/>
        </w:rPr>
        <w:t>‘</w:t>
      </w:r>
      <w:r w:rsidR="00E33476" w:rsidRPr="004A5D9A">
        <w:rPr>
          <w:rFonts w:cstheme="minorHAnsi"/>
          <w:color w:val="000000"/>
        </w:rPr>
        <w:t>Shifting the Dial: 5</w:t>
      </w:r>
      <w:r w:rsidR="002B75D0">
        <w:rPr>
          <w:rFonts w:cstheme="minorHAnsi"/>
          <w:color w:val="000000"/>
        </w:rPr>
        <w:noBreakHyphen/>
      </w:r>
      <w:r w:rsidR="00E33476" w:rsidRPr="004A5D9A">
        <w:rPr>
          <w:rFonts w:cstheme="minorHAnsi"/>
          <w:color w:val="000000"/>
        </w:rPr>
        <w:t>year productivity review</w:t>
      </w:r>
      <w:r w:rsidR="002E4DAA">
        <w:rPr>
          <w:rFonts w:cstheme="minorHAnsi"/>
          <w:color w:val="000000"/>
        </w:rPr>
        <w:t>’</w:t>
      </w:r>
      <w:r w:rsidR="00E33476" w:rsidRPr="004A5D9A">
        <w:rPr>
          <w:rFonts w:cstheme="minorHAnsi"/>
          <w:color w:val="000000"/>
        </w:rPr>
        <w:t>, Australian Government, viewed 3 November 2021, &lt;</w:t>
      </w:r>
      <w:hyperlink r:id="rId42" w:history="1">
        <w:r w:rsidR="00E33476" w:rsidRPr="00F87C65">
          <w:rPr>
            <w:rStyle w:val="Hyperlink"/>
            <w:rFonts w:cstheme="minorHAnsi"/>
          </w:rPr>
          <w:t>https://www.pc.gov.au/inquiries/completed/productivity</w:t>
        </w:r>
        <w:r w:rsidR="002B75D0">
          <w:rPr>
            <w:rStyle w:val="Hyperlink"/>
            <w:rFonts w:cstheme="minorHAnsi"/>
          </w:rPr>
          <w:noBreakHyphen/>
        </w:r>
        <w:r w:rsidR="00E33476" w:rsidRPr="00F87C65">
          <w:rPr>
            <w:rStyle w:val="Hyperlink"/>
            <w:rFonts w:cstheme="minorHAnsi"/>
          </w:rPr>
          <w:t>review/report</w:t>
        </w:r>
      </w:hyperlink>
      <w:r w:rsidR="00E33476" w:rsidRPr="004A5D9A">
        <w:rPr>
          <w:rFonts w:cstheme="minorHAnsi"/>
          <w:color w:val="000000"/>
        </w:rPr>
        <w:t>&gt;.</w:t>
      </w:r>
    </w:p>
    <w:p w14:paraId="2185B2E5" w14:textId="3E8215B1" w:rsidR="00E33476" w:rsidRDefault="00F0689E" w:rsidP="00150011">
      <w:pPr>
        <w:spacing w:before="100" w:beforeAutospacing="1" w:after="100" w:afterAutospacing="1"/>
        <w:rPr>
          <w:rFonts w:cstheme="minorHAnsi"/>
          <w:color w:val="000000"/>
        </w:rPr>
      </w:pPr>
      <w:r>
        <w:rPr>
          <w:rFonts w:cstheme="minorHAnsi"/>
          <w:color w:val="000000"/>
        </w:rPr>
        <w:t>PC (</w:t>
      </w:r>
      <w:r w:rsidR="00E33476" w:rsidRPr="004A5D9A">
        <w:rPr>
          <w:rFonts w:cstheme="minorHAnsi"/>
          <w:color w:val="000000"/>
        </w:rPr>
        <w:t>Productivity Commission</w:t>
      </w:r>
      <w:r>
        <w:rPr>
          <w:rFonts w:cstheme="minorHAnsi"/>
          <w:color w:val="000000"/>
        </w:rPr>
        <w:t>)</w:t>
      </w:r>
      <w:r w:rsidR="00E33476" w:rsidRPr="004A5D9A">
        <w:rPr>
          <w:rFonts w:cstheme="minorHAnsi"/>
          <w:color w:val="000000"/>
        </w:rPr>
        <w:t xml:space="preserve"> </w:t>
      </w:r>
      <w:r w:rsidR="002E4DAA">
        <w:rPr>
          <w:rFonts w:cstheme="minorHAnsi"/>
          <w:color w:val="000000"/>
        </w:rPr>
        <w:t>(</w:t>
      </w:r>
      <w:r w:rsidR="00E33476" w:rsidRPr="004A5D9A">
        <w:rPr>
          <w:rFonts w:cstheme="minorHAnsi"/>
          <w:color w:val="000000"/>
        </w:rPr>
        <w:t>2021</w:t>
      </w:r>
      <w:r w:rsidR="002E4DAA">
        <w:rPr>
          <w:rFonts w:cstheme="minorHAnsi"/>
          <w:color w:val="000000"/>
        </w:rPr>
        <w:t>)</w:t>
      </w:r>
      <w:r w:rsidR="00E33476" w:rsidRPr="004A5D9A">
        <w:rPr>
          <w:rFonts w:cstheme="minorHAnsi"/>
          <w:color w:val="000000"/>
        </w:rPr>
        <w:t xml:space="preserve"> </w:t>
      </w:r>
      <w:r w:rsidR="002E4DAA">
        <w:rPr>
          <w:rFonts w:cstheme="minorHAnsi"/>
          <w:color w:val="000000"/>
        </w:rPr>
        <w:t>‘</w:t>
      </w:r>
      <w:r w:rsidR="00E33476" w:rsidRPr="004A5D9A">
        <w:rPr>
          <w:rFonts w:cstheme="minorHAnsi"/>
          <w:color w:val="000000"/>
        </w:rPr>
        <w:t>Things you can’t drop on your feet: An overview of Australia’s services sector productivity</w:t>
      </w:r>
      <w:r w:rsidR="002E4DAA">
        <w:rPr>
          <w:rFonts w:cstheme="minorHAnsi"/>
          <w:color w:val="000000"/>
        </w:rPr>
        <w:t>’</w:t>
      </w:r>
      <w:r w:rsidR="00E33476" w:rsidRPr="004A5D9A">
        <w:rPr>
          <w:rFonts w:cstheme="minorHAnsi"/>
          <w:color w:val="000000"/>
        </w:rPr>
        <w:t>, Australian Government, PC Productivity Insights, viewed 29 November 2021, &lt;</w:t>
      </w:r>
      <w:hyperlink r:id="rId43" w:history="1">
        <w:r w:rsidR="00E33476" w:rsidRPr="00F87C65">
          <w:rPr>
            <w:rStyle w:val="Hyperlink"/>
            <w:rFonts w:cstheme="minorHAnsi"/>
          </w:rPr>
          <w:t>https://www.pc.gov.au/research/ongoing/productivity</w:t>
        </w:r>
        <w:r w:rsidR="002B75D0">
          <w:rPr>
            <w:rStyle w:val="Hyperlink"/>
            <w:rFonts w:cstheme="minorHAnsi"/>
          </w:rPr>
          <w:noBreakHyphen/>
        </w:r>
        <w:r w:rsidR="00E33476" w:rsidRPr="00F87C65">
          <w:rPr>
            <w:rStyle w:val="Hyperlink"/>
            <w:rFonts w:cstheme="minorHAnsi"/>
          </w:rPr>
          <w:t>insights/services</w:t>
        </w:r>
      </w:hyperlink>
      <w:r w:rsidR="00E33476" w:rsidRPr="004A5D9A">
        <w:rPr>
          <w:rFonts w:cstheme="minorHAnsi"/>
          <w:color w:val="000000"/>
        </w:rPr>
        <w:t>&gt;.</w:t>
      </w:r>
    </w:p>
    <w:p w14:paraId="2CEEC04D" w14:textId="692BB2BC" w:rsidR="0044447A" w:rsidRPr="00DB2AF2" w:rsidRDefault="0044447A" w:rsidP="00DB2AF2">
      <w:pPr>
        <w:spacing w:before="0"/>
        <w:rPr>
          <w:rFonts w:cs="Calibri"/>
          <w:szCs w:val="22"/>
        </w:rPr>
      </w:pPr>
      <w:r w:rsidRPr="0044447A">
        <w:rPr>
          <w:rFonts w:cs="Calibri"/>
          <w:szCs w:val="22"/>
        </w:rPr>
        <w:t xml:space="preserve">Vollrath D </w:t>
      </w:r>
      <w:r w:rsidR="002E4DAA">
        <w:rPr>
          <w:rFonts w:cs="Calibri"/>
          <w:szCs w:val="22"/>
        </w:rPr>
        <w:t>(</w:t>
      </w:r>
      <w:r w:rsidRPr="0044447A">
        <w:rPr>
          <w:rFonts w:cs="Calibri"/>
          <w:szCs w:val="22"/>
        </w:rPr>
        <w:t>2019</w:t>
      </w:r>
      <w:r w:rsidR="002E4DAA">
        <w:rPr>
          <w:rFonts w:cs="Calibri"/>
          <w:szCs w:val="22"/>
        </w:rPr>
        <w:t>)</w:t>
      </w:r>
      <w:r w:rsidRPr="0044447A">
        <w:rPr>
          <w:rFonts w:cs="Calibri"/>
          <w:szCs w:val="22"/>
        </w:rPr>
        <w:t xml:space="preserve"> </w:t>
      </w:r>
      <w:r w:rsidRPr="00FC7F02">
        <w:rPr>
          <w:rFonts w:cs="Calibri"/>
          <w:i/>
          <w:szCs w:val="22"/>
        </w:rPr>
        <w:t>Fully Grown: Why a Stagnant Economy Is a Sign of Success</w:t>
      </w:r>
      <w:r w:rsidRPr="0044447A">
        <w:rPr>
          <w:rFonts w:cs="Calibri"/>
          <w:szCs w:val="22"/>
        </w:rPr>
        <w:t xml:space="preserve">, University of Chicago Press, </w:t>
      </w:r>
      <w:proofErr w:type="gramStart"/>
      <w:r w:rsidRPr="0044447A">
        <w:rPr>
          <w:rFonts w:cs="Calibri"/>
          <w:szCs w:val="22"/>
        </w:rPr>
        <w:t>Chicago</w:t>
      </w:r>
      <w:proofErr w:type="gramEnd"/>
      <w:r w:rsidRPr="0044447A">
        <w:rPr>
          <w:rFonts w:cs="Calibri"/>
          <w:szCs w:val="22"/>
        </w:rPr>
        <w:t xml:space="preserve"> and London. </w:t>
      </w:r>
    </w:p>
    <w:p w14:paraId="430B873D" w14:textId="1141FDF9" w:rsidR="00722F7C" w:rsidRPr="00E33476" w:rsidRDefault="00722F7C" w:rsidP="00722F7C">
      <w:pPr>
        <w:spacing w:before="0" w:after="160" w:line="259" w:lineRule="auto"/>
        <w:rPr>
          <w:rFonts w:cs="Calibri"/>
          <w:color w:val="000000"/>
        </w:rPr>
        <w:sectPr w:rsidR="00722F7C" w:rsidRPr="00E33476" w:rsidSect="00722F7C">
          <w:footerReference w:type="default" r:id="rId44"/>
          <w:footnotePr>
            <w:numRestart w:val="eachSect"/>
          </w:footnotePr>
          <w:type w:val="continuous"/>
          <w:pgSz w:w="11906" w:h="16838" w:code="9"/>
          <w:pgMar w:top="1843" w:right="1418" w:bottom="1418" w:left="1418" w:header="567" w:footer="249" w:gutter="0"/>
          <w:cols w:space="340"/>
          <w:docGrid w:linePitch="360"/>
        </w:sectPr>
      </w:pPr>
    </w:p>
    <w:p w14:paraId="2FED5BF9" w14:textId="3B8637A9" w:rsidR="002D40F0" w:rsidRPr="000E2E34" w:rsidRDefault="00E33476" w:rsidP="00D737D8">
      <w:pPr>
        <w:pStyle w:val="Reporttitle"/>
      </w:pPr>
      <w:bookmarkStart w:id="6" w:name="_Toc115880553"/>
      <w:r w:rsidRPr="00E33476">
        <w:lastRenderedPageBreak/>
        <w:t xml:space="preserve">Competition in Australia and its </w:t>
      </w:r>
      <w:r w:rsidR="00C764FA">
        <w:t>i</w:t>
      </w:r>
      <w:r w:rsidRPr="00E33476">
        <w:t xml:space="preserve">mpact on </w:t>
      </w:r>
      <w:r w:rsidR="00C764FA">
        <w:t>p</w:t>
      </w:r>
      <w:r w:rsidRPr="00E33476">
        <w:t xml:space="preserve">roductivity </w:t>
      </w:r>
      <w:r w:rsidR="00C764FA">
        <w:t>g</w:t>
      </w:r>
      <w:r w:rsidRPr="00E33476">
        <w:t>rowth</w:t>
      </w:r>
      <w:bookmarkEnd w:id="6"/>
      <w:r w:rsidRPr="00E33476">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498"/>
      </w:tblGrid>
      <w:tr w:rsidR="002D40F0" w14:paraId="2FF97737" w14:textId="77777777" w:rsidTr="00D10A61">
        <w:tc>
          <w:tcPr>
            <w:tcW w:w="8498" w:type="dxa"/>
            <w:shd w:val="clear" w:color="auto" w:fill="auto"/>
          </w:tcPr>
          <w:p w14:paraId="3FEE31CE" w14:textId="611D3186" w:rsidR="002D40F0" w:rsidRPr="000E2E34" w:rsidRDefault="002D40F0" w:rsidP="00D10A61">
            <w:pPr>
              <w:pStyle w:val="Authornameunderlined"/>
            </w:pPr>
            <w:r w:rsidRPr="000E2E34">
              <w:t xml:space="preserve">Prepared by </w:t>
            </w:r>
            <w:r w:rsidR="00E33476">
              <w:t>Iris Day, Zac Duretto</w:t>
            </w:r>
            <w:r w:rsidR="004462F2">
              <w:t>, Patrick Hartigan</w:t>
            </w:r>
            <w:r w:rsidR="00E33476">
              <w:t xml:space="preserve"> and Jonathan Hambur</w:t>
            </w:r>
            <w:r w:rsidR="00580659">
              <w:rPr>
                <w:rStyle w:val="FootnoteReference"/>
              </w:rPr>
              <w:footnoteReference w:customMarkFollows="1" w:id="10"/>
              <w:t>*</w:t>
            </w:r>
          </w:p>
        </w:tc>
      </w:tr>
      <w:tr w:rsidR="002D40F0" w14:paraId="326C65CF" w14:textId="77777777" w:rsidTr="00D10A61">
        <w:trPr>
          <w:trHeight w:val="170"/>
        </w:trPr>
        <w:tc>
          <w:tcPr>
            <w:tcW w:w="8498" w:type="dxa"/>
            <w:shd w:val="clear" w:color="auto" w:fill="auto"/>
          </w:tcPr>
          <w:p w14:paraId="105F487C" w14:textId="77777777" w:rsidR="002D40F0" w:rsidRPr="000520F1" w:rsidRDefault="002D40F0" w:rsidP="00D737D8">
            <w:pPr>
              <w:spacing w:before="0" w:after="0" w:line="276" w:lineRule="auto"/>
            </w:pPr>
          </w:p>
        </w:tc>
      </w:tr>
    </w:tbl>
    <w:tbl>
      <w:tblPr>
        <w:tblpPr w:leftFromText="181" w:rightFromText="181" w:vertAnchor="text" w:horzAnchor="margin" w:tblpY="143"/>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0"/>
      </w:tblGrid>
      <w:tr w:rsidR="002D40F0" w14:paraId="1C09C868" w14:textId="77777777" w:rsidTr="002236F2">
        <w:tc>
          <w:tcPr>
            <w:tcW w:w="5000" w:type="pct"/>
            <w:shd w:val="clear" w:color="auto" w:fill="FCEEE5" w:themeFill="accent6" w:themeFillTint="33"/>
          </w:tcPr>
          <w:p w14:paraId="39055139" w14:textId="0C014FEC" w:rsidR="002D40F0" w:rsidRPr="00C96A1F" w:rsidRDefault="00E33476" w:rsidP="00D737D8">
            <w:r w:rsidRPr="00AA400D">
              <w:rPr>
                <w:i/>
                <w:color w:val="0D0D0D" w:themeColor="text1" w:themeTint="F2"/>
                <w:szCs w:val="22"/>
              </w:rPr>
              <w:t>Competiti</w:t>
            </w:r>
            <w:r w:rsidR="003B0A7E" w:rsidRPr="00AA400D">
              <w:rPr>
                <w:i/>
                <w:color w:val="0D0D0D" w:themeColor="text1" w:themeTint="F2"/>
                <w:szCs w:val="22"/>
              </w:rPr>
              <w:t>ve</w:t>
            </w:r>
            <w:r w:rsidRPr="00AA400D">
              <w:rPr>
                <w:i/>
                <w:color w:val="0D0D0D" w:themeColor="text1" w:themeTint="F2"/>
                <w:szCs w:val="22"/>
              </w:rPr>
              <w:t xml:space="preserve"> </w:t>
            </w:r>
            <w:r w:rsidR="00497F9B" w:rsidRPr="00AA400D">
              <w:rPr>
                <w:i/>
                <w:color w:val="0D0D0D" w:themeColor="text1" w:themeTint="F2"/>
                <w:szCs w:val="22"/>
              </w:rPr>
              <w:t>pressure can lead to more efficient markets and drive firms to innovate</w:t>
            </w:r>
            <w:r w:rsidRPr="00AA400D">
              <w:rPr>
                <w:i/>
                <w:color w:val="0D0D0D" w:themeColor="text1" w:themeTint="F2"/>
                <w:szCs w:val="22"/>
              </w:rPr>
              <w:t xml:space="preserve">. These benefits </w:t>
            </w:r>
            <w:r w:rsidR="00497F9B" w:rsidRPr="00AA400D">
              <w:rPr>
                <w:i/>
                <w:color w:val="0D0D0D" w:themeColor="text1" w:themeTint="F2"/>
                <w:szCs w:val="22"/>
              </w:rPr>
              <w:t>can lead to</w:t>
            </w:r>
            <w:r w:rsidRPr="00AA400D">
              <w:rPr>
                <w:i/>
                <w:color w:val="0D0D0D" w:themeColor="text1" w:themeTint="F2"/>
                <w:szCs w:val="22"/>
              </w:rPr>
              <w:t xml:space="preserve"> productivity growth. A range of competition indicators </w:t>
            </w:r>
            <w:r w:rsidR="007E2C84">
              <w:rPr>
                <w:i/>
                <w:color w:val="0D0D0D" w:themeColor="text1" w:themeTint="F2"/>
                <w:szCs w:val="22"/>
              </w:rPr>
              <w:sym w:font="Symbol" w:char="F02D"/>
            </w:r>
            <w:r w:rsidR="007E2C84">
              <w:rPr>
                <w:i/>
                <w:color w:val="0D0D0D" w:themeColor="text1" w:themeTint="F2"/>
                <w:szCs w:val="22"/>
              </w:rPr>
              <w:t xml:space="preserve"> </w:t>
            </w:r>
            <w:r w:rsidRPr="00AA400D">
              <w:rPr>
                <w:i/>
                <w:color w:val="0D0D0D" w:themeColor="text1" w:themeTint="F2"/>
                <w:szCs w:val="22"/>
              </w:rPr>
              <w:t>including industry concentration, incumbency</w:t>
            </w:r>
            <w:r w:rsidR="007E3255" w:rsidRPr="00AA400D">
              <w:rPr>
                <w:i/>
                <w:color w:val="0D0D0D" w:themeColor="text1" w:themeTint="F2"/>
                <w:szCs w:val="22"/>
              </w:rPr>
              <w:t>,</w:t>
            </w:r>
            <w:r w:rsidRPr="00AA400D">
              <w:rPr>
                <w:i/>
                <w:color w:val="0D0D0D" w:themeColor="text1" w:themeTint="F2"/>
                <w:szCs w:val="22"/>
              </w:rPr>
              <w:t xml:space="preserve"> and firm mark</w:t>
            </w:r>
            <w:r w:rsidR="002B75D0">
              <w:rPr>
                <w:i/>
                <w:color w:val="0D0D0D" w:themeColor="text1" w:themeTint="F2"/>
                <w:szCs w:val="22"/>
              </w:rPr>
              <w:noBreakHyphen/>
            </w:r>
            <w:r w:rsidRPr="00AA400D">
              <w:rPr>
                <w:i/>
                <w:color w:val="0D0D0D" w:themeColor="text1" w:themeTint="F2"/>
                <w:szCs w:val="22"/>
              </w:rPr>
              <w:t xml:space="preserve">ups </w:t>
            </w:r>
            <w:r w:rsidR="007E2C84">
              <w:rPr>
                <w:i/>
                <w:color w:val="0D0D0D" w:themeColor="text1" w:themeTint="F2"/>
                <w:szCs w:val="22"/>
              </w:rPr>
              <w:sym w:font="Symbol" w:char="F02D"/>
            </w:r>
            <w:r w:rsidR="007E2C84">
              <w:rPr>
                <w:i/>
                <w:color w:val="0D0D0D" w:themeColor="text1" w:themeTint="F2"/>
                <w:szCs w:val="22"/>
              </w:rPr>
              <w:t xml:space="preserve"> </w:t>
            </w:r>
            <w:r w:rsidRPr="00AA400D">
              <w:rPr>
                <w:i/>
                <w:color w:val="0D0D0D" w:themeColor="text1" w:themeTint="F2"/>
                <w:szCs w:val="22"/>
              </w:rPr>
              <w:t>suggest a deterioration in competition in the Australian economy since the early 2000s. Further analysis in Treasury working papers suggests that increasing market power and changing technology are both playing a role. This increase in market power in turn has been shown to contribute to the slowdown in productivity in Australia via lower incentives for firms to innovate</w:t>
            </w:r>
            <w:r w:rsidR="0065117E" w:rsidRPr="00AA400D">
              <w:rPr>
                <w:i/>
                <w:color w:val="0D0D0D" w:themeColor="text1" w:themeTint="F2"/>
                <w:szCs w:val="22"/>
              </w:rPr>
              <w:t xml:space="preserve">, for </w:t>
            </w:r>
            <w:r w:rsidRPr="00AA400D">
              <w:rPr>
                <w:i/>
                <w:color w:val="0D0D0D" w:themeColor="text1" w:themeTint="F2"/>
                <w:szCs w:val="22"/>
              </w:rPr>
              <w:t>resources to flow to their most productive use</w:t>
            </w:r>
            <w:r w:rsidR="0065117E" w:rsidRPr="00AA400D">
              <w:rPr>
                <w:i/>
                <w:color w:val="0D0D0D" w:themeColor="text1" w:themeTint="F2"/>
                <w:szCs w:val="22"/>
              </w:rPr>
              <w:t>, and for the least productive firms to exit the market.</w:t>
            </w:r>
          </w:p>
        </w:tc>
      </w:tr>
    </w:tbl>
    <w:p w14:paraId="339725BA" w14:textId="77777777" w:rsidR="00580659" w:rsidRDefault="00580659" w:rsidP="00014455">
      <w:pPr>
        <w:pStyle w:val="Heading1"/>
        <w:spacing w:before="360"/>
      </w:pPr>
      <w:r>
        <w:t xml:space="preserve">Competition can affect dynamism and productivity </w:t>
      </w:r>
    </w:p>
    <w:p w14:paraId="27D76F4B" w14:textId="40B3CFB4" w:rsidR="00EC595A" w:rsidRDefault="00580659" w:rsidP="00D737D8">
      <w:r>
        <w:t xml:space="preserve">Declining competition has been </w:t>
      </w:r>
      <w:r w:rsidR="00281128">
        <w:t>suggested</w:t>
      </w:r>
      <w:r>
        <w:t xml:space="preserve"> as a potential explanation for declining dynamism</w:t>
      </w:r>
      <w:r w:rsidR="00281128">
        <w:t>,</w:t>
      </w:r>
      <w:r>
        <w:t xml:space="preserve"> and</w:t>
      </w:r>
      <w:r w:rsidR="00281128">
        <w:t xml:space="preserve"> in turn</w:t>
      </w:r>
      <w:r>
        <w:t xml:space="preserve"> productivity</w:t>
      </w:r>
      <w:r w:rsidR="00DE5D89">
        <w:t xml:space="preserve"> </w:t>
      </w:r>
      <w:r>
        <w:t xml:space="preserve">(see Article 1; IMF 2019). </w:t>
      </w:r>
      <w:r w:rsidR="00EC1F14">
        <w:t>The</w:t>
      </w:r>
      <w:r w:rsidR="00EC595A">
        <w:t xml:space="preserve"> mechanisms can be split into </w:t>
      </w:r>
      <w:r w:rsidR="00EC1F14">
        <w:t xml:space="preserve">2 </w:t>
      </w:r>
      <w:r w:rsidR="00EC595A">
        <w:t>channels: a between</w:t>
      </w:r>
      <w:r w:rsidR="002B75D0">
        <w:noBreakHyphen/>
      </w:r>
      <w:r w:rsidR="00EC595A">
        <w:t>firm reallocation channel, and a within</w:t>
      </w:r>
      <w:r w:rsidR="002B75D0">
        <w:noBreakHyphen/>
      </w:r>
      <w:r w:rsidR="00EC595A">
        <w:t>firm improvement channel.</w:t>
      </w:r>
      <w:r w:rsidR="00034146">
        <w:t xml:space="preserve"> </w:t>
      </w:r>
    </w:p>
    <w:p w14:paraId="0350878C" w14:textId="259E2C41" w:rsidR="00D83F9D" w:rsidRDefault="009F3244" w:rsidP="00D737D8">
      <w:r>
        <w:t>Focusing on</w:t>
      </w:r>
      <w:r w:rsidR="000F0EC1">
        <w:t xml:space="preserve"> the within</w:t>
      </w:r>
      <w:r w:rsidR="002B75D0">
        <w:noBreakHyphen/>
      </w:r>
      <w:r w:rsidR="000F0EC1">
        <w:t xml:space="preserve">firm channel, </w:t>
      </w:r>
      <w:r w:rsidR="00C14D42">
        <w:t>extensive research</w:t>
      </w:r>
      <w:r w:rsidR="000F0EC1">
        <w:t xml:space="preserve"> considers how competition </w:t>
      </w:r>
      <w:r w:rsidR="00E539BA">
        <w:t xml:space="preserve">shapes firms’ decisions </w:t>
      </w:r>
      <w:r>
        <w:t xml:space="preserve">about </w:t>
      </w:r>
      <w:r w:rsidR="00812A2F">
        <w:t>their management and operations</w:t>
      </w:r>
      <w:r w:rsidR="001A2458" w:rsidDel="001B78E4">
        <w:t>.</w:t>
      </w:r>
      <w:r w:rsidR="00AA442B">
        <w:rPr>
          <w:rStyle w:val="FootnoteReference"/>
        </w:rPr>
        <w:footnoteReference w:id="11"/>
      </w:r>
      <w:r w:rsidR="001A2458" w:rsidDel="001B78E4">
        <w:t xml:space="preserve"> </w:t>
      </w:r>
      <w:r w:rsidR="00420A63">
        <w:t xml:space="preserve">Competitive pressure can also drive firms to innovate. </w:t>
      </w:r>
      <w:r w:rsidR="003A4A60">
        <w:t>Some e</w:t>
      </w:r>
      <w:r w:rsidR="00D83F9D">
        <w:t>mpirical evidence suggests that greater competition promotes more innovation</w:t>
      </w:r>
      <w:r w:rsidR="0037294C">
        <w:t>.</w:t>
      </w:r>
      <w:r w:rsidR="00D83F9D">
        <w:t xml:space="preserve"> The UK Competition and Markets Authority (CMA)</w:t>
      </w:r>
      <w:r w:rsidR="00D83F9D" w:rsidDel="00A45795">
        <w:t xml:space="preserve"> </w:t>
      </w:r>
      <w:r w:rsidR="00D83F9D">
        <w:t>(2015), for example, assesse</w:t>
      </w:r>
      <w:r>
        <w:t xml:space="preserve">d </w:t>
      </w:r>
      <w:r w:rsidR="00D83F9D">
        <w:t xml:space="preserve">evidence of the impact </w:t>
      </w:r>
      <w:r w:rsidR="003A4A60">
        <w:t>of</w:t>
      </w:r>
      <w:r w:rsidR="00D83F9D">
        <w:t xml:space="preserve"> </w:t>
      </w:r>
      <w:r w:rsidR="003A4A60">
        <w:t>competition</w:t>
      </w:r>
      <w:r w:rsidR="00D83F9D">
        <w:t xml:space="preserve"> on R&amp;D activity and patent</w:t>
      </w:r>
      <w:r w:rsidR="003A4A60">
        <w:t>s</w:t>
      </w:r>
      <w:r>
        <w:t>. It found</w:t>
      </w:r>
      <w:r w:rsidR="00D83F9D">
        <w:t xml:space="preserve"> that competition can boost innovation, particularly when complemented by effective intellectual property rights. </w:t>
      </w:r>
      <w:r w:rsidR="0017559E">
        <w:t>O</w:t>
      </w:r>
      <w:r w:rsidR="003A4A60">
        <w:t xml:space="preserve">ther research has found </w:t>
      </w:r>
      <w:r w:rsidR="003A4A60">
        <w:lastRenderedPageBreak/>
        <w:t>that there may be a positive or negative relationship between competition and innovation, depending on the market structure (</w:t>
      </w:r>
      <w:r w:rsidR="007E2C84">
        <w:t>for example,</w:t>
      </w:r>
      <w:r w:rsidR="003A4A60">
        <w:t xml:space="preserve"> Aghion et al</w:t>
      </w:r>
      <w:r w:rsidR="00CB4374">
        <w:t>.</w:t>
      </w:r>
      <w:r w:rsidR="003A4A60">
        <w:t xml:space="preserve"> 2005). </w:t>
      </w:r>
    </w:p>
    <w:p w14:paraId="488F12F5" w14:textId="19DB3129" w:rsidR="00580659" w:rsidRDefault="009F3244" w:rsidP="00D737D8">
      <w:r>
        <w:t>When considering</w:t>
      </w:r>
      <w:r w:rsidR="00EC595A">
        <w:t xml:space="preserve"> the between</w:t>
      </w:r>
      <w:r w:rsidR="002B75D0">
        <w:noBreakHyphen/>
      </w:r>
      <w:r w:rsidR="00EC595A">
        <w:t xml:space="preserve">firm channel, </w:t>
      </w:r>
      <w:r w:rsidR="00AA442B">
        <w:t xml:space="preserve">competition can incentivise the flow of resources towards </w:t>
      </w:r>
      <w:r w:rsidR="00035B9D">
        <w:t xml:space="preserve">more productive firms </w:t>
      </w:r>
      <w:r w:rsidR="00AA442B">
        <w:t xml:space="preserve">and away from </w:t>
      </w:r>
      <w:r w:rsidR="002A7302">
        <w:t>less productive ones</w:t>
      </w:r>
      <w:r>
        <w:t>. This is</w:t>
      </w:r>
      <w:r w:rsidR="002A7302">
        <w:t xml:space="preserve"> </w:t>
      </w:r>
      <w:r w:rsidR="00580659">
        <w:t xml:space="preserve">a process known as </w:t>
      </w:r>
      <w:r w:rsidR="00580659" w:rsidRPr="0071248C">
        <w:t>dynamic reallocation</w:t>
      </w:r>
      <w:r w:rsidR="002838D5">
        <w:t xml:space="preserve"> (</w:t>
      </w:r>
      <w:r w:rsidR="007D192A">
        <w:t>for example,</w:t>
      </w:r>
      <w:r w:rsidR="001B2564">
        <w:t xml:space="preserve"> </w:t>
      </w:r>
      <w:r w:rsidR="002838D5">
        <w:t>Decker et al. 2017</w:t>
      </w:r>
      <w:r w:rsidR="00953578">
        <w:t xml:space="preserve"> and</w:t>
      </w:r>
      <w:r w:rsidR="002838D5">
        <w:t xml:space="preserve"> Decker et al. 2020</w:t>
      </w:r>
      <w:r w:rsidR="001B2564">
        <w:t>)</w:t>
      </w:r>
      <w:r w:rsidR="00AA442B">
        <w:t xml:space="preserve">. Less productive firms are then more likely to </w:t>
      </w:r>
      <w:r w:rsidR="00580659">
        <w:t xml:space="preserve">exit the market </w:t>
      </w:r>
      <w:r w:rsidR="00AA442B">
        <w:t>than more productive firms</w:t>
      </w:r>
      <w:r w:rsidR="007E1D90">
        <w:t xml:space="preserve"> </w:t>
      </w:r>
      <w:r w:rsidR="00580659">
        <w:t>(</w:t>
      </w:r>
      <w:r w:rsidR="00580659" w:rsidRPr="0071248C">
        <w:t>selection</w:t>
      </w:r>
      <w:r w:rsidR="00580659">
        <w:t>).</w:t>
      </w:r>
      <w:r w:rsidR="00CF4847">
        <w:t xml:space="preserve"> </w:t>
      </w:r>
      <w:r w:rsidR="00035B9D" w:rsidDel="001B78E4">
        <w:t xml:space="preserve">The </w:t>
      </w:r>
      <w:r w:rsidR="00035B9D">
        <w:t>between</w:t>
      </w:r>
      <w:r w:rsidR="002B75D0">
        <w:noBreakHyphen/>
      </w:r>
      <w:r w:rsidR="00035B9D">
        <w:t xml:space="preserve">firm effect on </w:t>
      </w:r>
      <w:r w:rsidR="00035B9D" w:rsidDel="001B78E4">
        <w:t>productivity of unsuccessful firms being forced from the market has also been established in the literature</w:t>
      </w:r>
      <w:r w:rsidR="00953578">
        <w:t xml:space="preserve"> (</w:t>
      </w:r>
      <w:r w:rsidR="007D192A">
        <w:t>for example,</w:t>
      </w:r>
      <w:r w:rsidR="00F72CE0">
        <w:t xml:space="preserve"> </w:t>
      </w:r>
      <w:proofErr w:type="spellStart"/>
      <w:r w:rsidR="00F72CE0">
        <w:t>Syverson</w:t>
      </w:r>
      <w:proofErr w:type="spellEnd"/>
      <w:r w:rsidR="00F72CE0">
        <w:t xml:space="preserve"> 2004)</w:t>
      </w:r>
      <w:r w:rsidR="00035B9D" w:rsidDel="001B78E4">
        <w:t>.</w:t>
      </w:r>
    </w:p>
    <w:p w14:paraId="495765CE" w14:textId="040AEED9" w:rsidR="00F1001F" w:rsidRDefault="00AA442B" w:rsidP="00D737D8">
      <w:pPr>
        <w:pStyle w:val="Bullet"/>
        <w:numPr>
          <w:ilvl w:val="0"/>
          <w:numId w:val="0"/>
        </w:numPr>
        <w:spacing w:after="160" w:line="259" w:lineRule="auto"/>
      </w:pPr>
      <w:r>
        <w:t>Given the clear link to productiv</w:t>
      </w:r>
      <w:r w:rsidR="00E35C4F">
        <w:t>i</w:t>
      </w:r>
      <w:r>
        <w:t xml:space="preserve">ty, it </w:t>
      </w:r>
      <w:r w:rsidR="00E64731">
        <w:t>is</w:t>
      </w:r>
      <w:r w:rsidR="00E64731" w:rsidDel="00AA442B">
        <w:t xml:space="preserve"> </w:t>
      </w:r>
      <w:r w:rsidR="00E64731">
        <w:t xml:space="preserve">important to examine how the state of competition in Australia has changed and whether declining competition could help to explain slower productivity growth. The sections below present evidence that </w:t>
      </w:r>
      <w:r w:rsidR="005A2328">
        <w:t xml:space="preserve">competition has lessened </w:t>
      </w:r>
      <w:r w:rsidR="00E64731">
        <w:t>across industries</w:t>
      </w:r>
      <w:r w:rsidR="00C373B4">
        <w:t>,</w:t>
      </w:r>
      <w:r w:rsidR="00E64731">
        <w:t xml:space="preserve"> and market power has grown from the 2000s to the present</w:t>
      </w:r>
      <w:r w:rsidR="005A2328">
        <w:t>.</w:t>
      </w:r>
      <w:r w:rsidR="00E64731">
        <w:t xml:space="preserve"> </w:t>
      </w:r>
      <w:r w:rsidR="005A2328">
        <w:t>T</w:t>
      </w:r>
      <w:r w:rsidR="00E64731">
        <w:t>his has weighed on productivity growth.</w:t>
      </w:r>
    </w:p>
    <w:p w14:paraId="08DC72A5" w14:textId="77777777" w:rsidR="00F1001F" w:rsidRPr="0040264F" w:rsidRDefault="00F1001F" w:rsidP="00014455">
      <w:pPr>
        <w:pStyle w:val="Heading1"/>
        <w:spacing w:before="360"/>
      </w:pPr>
      <w:r w:rsidRPr="0040264F">
        <w:t xml:space="preserve">Measures of market power have increased in Australia </w:t>
      </w:r>
    </w:p>
    <w:p w14:paraId="2F0F1900" w14:textId="0A54C755" w:rsidR="00AD7719" w:rsidRDefault="00F1001F" w:rsidP="00E526E9">
      <w:pPr>
        <w:rPr>
          <w:b/>
          <w:bCs/>
        </w:rPr>
      </w:pPr>
      <w:r>
        <w:t xml:space="preserve">There is no single </w:t>
      </w:r>
      <w:r w:rsidR="00C24525">
        <w:t xml:space="preserve">best </w:t>
      </w:r>
      <w:r>
        <w:t>measure of competition or market power</w:t>
      </w:r>
      <w:r w:rsidR="0084197C">
        <w:t xml:space="preserve"> (OECD 2021)</w:t>
      </w:r>
      <w:r>
        <w:t>. As a result, we look at a range of measures</w:t>
      </w:r>
      <w:r w:rsidR="008D3CF5" w:rsidRPr="008D3CF5">
        <w:t xml:space="preserve"> </w:t>
      </w:r>
      <w:r w:rsidR="008D3CF5">
        <w:t>to gauge the state of competition and its evolution since the early 2000s</w:t>
      </w:r>
      <w:r>
        <w:t xml:space="preserve">, including industry concentration, </w:t>
      </w:r>
      <w:proofErr w:type="gramStart"/>
      <w:r>
        <w:t>incumbency</w:t>
      </w:r>
      <w:proofErr w:type="gramEnd"/>
      <w:r>
        <w:t xml:space="preserve"> and mark</w:t>
      </w:r>
      <w:r w:rsidR="002B75D0">
        <w:noBreakHyphen/>
      </w:r>
      <w:r>
        <w:t xml:space="preserve">ups. </w:t>
      </w:r>
    </w:p>
    <w:p w14:paraId="5139E14F" w14:textId="27A7F1F5" w:rsidR="00441354" w:rsidRDefault="00F1001F" w:rsidP="00E526E9">
      <w:r w:rsidRPr="007A2E67">
        <w:rPr>
          <w:b/>
          <w:bCs/>
        </w:rPr>
        <w:t>Industry concentration</w:t>
      </w:r>
      <w:r>
        <w:t xml:space="preserve"> </w:t>
      </w:r>
      <w:r w:rsidR="00B82226">
        <w:t xml:space="preserve">metrics seek to explain the extent to which a small number of firms dominate an industry. One simple way of measuring this </w:t>
      </w:r>
      <w:r>
        <w:t xml:space="preserve">is the proportion of sales accounted for by the largest firms. </w:t>
      </w:r>
      <w:r w:rsidRPr="009E298C">
        <w:t>In 20</w:t>
      </w:r>
      <w:r>
        <w:t>18</w:t>
      </w:r>
      <w:r w:rsidR="000050AA">
        <w:sym w:font="Symbol" w:char="F02D"/>
      </w:r>
      <w:r w:rsidRPr="009E298C">
        <w:t xml:space="preserve">19, the largest </w:t>
      </w:r>
      <w:r w:rsidR="000050AA">
        <w:t>4</w:t>
      </w:r>
      <w:r w:rsidR="000050AA" w:rsidRPr="009E298C">
        <w:t xml:space="preserve"> </w:t>
      </w:r>
      <w:r w:rsidRPr="009E298C">
        <w:t>firms in each industry (4</w:t>
      </w:r>
      <w:r w:rsidR="002B75D0">
        <w:noBreakHyphen/>
      </w:r>
      <w:r w:rsidRPr="009E298C">
        <w:t>digit ANSZIC industry) made up around 43</w:t>
      </w:r>
      <w:r w:rsidR="00ED3CF2">
        <w:t> </w:t>
      </w:r>
      <w:r w:rsidRPr="009E298C">
        <w:t>per cent of total industry sales on average.</w:t>
      </w:r>
      <w:r>
        <w:t xml:space="preserve"> </w:t>
      </w:r>
      <w:r w:rsidR="002D7E5E">
        <w:t>This is around 2 percentage point</w:t>
      </w:r>
      <w:r w:rsidR="000050AA">
        <w:t>s</w:t>
      </w:r>
      <w:r w:rsidR="002D7E5E">
        <w:t xml:space="preserve"> higher than</w:t>
      </w:r>
      <w:r w:rsidR="002D7E5E" w:rsidRPr="006D20F6">
        <w:t xml:space="preserve"> </w:t>
      </w:r>
      <w:r w:rsidR="002D7E5E">
        <w:t>2001</w:t>
      </w:r>
      <w:r w:rsidR="000050AA">
        <w:sym w:font="Symbol" w:char="F02D"/>
      </w:r>
      <w:r w:rsidR="002D7E5E">
        <w:t>02</w:t>
      </w:r>
      <w:r w:rsidR="00F42D8E">
        <w:t xml:space="preserve"> </w:t>
      </w:r>
      <w:r w:rsidRPr="006D20F6">
        <w:t xml:space="preserve">(Figure </w:t>
      </w:r>
      <w:r w:rsidR="00BF78DE">
        <w:t>1</w:t>
      </w:r>
      <w:r w:rsidRPr="006D20F6">
        <w:t>)</w:t>
      </w:r>
      <w:r w:rsidR="001F78BB">
        <w:t>.</w:t>
      </w:r>
      <w:r>
        <w:rPr>
          <w:b/>
          <w:bCs/>
        </w:rPr>
        <w:t xml:space="preserve"> </w:t>
      </w:r>
      <w:r w:rsidR="00DD07C4">
        <w:t>A similar increasing trend is found using the Herfindahl</w:t>
      </w:r>
      <w:r w:rsidR="002B75D0">
        <w:noBreakHyphen/>
      </w:r>
      <w:r w:rsidR="00DD07C4">
        <w:t xml:space="preserve">Hirschman Index (HHI), </w:t>
      </w:r>
      <w:r w:rsidR="001F78BB">
        <w:t xml:space="preserve">which is calculated as the sum of squared market shares of each firm. </w:t>
      </w:r>
      <w:r w:rsidR="00DD07C4">
        <w:t>Increases in concentration since the early 2000s ha</w:t>
      </w:r>
      <w:r w:rsidR="001F78BB">
        <w:t>ve</w:t>
      </w:r>
      <w:r w:rsidR="00DD07C4">
        <w:t xml:space="preserve"> also been experienced overseas (</w:t>
      </w:r>
      <w:proofErr w:type="spellStart"/>
      <w:r w:rsidR="007F1CDE">
        <w:t>Bajgar</w:t>
      </w:r>
      <w:proofErr w:type="spellEnd"/>
      <w:r w:rsidR="007F1CDE">
        <w:t xml:space="preserve"> et al</w:t>
      </w:r>
      <w:r w:rsidR="00CB4374">
        <w:t>.</w:t>
      </w:r>
      <w:r w:rsidR="00DD07C4">
        <w:t xml:space="preserve"> 2019).</w:t>
      </w:r>
    </w:p>
    <w:p w14:paraId="2140978E" w14:textId="2FCF0F8D" w:rsidR="0040264F" w:rsidRPr="00F720D9" w:rsidRDefault="0040264F" w:rsidP="00D13B54">
      <w:pPr>
        <w:pStyle w:val="Charttitle"/>
      </w:pPr>
      <w:r>
        <w:t>F</w:t>
      </w:r>
      <w:r w:rsidRPr="00F720D9">
        <w:t xml:space="preserve">igure </w:t>
      </w:r>
      <w:r>
        <w:t>1</w:t>
      </w:r>
      <w:r w:rsidRPr="00F720D9">
        <w:t>: Average market share of top four firms in each industry</w:t>
      </w:r>
      <w:r w:rsidRPr="00CC24E0" w:rsidDel="00B41F6E">
        <w:rPr>
          <w:noProof/>
        </w:rPr>
        <w:drawing>
          <wp:inline distT="0" distB="0" distL="0" distR="0" wp14:anchorId="7EEE3AF7" wp14:editId="23F91870">
            <wp:extent cx="4062416" cy="2880000"/>
            <wp:effectExtent l="0" t="0" r="0" b="0"/>
            <wp:docPr id="33" name="Picture 33" descr="This figure shows the average market share of the top four firms in each industry from 2001-02 to 2019-20. Average market share of the top four firms in each industry had an upward trend over this period, increasing from approximately 41 per cent in 2001-02 to 43 per cent in 2018-1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is figure shows the average market share of the top four firms in each industry from 2001-02 to 2019-20. Average market share of the top four firms in each industry had an upward trend over this period, increasing from approximately 41 per cent in 2001-02 to 43 per cent in 2018-19. "/>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062416" cy="2880000"/>
                    </a:xfrm>
                    <a:prstGeom prst="rect">
                      <a:avLst/>
                    </a:prstGeom>
                    <a:noFill/>
                    <a:ln>
                      <a:noFill/>
                    </a:ln>
                  </pic:spPr>
                </pic:pic>
              </a:graphicData>
            </a:graphic>
          </wp:inline>
        </w:drawing>
      </w:r>
    </w:p>
    <w:p w14:paraId="4602F5E8" w14:textId="280EA0C9" w:rsidR="0040264F" w:rsidRDefault="0040264F" w:rsidP="0040264F">
      <w:pPr>
        <w:pStyle w:val="Chartsource"/>
      </w:pPr>
      <w:r w:rsidRPr="007E1176">
        <w:t>Note: Unweighted average of industries</w:t>
      </w:r>
      <w:r w:rsidR="00E622BD">
        <w:t xml:space="preserve">, </w:t>
      </w:r>
      <w:r w:rsidR="00D10A61">
        <w:t>excluding finance and non</w:t>
      </w:r>
      <w:r w:rsidR="002B75D0">
        <w:noBreakHyphen/>
      </w:r>
      <w:r w:rsidR="00D10A61">
        <w:t>market sectors.</w:t>
      </w:r>
    </w:p>
    <w:p w14:paraId="7AA09E85" w14:textId="66DF2A6B" w:rsidR="0040264F" w:rsidRDefault="0040264F" w:rsidP="0040264F">
      <w:pPr>
        <w:pStyle w:val="Chartsource"/>
      </w:pPr>
      <w:r w:rsidRPr="009E6FEF">
        <w:t xml:space="preserve">Source: Treasury calculations based on ABS BLADE. </w:t>
      </w:r>
    </w:p>
    <w:p w14:paraId="1A6B301A" w14:textId="77777777" w:rsidR="00784198" w:rsidRDefault="00784198" w:rsidP="00E526E9"/>
    <w:p w14:paraId="2336C9BE" w14:textId="5A0991BB" w:rsidR="00F1001F" w:rsidRPr="00F1001F" w:rsidRDefault="00F1001F" w:rsidP="00B32F3B">
      <w:pPr>
        <w:rPr>
          <w:b/>
          <w:bCs/>
        </w:rPr>
      </w:pPr>
      <w:r>
        <w:rPr>
          <w:b/>
          <w:bCs/>
        </w:rPr>
        <w:lastRenderedPageBreak/>
        <w:t>I</w:t>
      </w:r>
      <w:r w:rsidRPr="00107DC0">
        <w:rPr>
          <w:b/>
          <w:bCs/>
        </w:rPr>
        <w:t>ncumbency</w:t>
      </w:r>
      <w:r w:rsidRPr="00687AC0">
        <w:t xml:space="preserve"> metrics</w:t>
      </w:r>
      <w:r w:rsidRPr="00A82C94">
        <w:t xml:space="preserve"> </w:t>
      </w:r>
      <w:r>
        <w:t>of competition explore how long firms can maintain a high market share relative to their competitors. A</w:t>
      </w:r>
      <w:r w:rsidRPr="00687AC0">
        <w:t xml:space="preserve"> highly concentrated industry </w:t>
      </w:r>
      <w:r>
        <w:t>may</w:t>
      </w:r>
      <w:r w:rsidRPr="00687AC0">
        <w:t xml:space="preserve"> still be competitive if </w:t>
      </w:r>
      <w:r>
        <w:t>leading firms are frequently displaced from their position by new firms.</w:t>
      </w:r>
    </w:p>
    <w:p w14:paraId="6D240EE0" w14:textId="5B429DF2" w:rsidR="00F1001F" w:rsidRDefault="00F1001F" w:rsidP="00E53A91">
      <w:r>
        <w:t xml:space="preserve">One measure of incumbency is the proportion of top </w:t>
      </w:r>
      <w:r w:rsidR="008566A3">
        <w:t xml:space="preserve">4 </w:t>
      </w:r>
      <w:r>
        <w:t xml:space="preserve">firms in an industry that remain among the top for a substantial period (Figure </w:t>
      </w:r>
      <w:r w:rsidR="00BF78DE">
        <w:t>2</w:t>
      </w:r>
      <w:r>
        <w:t xml:space="preserve">). </w:t>
      </w:r>
      <w:r w:rsidRPr="00D54346">
        <w:t xml:space="preserve">Around 75 per cent of firms </w:t>
      </w:r>
      <w:r w:rsidR="00417CF5">
        <w:t>in</w:t>
      </w:r>
      <w:r w:rsidRPr="00D54346">
        <w:t xml:space="preserve"> the top 4 </w:t>
      </w:r>
      <w:r w:rsidR="00417CF5">
        <w:t>of</w:t>
      </w:r>
      <w:r w:rsidRPr="00D54346">
        <w:t xml:space="preserve"> their industry in 2016</w:t>
      </w:r>
      <w:r w:rsidR="008566A3">
        <w:sym w:font="Symbol" w:char="F02D"/>
      </w:r>
      <w:r w:rsidRPr="00D54346">
        <w:t>17</w:t>
      </w:r>
      <w:r w:rsidR="0011252E">
        <w:t>,</w:t>
      </w:r>
      <w:r w:rsidRPr="00D54346">
        <w:t xml:space="preserve"> </w:t>
      </w:r>
      <w:r w:rsidR="00AA442B">
        <w:t>were</w:t>
      </w:r>
      <w:r w:rsidR="00AA442B" w:rsidRPr="00D54346">
        <w:t xml:space="preserve"> </w:t>
      </w:r>
      <w:r w:rsidRPr="00D54346">
        <w:t xml:space="preserve">still </w:t>
      </w:r>
      <w:r w:rsidR="00AA442B">
        <w:t>there</w:t>
      </w:r>
      <w:r w:rsidRPr="00D54346">
        <w:t xml:space="preserve"> in 2018</w:t>
      </w:r>
      <w:r w:rsidR="008566A3">
        <w:sym w:font="Symbol" w:char="F02D"/>
      </w:r>
      <w:r w:rsidRPr="00D54346">
        <w:t>19</w:t>
      </w:r>
      <w:r w:rsidR="008566A3">
        <w:t>.</w:t>
      </w:r>
      <w:r>
        <w:t xml:space="preserve"> </w:t>
      </w:r>
      <w:r w:rsidR="00EA2D66">
        <w:rPr>
          <w:rFonts w:cs="Calibri"/>
          <w:szCs w:val="22"/>
        </w:rPr>
        <w:t>This has increased from around 71 per cent in 2001</w:t>
      </w:r>
      <w:r w:rsidR="00502848">
        <w:rPr>
          <w:rFonts w:cs="Calibri"/>
          <w:szCs w:val="22"/>
        </w:rPr>
        <w:sym w:font="Symbol" w:char="F02D"/>
      </w:r>
      <w:r w:rsidR="00EA2D66">
        <w:rPr>
          <w:rFonts w:cs="Calibri"/>
          <w:szCs w:val="22"/>
        </w:rPr>
        <w:t>02</w:t>
      </w:r>
      <w:r>
        <w:t>.</w:t>
      </w:r>
      <w:r>
        <w:rPr>
          <w:b/>
          <w:bCs/>
        </w:rPr>
        <w:t xml:space="preserve"> </w:t>
      </w:r>
    </w:p>
    <w:p w14:paraId="7EC013D4" w14:textId="77777777" w:rsidR="00F1001F" w:rsidRPr="007E1176" w:rsidRDefault="00F1001F" w:rsidP="00F1001F">
      <w:pPr>
        <w:pStyle w:val="Charttitle"/>
      </w:pPr>
      <w:r w:rsidRPr="007E1176">
        <w:t xml:space="preserve">Figure </w:t>
      </w:r>
      <w:r>
        <w:t>2</w:t>
      </w:r>
      <w:r w:rsidRPr="007E1176">
        <w:t xml:space="preserve">: Share of top four firms </w:t>
      </w:r>
      <w:r>
        <w:t xml:space="preserve">that were </w:t>
      </w:r>
      <w:r w:rsidRPr="007E1176">
        <w:t>still in the top four after 2 and 4 years</w:t>
      </w:r>
    </w:p>
    <w:p w14:paraId="29C5A0AE" w14:textId="3614E42E" w:rsidR="00F1001F" w:rsidRPr="00B93280" w:rsidRDefault="00AD7DF4" w:rsidP="00ED3CF2">
      <w:pPr>
        <w:pStyle w:val="Chart"/>
      </w:pPr>
      <w:r w:rsidRPr="00AD7DF4">
        <w:drawing>
          <wp:inline distT="0" distB="0" distL="0" distR="0" wp14:anchorId="0676EFB8" wp14:editId="71F3B07F">
            <wp:extent cx="4070985" cy="2886075"/>
            <wp:effectExtent l="0" t="0" r="0" b="0"/>
            <wp:docPr id="51" name="Picture 51" descr="This figure shows a time series of the share of top four firms that were still in the top four after 2 and 4 years. Both measures show an upward trend since 2001-02. Around 75 per cent of firms who were in the top 4 firms in their industry in 2016-17 were still there two years later, up from around 71 per cent in 2001-02. Similar, around 65 per cent of firms in the top 4 in 2014-15 were still there four years later, up from 56 per cent in 2001-0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This figure shows a time series of the share of top four firms that were still in the top four after 2 and 4 years. Both measures show an upward trend since 2001-02. Around 75 per cent of firms who were in the top 4 firms in their industry in 2016-17 were still there two years later, up from around 71 per cent in 2001-02. Similar, around 65 per cent of firms in the top 4 in 2014-15 were still there four years later, up from 56 per cent in 2001-02. "/>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070985" cy="2886075"/>
                    </a:xfrm>
                    <a:prstGeom prst="rect">
                      <a:avLst/>
                    </a:prstGeom>
                    <a:noFill/>
                    <a:ln>
                      <a:noFill/>
                    </a:ln>
                  </pic:spPr>
                </pic:pic>
              </a:graphicData>
            </a:graphic>
          </wp:inline>
        </w:drawing>
      </w:r>
    </w:p>
    <w:p w14:paraId="6126D935" w14:textId="77777777" w:rsidR="00F1001F" w:rsidRDefault="00F1001F" w:rsidP="00F1001F">
      <w:pPr>
        <w:pStyle w:val="Chartsource"/>
      </w:pPr>
      <w:r w:rsidRPr="007E1176">
        <w:t>Source: Treasury calculations based on ABS BLADE.</w:t>
      </w:r>
    </w:p>
    <w:p w14:paraId="7BBE45E8" w14:textId="77777777" w:rsidR="00E74293" w:rsidRDefault="00E74293" w:rsidP="00B32F3B"/>
    <w:p w14:paraId="108B7A49" w14:textId="0BC818F7" w:rsidR="00F1001F" w:rsidRDefault="00F1001F" w:rsidP="001F18E1">
      <w:pPr>
        <w:pStyle w:val="Bullet"/>
        <w:numPr>
          <w:ilvl w:val="0"/>
          <w:numId w:val="0"/>
        </w:numPr>
        <w:spacing w:after="160" w:line="259" w:lineRule="auto"/>
        <w:rPr>
          <w:b/>
          <w:bCs/>
        </w:rPr>
      </w:pPr>
      <w:r w:rsidRPr="00A82C94">
        <w:t xml:space="preserve">Another proxy for market power that is increasingly popular in the literature is </w:t>
      </w:r>
      <w:bookmarkStart w:id="7" w:name="_Hlk109457755"/>
      <w:r>
        <w:t xml:space="preserve">a </w:t>
      </w:r>
      <w:r w:rsidRPr="00A82C94">
        <w:t xml:space="preserve">firm’s </w:t>
      </w:r>
      <w:r w:rsidRPr="00F23D04">
        <w:t>mark</w:t>
      </w:r>
      <w:r w:rsidR="00F23D04" w:rsidRPr="00F23D04">
        <w:t>-</w:t>
      </w:r>
      <w:r w:rsidRPr="00F23D04">
        <w:t>ups</w:t>
      </w:r>
      <w:r w:rsidRPr="00A82C94">
        <w:t xml:space="preserve">, or the ratio of </w:t>
      </w:r>
      <w:r>
        <w:t>a firm’s</w:t>
      </w:r>
      <w:r w:rsidRPr="00A82C94">
        <w:t xml:space="preserve"> price to its marginal cost of production.</w:t>
      </w:r>
      <w:bookmarkEnd w:id="7"/>
      <w:r>
        <w:t xml:space="preserve"> </w:t>
      </w:r>
      <w:r w:rsidRPr="00732A90">
        <w:t xml:space="preserve">This </w:t>
      </w:r>
      <w:r>
        <w:t xml:space="preserve">is a more direct measure of market power compared to concentration or incumbency since it provides insight into a </w:t>
      </w:r>
      <w:r w:rsidRPr="00732A90">
        <w:t>firm</w:t>
      </w:r>
      <w:r w:rsidR="0011252E">
        <w:t>’</w:t>
      </w:r>
      <w:r w:rsidRPr="00732A90">
        <w:t>s ability to influence the price</w:t>
      </w:r>
      <w:r>
        <w:t xml:space="preserve"> it receives</w:t>
      </w:r>
      <w:r w:rsidR="000731F4">
        <w:t xml:space="preserve"> for the goods and services it sells</w:t>
      </w:r>
      <w:r w:rsidRPr="00732A90">
        <w:t>.</w:t>
      </w:r>
      <w:r w:rsidR="000634B4">
        <w:rPr>
          <w:rStyle w:val="FootnoteReference"/>
        </w:rPr>
        <w:footnoteReference w:id="12"/>
      </w:r>
      <w:r>
        <w:t xml:space="preserve"> </w:t>
      </w:r>
      <w:r w:rsidRPr="00732A90">
        <w:t xml:space="preserve"> </w:t>
      </w:r>
    </w:p>
    <w:p w14:paraId="517EC8C4" w14:textId="21CFC1A1" w:rsidR="00F1001F" w:rsidRPr="00F1001F" w:rsidRDefault="00F1001F" w:rsidP="001F18E1">
      <w:pPr>
        <w:pStyle w:val="Bullet"/>
        <w:numPr>
          <w:ilvl w:val="0"/>
          <w:numId w:val="0"/>
        </w:numPr>
        <w:spacing w:after="160" w:line="259" w:lineRule="auto"/>
        <w:rPr>
          <w:b/>
          <w:bCs/>
        </w:rPr>
      </w:pPr>
      <w:r>
        <w:t>Mark</w:t>
      </w:r>
      <w:r w:rsidR="00F23D04">
        <w:t>-</w:t>
      </w:r>
      <w:r>
        <w:t>ups</w:t>
      </w:r>
      <w:r w:rsidRPr="008F1B1E">
        <w:t xml:space="preserve"> were estimated </w:t>
      </w:r>
      <w:r>
        <w:t xml:space="preserve">in </w:t>
      </w:r>
      <w:r w:rsidR="00B75083">
        <w:t xml:space="preserve">a </w:t>
      </w:r>
      <w:r>
        <w:t xml:space="preserve">Treasury working paper for </w:t>
      </w:r>
      <w:r w:rsidRPr="008F1B1E">
        <w:t>employing firms in the non</w:t>
      </w:r>
      <w:r w:rsidR="002B75D0">
        <w:noBreakHyphen/>
      </w:r>
      <w:r w:rsidRPr="008F1B1E">
        <w:t>financial market sector</w:t>
      </w:r>
      <w:r w:rsidR="0011252E">
        <w:t xml:space="preserve">, </w:t>
      </w:r>
      <w:r w:rsidRPr="008F1B1E">
        <w:t>capturing on average about 60 per cent of the sales in each constituent industry division</w:t>
      </w:r>
      <w:r w:rsidR="0011252E">
        <w:t xml:space="preserve"> (</w:t>
      </w:r>
      <w:r>
        <w:t xml:space="preserve">see Hambur 2021). </w:t>
      </w:r>
      <w:r w:rsidRPr="00A82C94">
        <w:t>Average firm mark</w:t>
      </w:r>
      <w:r w:rsidR="00F23D04">
        <w:t>-</w:t>
      </w:r>
      <w:r w:rsidRPr="00A82C94">
        <w:t>ups increased by around 6 per cent between 200</w:t>
      </w:r>
      <w:r>
        <w:t>3</w:t>
      </w:r>
      <w:r w:rsidR="0011252E">
        <w:sym w:font="Symbol" w:char="F02D"/>
      </w:r>
      <w:r>
        <w:t>0</w:t>
      </w:r>
      <w:r w:rsidRPr="00A82C94">
        <w:t>4 and 20</w:t>
      </w:r>
      <w:r>
        <w:t>16</w:t>
      </w:r>
      <w:r w:rsidR="0011252E">
        <w:sym w:font="Symbol" w:char="F02D"/>
      </w:r>
      <w:r w:rsidRPr="00A82C94">
        <w:t xml:space="preserve">17 (Figure </w:t>
      </w:r>
      <w:r w:rsidR="00BF78DE">
        <w:t>3</w:t>
      </w:r>
      <w:r w:rsidRPr="00A82C94">
        <w:t>).</w:t>
      </w:r>
      <w:r>
        <w:rPr>
          <w:b/>
          <w:bCs/>
        </w:rPr>
        <w:t xml:space="preserve"> </w:t>
      </w:r>
      <w:r w:rsidRPr="00E8596C">
        <w:t xml:space="preserve">This was a little </w:t>
      </w:r>
      <w:r w:rsidR="00005DDE">
        <w:t>smaller</w:t>
      </w:r>
      <w:r w:rsidR="00005DDE" w:rsidRPr="00E8596C">
        <w:t xml:space="preserve"> </w:t>
      </w:r>
      <w:r w:rsidRPr="00E8596C">
        <w:t xml:space="preserve">than </w:t>
      </w:r>
      <w:r>
        <w:t>alternative estimates for Australia (</w:t>
      </w:r>
      <w:r w:rsidRPr="00E8596C">
        <w:t>De</w:t>
      </w:r>
      <w:r w:rsidR="009E2DA2">
        <w:t> </w:t>
      </w:r>
      <w:proofErr w:type="spellStart"/>
      <w:r w:rsidRPr="00E8596C">
        <w:t>Loecker</w:t>
      </w:r>
      <w:proofErr w:type="spellEnd"/>
      <w:r w:rsidRPr="00E8596C">
        <w:t xml:space="preserve"> and </w:t>
      </w:r>
      <w:proofErr w:type="spellStart"/>
      <w:r w:rsidRPr="00E8596C">
        <w:t>Eeckhout</w:t>
      </w:r>
      <w:proofErr w:type="spellEnd"/>
      <w:r w:rsidRPr="00E8596C">
        <w:t xml:space="preserve"> 2018). </w:t>
      </w:r>
      <w:r>
        <w:t>While there</w:t>
      </w:r>
      <w:r w:rsidRPr="00E8596C">
        <w:t xml:space="preserve"> is moderate variation in the evolution of </w:t>
      </w:r>
      <w:r w:rsidRPr="00F23D04">
        <w:t>mark</w:t>
      </w:r>
      <w:r w:rsidRPr="00F23D04">
        <w:noBreakHyphen/>
        <w:t>ups</w:t>
      </w:r>
      <w:r w:rsidRPr="00E8596C">
        <w:t xml:space="preserve"> across </w:t>
      </w:r>
      <w:r>
        <w:t>industries</w:t>
      </w:r>
      <w:r w:rsidRPr="00E8596C">
        <w:t xml:space="preserve">, </w:t>
      </w:r>
      <w:r w:rsidR="0011252E">
        <w:t>they</w:t>
      </w:r>
      <w:r w:rsidRPr="00E8596C">
        <w:t xml:space="preserve"> </w:t>
      </w:r>
      <w:r w:rsidR="000731F4">
        <w:t>appear to have</w:t>
      </w:r>
      <w:r w:rsidR="000731F4" w:rsidRPr="00E8596C">
        <w:t xml:space="preserve"> </w:t>
      </w:r>
      <w:r w:rsidRPr="00E8596C">
        <w:t>increased for firms in most parts of the economy.</w:t>
      </w:r>
    </w:p>
    <w:p w14:paraId="707E8267" w14:textId="211347E5" w:rsidR="00F1001F" w:rsidRPr="007E1176" w:rsidRDefault="00F1001F" w:rsidP="00F1001F">
      <w:pPr>
        <w:pStyle w:val="Charttitle"/>
      </w:pPr>
      <w:r w:rsidRPr="007E1176">
        <w:lastRenderedPageBreak/>
        <w:t xml:space="preserve">Figure </w:t>
      </w:r>
      <w:r>
        <w:t>3</w:t>
      </w:r>
      <w:r w:rsidRPr="007E1176">
        <w:t xml:space="preserve">: Average </w:t>
      </w:r>
      <w:r w:rsidR="00C24525">
        <w:t>f</w:t>
      </w:r>
      <w:r w:rsidRPr="007E1176">
        <w:t>irm</w:t>
      </w:r>
      <w:r w:rsidR="002B75D0">
        <w:noBreakHyphen/>
      </w:r>
      <w:r w:rsidRPr="007E1176">
        <w:t xml:space="preserve">level </w:t>
      </w:r>
      <w:r w:rsidR="00C24525" w:rsidRPr="00F23D04">
        <w:t>m</w:t>
      </w:r>
      <w:r w:rsidRPr="00F23D04">
        <w:t>ark</w:t>
      </w:r>
      <w:r w:rsidR="002B75D0" w:rsidRPr="00F23D04">
        <w:noBreakHyphen/>
      </w:r>
      <w:r w:rsidRPr="00F23D04">
        <w:t>ups</w:t>
      </w:r>
    </w:p>
    <w:p w14:paraId="405DA43A" w14:textId="0C41084A" w:rsidR="00F1001F" w:rsidRDefault="00E228C6" w:rsidP="00EC38FB">
      <w:pPr>
        <w:pStyle w:val="Chart"/>
      </w:pPr>
      <w:r w:rsidRPr="00E228C6">
        <w:t xml:space="preserve"> </w:t>
      </w:r>
      <w:r w:rsidR="00CC24E0" w:rsidRPr="00CC24E0">
        <w:drawing>
          <wp:inline distT="0" distB="0" distL="0" distR="0" wp14:anchorId="2AB27877" wp14:editId="187F971F">
            <wp:extent cx="4070985" cy="2886075"/>
            <wp:effectExtent l="0" t="0" r="5715" b="0"/>
            <wp:docPr id="18" name="Picture 18" descr="This figure shows average firm-level mark-ups from 2003-04 to 2016-17, indexed to 2003-04. Average firm-level mark-ups had an upward trend over this period, increasing by approximately 6 percent from 2003-04 to 20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This figure shows average firm-level mark-ups from 2003-04 to 2016-17, indexed to 2003-04. Average firm-level mark-ups had an upward trend over this period, increasing by approximately 6 percent from 2003-04 to 2017-1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070985" cy="2886075"/>
                    </a:xfrm>
                    <a:prstGeom prst="rect">
                      <a:avLst/>
                    </a:prstGeom>
                    <a:noFill/>
                    <a:ln>
                      <a:noFill/>
                    </a:ln>
                  </pic:spPr>
                </pic:pic>
              </a:graphicData>
            </a:graphic>
          </wp:inline>
        </w:drawing>
      </w:r>
    </w:p>
    <w:p w14:paraId="637213D1" w14:textId="3D384030" w:rsidR="00F1001F" w:rsidRPr="007E1176" w:rsidRDefault="00F1001F" w:rsidP="00F1001F">
      <w:pPr>
        <w:pStyle w:val="Chartsource"/>
      </w:pPr>
      <w:r w:rsidRPr="007E1176">
        <w:t>Notes: Index = 100 in 20</w:t>
      </w:r>
      <w:r w:rsidR="00D703F1">
        <w:t>03</w:t>
      </w:r>
      <w:r w:rsidR="002B75D0">
        <w:noBreakHyphen/>
      </w:r>
      <w:r w:rsidRPr="007E1176">
        <w:t xml:space="preserve">04; unweighted. </w:t>
      </w:r>
    </w:p>
    <w:p w14:paraId="09B959C6" w14:textId="77777777" w:rsidR="00F1001F" w:rsidRDefault="00F1001F" w:rsidP="00F1001F">
      <w:pPr>
        <w:pStyle w:val="Chartsource"/>
      </w:pPr>
      <w:r w:rsidRPr="007E1176">
        <w:t>Source: Hambur (2021)</w:t>
      </w:r>
    </w:p>
    <w:p w14:paraId="49F5D899" w14:textId="77777777" w:rsidR="00F1001F" w:rsidRDefault="00F1001F" w:rsidP="00F1001F">
      <w:pPr>
        <w:pStyle w:val="Chartsource"/>
      </w:pPr>
    </w:p>
    <w:p w14:paraId="0D3467B3" w14:textId="783AB219" w:rsidR="00F1001F" w:rsidRDefault="00F1001F" w:rsidP="003F78E8">
      <w:pPr>
        <w:autoSpaceDE w:val="0"/>
        <w:autoSpaceDN w:val="0"/>
        <w:adjustRightInd w:val="0"/>
      </w:pPr>
      <w:r>
        <w:t>Taken together, measures of market power have trended upwards in Australia since the mid</w:t>
      </w:r>
      <w:r w:rsidR="002B75D0">
        <w:noBreakHyphen/>
      </w:r>
      <w:r>
        <w:t xml:space="preserve">2000s. </w:t>
      </w:r>
      <w:r w:rsidRPr="0031541A">
        <w:t xml:space="preserve">Other economies have also experienced </w:t>
      </w:r>
      <w:r w:rsidR="00223E12">
        <w:t xml:space="preserve">similar </w:t>
      </w:r>
      <w:r>
        <w:t>increases in market power</w:t>
      </w:r>
      <w:r w:rsidRPr="0031541A">
        <w:t xml:space="preserve"> (</w:t>
      </w:r>
      <w:proofErr w:type="spellStart"/>
      <w:r w:rsidR="007F1CDE">
        <w:t>Bajgar</w:t>
      </w:r>
      <w:proofErr w:type="spellEnd"/>
      <w:r w:rsidR="007F1CDE">
        <w:t xml:space="preserve"> et al</w:t>
      </w:r>
      <w:r w:rsidR="00CB4374">
        <w:t>.</w:t>
      </w:r>
      <w:r w:rsidR="007F1CDE">
        <w:t xml:space="preserve"> 2019; </w:t>
      </w:r>
      <w:r w:rsidRPr="00CA68EA">
        <w:t xml:space="preserve">De </w:t>
      </w:r>
      <w:proofErr w:type="spellStart"/>
      <w:r w:rsidRPr="00CA68EA">
        <w:t>Loecke</w:t>
      </w:r>
      <w:r>
        <w:t>r</w:t>
      </w:r>
      <w:proofErr w:type="spellEnd"/>
      <w:r w:rsidRPr="00CA68EA">
        <w:t xml:space="preserve"> et al</w:t>
      </w:r>
      <w:r w:rsidR="00CB4374">
        <w:t>.</w:t>
      </w:r>
      <w:r w:rsidRPr="00CA68EA">
        <w:t xml:space="preserve"> 2020; De </w:t>
      </w:r>
      <w:proofErr w:type="spellStart"/>
      <w:r w:rsidRPr="00CA68EA">
        <w:t>Loecker</w:t>
      </w:r>
      <w:proofErr w:type="spellEnd"/>
      <w:r w:rsidRPr="00CA68EA">
        <w:t xml:space="preserve"> </w:t>
      </w:r>
      <w:r w:rsidR="00442A63" w:rsidRPr="00E8596C">
        <w:t xml:space="preserve">and </w:t>
      </w:r>
      <w:proofErr w:type="spellStart"/>
      <w:r w:rsidR="00442A63" w:rsidRPr="00E8596C">
        <w:t>Eeckhout</w:t>
      </w:r>
      <w:proofErr w:type="spellEnd"/>
      <w:r w:rsidR="00442A63" w:rsidRPr="00E8596C">
        <w:t xml:space="preserve"> </w:t>
      </w:r>
      <w:r w:rsidRPr="00CA68EA">
        <w:t>2018; IMF 2019; CMA 2020</w:t>
      </w:r>
      <w:r w:rsidRPr="0031541A">
        <w:t>) as well as decreases in dynamism (</w:t>
      </w:r>
      <w:r w:rsidRPr="00CA68EA">
        <w:t>Decker et al</w:t>
      </w:r>
      <w:r w:rsidR="00CB4374">
        <w:t>.</w:t>
      </w:r>
      <w:r w:rsidRPr="00CA68EA">
        <w:t xml:space="preserve"> 2017</w:t>
      </w:r>
      <w:r w:rsidRPr="0031541A">
        <w:t xml:space="preserve">). </w:t>
      </w:r>
    </w:p>
    <w:p w14:paraId="7B1D9302" w14:textId="1D01A7F5" w:rsidR="00F1001F" w:rsidRDefault="00F1001F" w:rsidP="00ED3CF2">
      <w:pPr>
        <w:pStyle w:val="Heading1"/>
      </w:pPr>
      <w:r>
        <w:t xml:space="preserve">Increases in market power </w:t>
      </w:r>
      <w:r w:rsidR="00C46865">
        <w:t xml:space="preserve">metrics </w:t>
      </w:r>
      <w:r>
        <w:t>likely reflect decreases in competition</w:t>
      </w:r>
    </w:p>
    <w:p w14:paraId="389DB6C7" w14:textId="77777777" w:rsidR="00F1001F" w:rsidRDefault="00F1001F" w:rsidP="00ED3CF2">
      <w:pPr>
        <w:rPr>
          <w:b/>
          <w:bCs/>
        </w:rPr>
      </w:pPr>
      <w:r>
        <w:t xml:space="preserve">We examine several potential explanations for the rise in these metrics, including the superstar hypothesis, changing technology, and declining competitive pressure in the economy. </w:t>
      </w:r>
    </w:p>
    <w:p w14:paraId="79DD458A" w14:textId="1EA66A1D" w:rsidR="00F1001F" w:rsidRPr="00F1001F" w:rsidRDefault="0011252E" w:rsidP="00ED3CF2">
      <w:r>
        <w:t>The</w:t>
      </w:r>
      <w:r w:rsidR="00F1001F">
        <w:t xml:space="preserve"> </w:t>
      </w:r>
      <w:r w:rsidR="00F1001F" w:rsidRPr="00A82C94">
        <w:t xml:space="preserve">increase in </w:t>
      </w:r>
      <w:r w:rsidR="00F1001F" w:rsidRPr="00F23D04">
        <w:t>mark</w:t>
      </w:r>
      <w:r w:rsidR="002B75D0" w:rsidRPr="00F23D04">
        <w:noBreakHyphen/>
      </w:r>
      <w:r w:rsidR="00F1001F" w:rsidRPr="00F23D04">
        <w:t>ups</w:t>
      </w:r>
      <w:r w:rsidR="00F1001F" w:rsidRPr="00A82C94">
        <w:t xml:space="preserve"> may reflect a rise in </w:t>
      </w:r>
      <w:r w:rsidR="00451C25">
        <w:t>‘</w:t>
      </w:r>
      <w:r w:rsidR="00F1001F" w:rsidRPr="00A82C94">
        <w:t>superstar firms</w:t>
      </w:r>
      <w:r w:rsidR="00451C25">
        <w:t>’</w:t>
      </w:r>
      <w:r w:rsidR="00F1001F" w:rsidRPr="00A82C94">
        <w:t xml:space="preserve"> where the most productive firms benefit at the expense of others (Autor et al</w:t>
      </w:r>
      <w:r w:rsidR="00CB4374">
        <w:t>.</w:t>
      </w:r>
      <w:r w:rsidR="00F1001F" w:rsidRPr="00A82C94">
        <w:t xml:space="preserve"> 2020). </w:t>
      </w:r>
      <w:r w:rsidR="00F1001F">
        <w:t xml:space="preserve">However, this does not appear to be the key driver of increased market power in Australia. While the </w:t>
      </w:r>
      <w:r w:rsidR="00F1001F" w:rsidRPr="006B3B8C">
        <w:t xml:space="preserve">increase in </w:t>
      </w:r>
      <w:r w:rsidR="00F1001F" w:rsidRPr="00F23D04">
        <w:t>mark</w:t>
      </w:r>
      <w:r w:rsidR="002B75D0" w:rsidRPr="00F23D04">
        <w:noBreakHyphen/>
      </w:r>
      <w:r w:rsidR="00F1001F" w:rsidRPr="00F23D04">
        <w:t>ups</w:t>
      </w:r>
      <w:r w:rsidR="00F1001F" w:rsidRPr="006B3B8C">
        <w:t xml:space="preserve"> </w:t>
      </w:r>
      <w:r w:rsidR="00F1001F">
        <w:t xml:space="preserve">is larger for the </w:t>
      </w:r>
      <w:r w:rsidR="00F1001F" w:rsidRPr="006B3B8C">
        <w:t xml:space="preserve">upper part of the </w:t>
      </w:r>
      <w:r w:rsidR="00F1001F" w:rsidRPr="00F23D04">
        <w:t>mark</w:t>
      </w:r>
      <w:r w:rsidR="002B75D0" w:rsidRPr="00F23D04">
        <w:noBreakHyphen/>
      </w:r>
      <w:r w:rsidR="00F1001F" w:rsidRPr="00F23D04">
        <w:t>up</w:t>
      </w:r>
      <w:r w:rsidR="00F1001F" w:rsidRPr="006B3B8C">
        <w:t xml:space="preserve"> distribution,</w:t>
      </w:r>
      <w:r w:rsidR="00F1001F">
        <w:t xml:space="preserve"> </w:t>
      </w:r>
      <w:r w:rsidR="00F1001F" w:rsidRPr="006B3B8C">
        <w:t xml:space="preserve">the increase </w:t>
      </w:r>
      <w:r w:rsidR="00F1001F">
        <w:t>is broad</w:t>
      </w:r>
      <w:r w:rsidR="00451C25">
        <w:t xml:space="preserve"> </w:t>
      </w:r>
      <w:r w:rsidR="00F1001F">
        <w:t xml:space="preserve">based (Figure </w:t>
      </w:r>
      <w:r w:rsidR="00BF78DE">
        <w:t>4</w:t>
      </w:r>
      <w:r w:rsidR="00F1001F">
        <w:t>).</w:t>
      </w:r>
      <w:r w:rsidR="00F1001F">
        <w:rPr>
          <w:b/>
          <w:bCs/>
        </w:rPr>
        <w:t xml:space="preserve"> </w:t>
      </w:r>
      <w:r w:rsidR="00F1001F">
        <w:t xml:space="preserve">The increase in firm </w:t>
      </w:r>
      <w:r w:rsidR="00F1001F" w:rsidRPr="00F23D04">
        <w:t>mark</w:t>
      </w:r>
      <w:r w:rsidR="002B75D0" w:rsidRPr="00F23D04">
        <w:noBreakHyphen/>
      </w:r>
      <w:r w:rsidR="00F1001F" w:rsidRPr="00F23D04">
        <w:t>ups</w:t>
      </w:r>
      <w:r w:rsidR="00F1001F">
        <w:t xml:space="preserve"> is </w:t>
      </w:r>
      <w:r w:rsidR="00F1001F" w:rsidRPr="00A82C94">
        <w:t>driven by within</w:t>
      </w:r>
      <w:r w:rsidR="002B75D0">
        <w:noBreakHyphen/>
      </w:r>
      <w:r w:rsidR="00F1001F" w:rsidRPr="00A82C94">
        <w:t>firm increases rather than reallocation</w:t>
      </w:r>
      <w:r w:rsidR="00BA7C9C">
        <w:t xml:space="preserve"> in activity</w:t>
      </w:r>
      <w:r w:rsidR="00F1001F" w:rsidRPr="00A82C94">
        <w:t xml:space="preserve"> towards high </w:t>
      </w:r>
      <w:r w:rsidR="00F1001F" w:rsidRPr="00F23D04">
        <w:t>mark</w:t>
      </w:r>
      <w:r w:rsidR="002B75D0" w:rsidRPr="00F23D04">
        <w:noBreakHyphen/>
      </w:r>
      <w:r w:rsidR="00F1001F" w:rsidRPr="00F23D04">
        <w:t>up</w:t>
      </w:r>
      <w:r w:rsidR="00F1001F" w:rsidRPr="00A82C94">
        <w:t xml:space="preserve"> firms</w:t>
      </w:r>
      <w:r w:rsidR="00F1001F">
        <w:t xml:space="preserve"> (Hambur 2021)</w:t>
      </w:r>
      <w:r w:rsidR="00F1001F" w:rsidRPr="00A82C94">
        <w:t xml:space="preserve">. </w:t>
      </w:r>
      <w:r w:rsidR="00DD6DB1">
        <w:t>T</w:t>
      </w:r>
      <w:r w:rsidR="00F1001F">
        <w:t xml:space="preserve">hese findings </w:t>
      </w:r>
      <w:r w:rsidR="00DD6DB1">
        <w:t xml:space="preserve">provide evidence against the </w:t>
      </w:r>
      <w:r w:rsidR="00F1001F">
        <w:t>superstar firms</w:t>
      </w:r>
      <w:r w:rsidR="006C5951">
        <w:t xml:space="preserve"> </w:t>
      </w:r>
      <w:r w:rsidR="00DD6DB1">
        <w:t xml:space="preserve">hypothesis for </w:t>
      </w:r>
      <w:r w:rsidR="00F1001F">
        <w:t>Australia.</w:t>
      </w:r>
    </w:p>
    <w:p w14:paraId="2B3C400E" w14:textId="23AF9553" w:rsidR="00F1001F" w:rsidRPr="007E1176" w:rsidRDefault="00F1001F" w:rsidP="00F1001F">
      <w:pPr>
        <w:pStyle w:val="Charttitle"/>
      </w:pPr>
      <w:r w:rsidRPr="007E1176">
        <w:lastRenderedPageBreak/>
        <w:t xml:space="preserve">Figure </w:t>
      </w:r>
      <w:r w:rsidR="00BF78DE">
        <w:t>4</w:t>
      </w:r>
      <w:r w:rsidRPr="007E1176">
        <w:t xml:space="preserve">: Distribution of </w:t>
      </w:r>
      <w:r w:rsidR="00C24525">
        <w:t>f</w:t>
      </w:r>
      <w:r w:rsidRPr="007E1176">
        <w:t>irm</w:t>
      </w:r>
      <w:r w:rsidRPr="007E1176">
        <w:noBreakHyphen/>
        <w:t xml:space="preserve">level </w:t>
      </w:r>
      <w:r w:rsidR="00C24525" w:rsidRPr="00F23D04">
        <w:t>m</w:t>
      </w:r>
      <w:r w:rsidRPr="000177E8">
        <w:t>ark</w:t>
      </w:r>
      <w:r w:rsidRPr="000177E8">
        <w:noBreakHyphen/>
        <w:t>ups</w:t>
      </w:r>
    </w:p>
    <w:p w14:paraId="4172152E" w14:textId="1EB8C6CD" w:rsidR="00F1001F" w:rsidRPr="004020FB" w:rsidRDefault="00E228C6" w:rsidP="00EC38FB">
      <w:pPr>
        <w:pStyle w:val="Chart"/>
      </w:pPr>
      <w:r w:rsidRPr="00E228C6">
        <w:t xml:space="preserve"> </w:t>
      </w:r>
      <w:r w:rsidR="00CC24E0" w:rsidRPr="00CC24E0">
        <w:drawing>
          <wp:inline distT="0" distB="0" distL="0" distR="0" wp14:anchorId="573E6301" wp14:editId="27C5F9E5">
            <wp:extent cx="4070985" cy="2886075"/>
            <wp:effectExtent l="0" t="0" r="0" b="9525"/>
            <wp:docPr id="49" name="Picture 49" descr="This figure shows average firm-level mark-ups from 2003-04 to 2016-17, indexed to 2003-04, for different percentiles of the mark-up distribution. The five lines on the chart represent the change in mark-ups over time for the 10th, 25th, 50th (median), 75th and 90th percentiles of the mark-up distribution. While mark-ups in the 90th and 75th percentiles of the mark-up distribution increased by more between 2003-04 to 2016-17, all percentiles show an upward trend over this peri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This figure shows average firm-level mark-ups from 2003-04 to 2016-17, indexed to 2003-04, for different percentiles of the mark-up distribution. The five lines on the chart represent the change in mark-ups over time for the 10th, 25th, 50th (median), 75th and 90th percentiles of the mark-up distribution. While mark-ups in the 90th and 75th percentiles of the mark-up distribution increased by more between 2003-04 to 2016-17, all percentiles show an upward trend over this period. "/>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070985" cy="2886075"/>
                    </a:xfrm>
                    <a:prstGeom prst="rect">
                      <a:avLst/>
                    </a:prstGeom>
                    <a:noFill/>
                    <a:ln>
                      <a:noFill/>
                    </a:ln>
                  </pic:spPr>
                </pic:pic>
              </a:graphicData>
            </a:graphic>
          </wp:inline>
        </w:drawing>
      </w:r>
    </w:p>
    <w:p w14:paraId="50A3531C" w14:textId="19AFD354" w:rsidR="00F1001F" w:rsidRPr="007E1176" w:rsidRDefault="00F1001F" w:rsidP="00F1001F">
      <w:pPr>
        <w:pStyle w:val="Chartsource"/>
      </w:pPr>
      <w:r w:rsidRPr="007E1176">
        <w:t>Note: Index 20</w:t>
      </w:r>
      <w:r w:rsidR="00D703F1">
        <w:t>03</w:t>
      </w:r>
      <w:r w:rsidR="002B75D0">
        <w:noBreakHyphen/>
      </w:r>
      <w:r w:rsidRPr="007E1176">
        <w:t>04=100; Unweighted distribution</w:t>
      </w:r>
    </w:p>
    <w:p w14:paraId="43CD0550" w14:textId="24B84B5D" w:rsidR="00F1001F" w:rsidRDefault="00F1001F" w:rsidP="00F1001F">
      <w:pPr>
        <w:pStyle w:val="Chartsource"/>
      </w:pPr>
      <w:r w:rsidRPr="007E1176">
        <w:t>Source: Hambur (2021)</w:t>
      </w:r>
    </w:p>
    <w:p w14:paraId="56511499" w14:textId="77777777" w:rsidR="009E2DA2" w:rsidRDefault="009E2DA2" w:rsidP="00EC38FB"/>
    <w:p w14:paraId="755CA7AB" w14:textId="7673DF79" w:rsidR="00F1001F" w:rsidRDefault="00EA3805" w:rsidP="00EC38FB">
      <w:pPr>
        <w:rPr>
          <w:b/>
          <w:bCs/>
        </w:rPr>
      </w:pPr>
      <w:r>
        <w:t xml:space="preserve">Changing </w:t>
      </w:r>
      <w:r w:rsidR="00F1001F" w:rsidRPr="00A82C94">
        <w:t>technology</w:t>
      </w:r>
      <w:r w:rsidR="00F1001F">
        <w:t xml:space="preserve"> could explain higher firm concentration and </w:t>
      </w:r>
      <w:r w:rsidR="00F1001F" w:rsidRPr="00F23D04">
        <w:t>mark</w:t>
      </w:r>
      <w:r w:rsidR="002B75D0" w:rsidRPr="000177E8">
        <w:noBreakHyphen/>
      </w:r>
      <w:r w:rsidR="00F1001F" w:rsidRPr="000177E8">
        <w:t>ups</w:t>
      </w:r>
      <w:r w:rsidR="00F1001F">
        <w:t>.</w:t>
      </w:r>
      <w:r w:rsidR="00F1001F" w:rsidRPr="000F37EE">
        <w:t xml:space="preserve"> </w:t>
      </w:r>
      <w:r w:rsidR="00F1001F">
        <w:t xml:space="preserve">Software and other digital technologies often have increasing returns to scale, which inherently offer greater benefits to larger firms. This is particularly true for digital firms </w:t>
      </w:r>
      <w:r>
        <w:t>which</w:t>
      </w:r>
      <w:r w:rsidR="00F1001F">
        <w:t xml:space="preserve"> often have little to no marginal costs and operate in markets with strong network effects. Increasing measures of </w:t>
      </w:r>
      <w:r w:rsidR="00F1001F" w:rsidRPr="00F23D04">
        <w:t>mark</w:t>
      </w:r>
      <w:r w:rsidR="002B75D0" w:rsidRPr="000177E8">
        <w:noBreakHyphen/>
      </w:r>
      <w:r w:rsidR="00F1001F" w:rsidRPr="000177E8">
        <w:t>ups</w:t>
      </w:r>
      <w:r w:rsidR="00F1001F">
        <w:t xml:space="preserve"> and concentration and greater incumbency advantages may as a result be caused by the greater adoption of digital technologies.</w:t>
      </w:r>
    </w:p>
    <w:p w14:paraId="1778BBA6" w14:textId="4645992F" w:rsidR="00F1001F" w:rsidRDefault="003E3B1B" w:rsidP="006C5951">
      <w:r>
        <w:t xml:space="preserve">The increase in </w:t>
      </w:r>
      <w:r w:rsidRPr="00F23D04">
        <w:t>m</w:t>
      </w:r>
      <w:r w:rsidR="00F1001F" w:rsidRPr="000177E8">
        <w:t>ark</w:t>
      </w:r>
      <w:r w:rsidR="002B75D0" w:rsidRPr="000177E8">
        <w:noBreakHyphen/>
      </w:r>
      <w:r w:rsidR="00F1001F" w:rsidRPr="000177E8">
        <w:t>ups</w:t>
      </w:r>
      <w:r w:rsidR="00F1001F" w:rsidRPr="000F37EE">
        <w:t xml:space="preserve"> </w:t>
      </w:r>
      <w:r w:rsidR="00867033">
        <w:t>was more than twice as large</w:t>
      </w:r>
      <w:r w:rsidR="00F1001F" w:rsidRPr="000F37EE">
        <w:t xml:space="preserve"> for firms in the </w:t>
      </w:r>
      <w:r w:rsidR="00F1001F">
        <w:t xml:space="preserve">most </w:t>
      </w:r>
      <w:r w:rsidR="00F1001F" w:rsidRPr="000F37EE">
        <w:t xml:space="preserve">digitally intensive </w:t>
      </w:r>
      <w:r w:rsidR="001B314D">
        <w:t>sectors</w:t>
      </w:r>
      <w:r w:rsidR="00F1001F">
        <w:t xml:space="preserve">, </w:t>
      </w:r>
      <w:r w:rsidR="00F1001F" w:rsidRPr="000F37EE">
        <w:t>suggesting some role for changing technologies</w:t>
      </w:r>
      <w:r w:rsidR="00F1001F">
        <w:t xml:space="preserve"> (Figure </w:t>
      </w:r>
      <w:r w:rsidR="00BF78DE">
        <w:t>5</w:t>
      </w:r>
      <w:r w:rsidR="00F1001F">
        <w:t>)</w:t>
      </w:r>
      <w:r w:rsidR="00F1001F" w:rsidRPr="000F37EE">
        <w:t xml:space="preserve">. However, </w:t>
      </w:r>
      <w:r w:rsidR="00F1001F" w:rsidRPr="00F23D04">
        <w:t>mark</w:t>
      </w:r>
      <w:r w:rsidR="002B75D0" w:rsidRPr="000177E8">
        <w:noBreakHyphen/>
      </w:r>
      <w:r w:rsidR="00F1001F" w:rsidRPr="000177E8">
        <w:t>ups</w:t>
      </w:r>
      <w:r w:rsidR="00F1001F" w:rsidRPr="000F37EE">
        <w:t xml:space="preserve"> have also increased </w:t>
      </w:r>
      <w:r w:rsidR="00C50537">
        <w:t xml:space="preserve">for </w:t>
      </w:r>
      <w:r w:rsidR="00F1001F">
        <w:t>the other group of</w:t>
      </w:r>
      <w:r w:rsidR="00F1001F" w:rsidRPr="000F37EE">
        <w:t xml:space="preserve"> firms, suggesting other dynamics, like an increase in market power, are also important</w:t>
      </w:r>
      <w:r w:rsidR="00F1001F">
        <w:t>.</w:t>
      </w:r>
      <w:r w:rsidR="00F1001F">
        <w:rPr>
          <w:b/>
          <w:bCs/>
        </w:rPr>
        <w:t xml:space="preserve"> </w:t>
      </w:r>
    </w:p>
    <w:p w14:paraId="51BD998F" w14:textId="1A7DCE66" w:rsidR="00F1001F" w:rsidRPr="007E1176" w:rsidRDefault="00F1001F" w:rsidP="00F1001F">
      <w:pPr>
        <w:pStyle w:val="Charttitle"/>
      </w:pPr>
      <w:r w:rsidRPr="007E1176">
        <w:lastRenderedPageBreak/>
        <w:t>Figure</w:t>
      </w:r>
      <w:r>
        <w:t xml:space="preserve"> </w:t>
      </w:r>
      <w:r w:rsidR="00BF78DE">
        <w:t>5</w:t>
      </w:r>
      <w:r w:rsidRPr="007E1176">
        <w:t xml:space="preserve">: </w:t>
      </w:r>
      <w:r w:rsidRPr="00F23D04">
        <w:t>Mark</w:t>
      </w:r>
      <w:r w:rsidR="002B75D0" w:rsidRPr="000177E8">
        <w:noBreakHyphen/>
      </w:r>
      <w:r w:rsidRPr="000177E8">
        <w:t>ups</w:t>
      </w:r>
      <w:r w:rsidRPr="007E1176">
        <w:t xml:space="preserve"> by </w:t>
      </w:r>
      <w:r w:rsidR="00752786">
        <w:t>d</w:t>
      </w:r>
      <w:r w:rsidRPr="007E1176">
        <w:t xml:space="preserve">igital </w:t>
      </w:r>
      <w:r w:rsidR="00752786">
        <w:t>i</w:t>
      </w:r>
      <w:r w:rsidRPr="007E1176">
        <w:t xml:space="preserve">ntensity of </w:t>
      </w:r>
      <w:r w:rsidR="00752786">
        <w:t>i</w:t>
      </w:r>
      <w:r w:rsidRPr="007E1176">
        <w:t>ndustry</w:t>
      </w:r>
    </w:p>
    <w:p w14:paraId="71B8D13F" w14:textId="69FCDA90" w:rsidR="00F1001F" w:rsidRDefault="00E228C6" w:rsidP="00EC38FB">
      <w:pPr>
        <w:pStyle w:val="Chart"/>
        <w:rPr>
          <w:rFonts w:ascii="Rockwell" w:hAnsi="Rockwell"/>
          <w:color w:val="5F5F5F" w:themeColor="text2"/>
          <w:sz w:val="24"/>
        </w:rPr>
      </w:pPr>
      <w:r w:rsidRPr="00E228C6">
        <w:t xml:space="preserve"> </w:t>
      </w:r>
      <w:r w:rsidR="00AD7DF4" w:rsidRPr="00AD7DF4">
        <w:rPr>
          <w:rFonts w:ascii="Rockwell" w:hAnsi="Rockwell"/>
          <w:color w:val="5F5F5F" w:themeColor="text2"/>
          <w:sz w:val="24"/>
        </w:rPr>
        <w:drawing>
          <wp:inline distT="0" distB="0" distL="0" distR="0" wp14:anchorId="65C3A0AF" wp14:editId="30B85E27">
            <wp:extent cx="4070985" cy="2886075"/>
            <wp:effectExtent l="0" t="0" r="0" b="0"/>
            <wp:docPr id="52" name="Picture 52" descr="This figure shows average firm-level mark-ups in the most digitally intensive sectors compared to all other sectors from 2003-04 to 2016-17. Both series are indexed to 2003-04. Mark-ups have increased by more than twice as much for firms in the most digitally intensive sectors over this period, although markups have still increased in the other secto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This figure shows average firm-level mark-ups in the most digitally intensive sectors compared to all other sectors from 2003-04 to 2016-17. Both series are indexed to 2003-04. Mark-ups have increased by more than twice as much for firms in the most digitally intensive sectors over this period, although markups have still increased in the other sectors. "/>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070985" cy="2886075"/>
                    </a:xfrm>
                    <a:prstGeom prst="rect">
                      <a:avLst/>
                    </a:prstGeom>
                    <a:noFill/>
                    <a:ln>
                      <a:noFill/>
                    </a:ln>
                  </pic:spPr>
                </pic:pic>
              </a:graphicData>
            </a:graphic>
          </wp:inline>
        </w:drawing>
      </w:r>
    </w:p>
    <w:p w14:paraId="5F116E7A" w14:textId="133EEDDE" w:rsidR="0024597D" w:rsidRDefault="00F1001F" w:rsidP="00DC5B37">
      <w:pPr>
        <w:pStyle w:val="Chartsource"/>
      </w:pPr>
      <w:r w:rsidRPr="00F1001F">
        <w:t>Notes: Index 20</w:t>
      </w:r>
      <w:r w:rsidR="00D703F1">
        <w:t>03</w:t>
      </w:r>
      <w:r w:rsidR="002B75D0">
        <w:noBreakHyphen/>
      </w:r>
      <w:r w:rsidRPr="00F1001F">
        <w:t>04=100. Industries assigned a digital intensity based on the taxonomy outlined in Table 3 of Calvino et al</w:t>
      </w:r>
      <w:r w:rsidR="00CB4374">
        <w:t>.</w:t>
      </w:r>
      <w:r w:rsidRPr="00F1001F">
        <w:t xml:space="preserve"> (2018). Requires mapping of ISIC classifications used in that paper, to the ANZSIC classifications used in BLADE. Firm</w:t>
      </w:r>
      <w:r w:rsidRPr="00F1001F">
        <w:noBreakHyphen/>
        <w:t xml:space="preserve">weighted averages then taken for each quartile of industries. Most digitally intensive sectors </w:t>
      </w:r>
      <w:r w:rsidR="00AE03B6">
        <w:t>are</w:t>
      </w:r>
      <w:r w:rsidR="00AE03B6" w:rsidRPr="00F1001F">
        <w:t xml:space="preserve"> </w:t>
      </w:r>
      <w:r w:rsidRPr="00F1001F">
        <w:t xml:space="preserve">top quartile. All other sectors </w:t>
      </w:r>
      <w:r w:rsidR="00AE03B6">
        <w:t>are</w:t>
      </w:r>
      <w:r w:rsidR="00AE03B6" w:rsidRPr="00F1001F">
        <w:t xml:space="preserve"> </w:t>
      </w:r>
      <w:r w:rsidRPr="00F1001F">
        <w:t xml:space="preserve">an unweighted average of the series for the other three quartiles. </w:t>
      </w:r>
    </w:p>
    <w:p w14:paraId="19BC6907" w14:textId="0B92B8F7" w:rsidR="00F1001F" w:rsidRDefault="00F1001F" w:rsidP="00DC5B37">
      <w:pPr>
        <w:pStyle w:val="Chartsource"/>
      </w:pPr>
      <w:r w:rsidRPr="00F1001F">
        <w:t>Source: Hambur (2021)</w:t>
      </w:r>
    </w:p>
    <w:p w14:paraId="3B9F9723" w14:textId="37F11B30" w:rsidR="00F1001F" w:rsidRDefault="004F1459" w:rsidP="00DC5B37">
      <w:pPr>
        <w:rPr>
          <w:b/>
          <w:bCs/>
        </w:rPr>
      </w:pPr>
      <w:r>
        <w:t>Finally,</w:t>
      </w:r>
      <w:r w:rsidR="00F1001F">
        <w:t xml:space="preserve"> these increases in measures of market power </w:t>
      </w:r>
      <w:r>
        <w:t xml:space="preserve">could </w:t>
      </w:r>
      <w:r w:rsidR="00F1001F">
        <w:t>reflect declines in c</w:t>
      </w:r>
      <w:r w:rsidR="00F1001F" w:rsidRPr="00672360">
        <w:t>ompetitive pressure.</w:t>
      </w:r>
      <w:r w:rsidR="00F1001F">
        <w:t xml:space="preserve"> Hambur (2021) provides evidence for this, showing s</w:t>
      </w:r>
      <w:r w:rsidR="00F1001F" w:rsidRPr="00A82C94">
        <w:t xml:space="preserve">election and dynamic reallocation are weaker in industries with increasing </w:t>
      </w:r>
      <w:r w:rsidR="00F1001F" w:rsidRPr="00F23D04">
        <w:t>mark</w:t>
      </w:r>
      <w:r w:rsidR="002B75D0" w:rsidRPr="000177E8">
        <w:noBreakHyphen/>
      </w:r>
      <w:r w:rsidR="00F1001F" w:rsidRPr="000177E8">
        <w:t>ups</w:t>
      </w:r>
      <w:r w:rsidR="00F1001F" w:rsidRPr="00A82C94">
        <w:t>.</w:t>
      </w:r>
      <w:r w:rsidR="00F1001F">
        <w:t xml:space="preserve"> </w:t>
      </w:r>
    </w:p>
    <w:p w14:paraId="7475FE0A" w14:textId="1D64DE68" w:rsidR="00F1001F" w:rsidRDefault="00F1001F" w:rsidP="00DC5B37">
      <w:pPr>
        <w:rPr>
          <w:b/>
          <w:bCs/>
        </w:rPr>
      </w:pPr>
      <w:r>
        <w:t xml:space="preserve">For dynamic reallocation, there is evidence that more productive firms </w:t>
      </w:r>
      <w:r w:rsidR="00AE03B6">
        <w:t>increase</w:t>
      </w:r>
      <w:r>
        <w:t xml:space="preserve"> employee </w:t>
      </w:r>
      <w:r w:rsidR="00AE03B6">
        <w:t xml:space="preserve">numbers </w:t>
      </w:r>
      <w:r>
        <w:t>more slowly in</w:t>
      </w:r>
      <w:r w:rsidRPr="009469E5">
        <w:t xml:space="preserve"> industries with increasing </w:t>
      </w:r>
      <w:r w:rsidRPr="00F23D04">
        <w:t>mark</w:t>
      </w:r>
      <w:r w:rsidR="002B75D0" w:rsidRPr="000177E8">
        <w:noBreakHyphen/>
      </w:r>
      <w:r w:rsidRPr="000177E8">
        <w:t>ups</w:t>
      </w:r>
      <w:r w:rsidRPr="009469E5">
        <w:t>.</w:t>
      </w:r>
      <w:r>
        <w:t xml:space="preserve"> </w:t>
      </w:r>
      <w:r w:rsidR="00AE03B6">
        <w:t>W</w:t>
      </w:r>
      <w:r>
        <w:t xml:space="preserve">e would expect to see </w:t>
      </w:r>
      <w:r w:rsidR="00AE03B6">
        <w:t xml:space="preserve">this result </w:t>
      </w:r>
      <w:r>
        <w:t xml:space="preserve">if weakening competitive pressure reduced </w:t>
      </w:r>
      <w:r w:rsidR="00AE03B6">
        <w:t xml:space="preserve">the ability of </w:t>
      </w:r>
      <w:r>
        <w:t xml:space="preserve">productive firms to attract resources at the expense of their unproductive peers. Likewise, the results show that as </w:t>
      </w:r>
      <w:r w:rsidRPr="00F23D04">
        <w:t>mark</w:t>
      </w:r>
      <w:r w:rsidR="002B75D0" w:rsidRPr="000177E8">
        <w:noBreakHyphen/>
      </w:r>
      <w:r w:rsidRPr="000177E8">
        <w:t>ups</w:t>
      </w:r>
      <w:r>
        <w:t xml:space="preserve"> increase, unproductive </w:t>
      </w:r>
      <w:r w:rsidR="00795FD4">
        <w:t xml:space="preserve">firms </w:t>
      </w:r>
      <w:r>
        <w:t>become less likely to exit the market.</w:t>
      </w:r>
    </w:p>
    <w:p w14:paraId="14D37848" w14:textId="0DA0E555" w:rsidR="00F1001F" w:rsidRPr="00AE5CC2" w:rsidRDefault="0052538C" w:rsidP="00DC5B37">
      <w:r>
        <w:t>T</w:t>
      </w:r>
      <w:r w:rsidR="00F1001F">
        <w:t>h</w:t>
      </w:r>
      <w:r>
        <w:t>e</w:t>
      </w:r>
      <w:r w:rsidR="00F1001F">
        <w:t xml:space="preserve"> declin</w:t>
      </w:r>
      <w:r>
        <w:t>e</w:t>
      </w:r>
      <w:r w:rsidR="00F1001F">
        <w:t xml:space="preserve"> </w:t>
      </w:r>
      <w:r>
        <w:t xml:space="preserve">in </w:t>
      </w:r>
      <w:r w:rsidR="00F1001F">
        <w:t xml:space="preserve">competitive pressure </w:t>
      </w:r>
      <w:r>
        <w:t xml:space="preserve">appears to have weighed on </w:t>
      </w:r>
      <w:r w:rsidR="00F1001F">
        <w:t>aggregate productivity growth</w:t>
      </w:r>
      <w:r>
        <w:t>, through both the within</w:t>
      </w:r>
      <w:r w:rsidR="002B75D0">
        <w:noBreakHyphen/>
      </w:r>
      <w:r>
        <w:t xml:space="preserve"> and between</w:t>
      </w:r>
      <w:r w:rsidR="002B75D0">
        <w:noBreakHyphen/>
      </w:r>
      <w:r>
        <w:t>firm channels</w:t>
      </w:r>
      <w:r w:rsidR="00F1001F">
        <w:t>.</w:t>
      </w:r>
      <w:r w:rsidR="00F1001F" w:rsidDel="0052538C">
        <w:t xml:space="preserve"> </w:t>
      </w:r>
      <w:r>
        <w:t>On the within</w:t>
      </w:r>
      <w:r w:rsidR="002B75D0">
        <w:noBreakHyphen/>
      </w:r>
      <w:r>
        <w:t xml:space="preserve">firm channel, </w:t>
      </w:r>
      <w:r w:rsidRPr="00E02C43">
        <w:t>Andrews et al</w:t>
      </w:r>
      <w:r w:rsidR="00CB4374">
        <w:t>.</w:t>
      </w:r>
      <w:r w:rsidRPr="00E02C43">
        <w:t xml:space="preserve"> (2022) </w:t>
      </w:r>
      <w:r>
        <w:t>find</w:t>
      </w:r>
      <w:r w:rsidRPr="00E02C43">
        <w:t xml:space="preserve"> that </w:t>
      </w:r>
      <w:r>
        <w:t>lower competitive pressure has led</w:t>
      </w:r>
      <w:r w:rsidR="00F8021A">
        <w:t xml:space="preserve"> to</w:t>
      </w:r>
      <w:r w:rsidRPr="00E02C43">
        <w:t xml:space="preserve"> Australian firms </w:t>
      </w:r>
      <w:r w:rsidR="00F8021A">
        <w:t>becoming</w:t>
      </w:r>
      <w:r w:rsidRPr="00E02C43">
        <w:t xml:space="preserve"> slower to </w:t>
      </w:r>
      <w:r>
        <w:t>adopt the inventions and practices of frontier firms. On the between</w:t>
      </w:r>
      <w:r w:rsidR="002B75D0">
        <w:noBreakHyphen/>
      </w:r>
      <w:r>
        <w:t xml:space="preserve">firm channel, </w:t>
      </w:r>
      <w:r w:rsidR="00F1001F" w:rsidRPr="00E02C43">
        <w:t xml:space="preserve">Hambur (2021) </w:t>
      </w:r>
      <w:r w:rsidR="00F1001F">
        <w:t>estimates that reduced dynamic allocation</w:t>
      </w:r>
      <w:r w:rsidR="00F1001F" w:rsidRPr="00E02C43">
        <w:t xml:space="preserve"> lowered annual labour productivity growth by 0.1 </w:t>
      </w:r>
      <w:r w:rsidR="00F1001F" w:rsidRPr="00E02C43" w:rsidDel="00F8021A">
        <w:t>percentage points</w:t>
      </w:r>
      <w:r w:rsidR="00F1001F">
        <w:t xml:space="preserve">, accounting for </w:t>
      </w:r>
      <w:r w:rsidR="00F1001F" w:rsidRPr="00E02C43">
        <w:t>about one</w:t>
      </w:r>
      <w:r w:rsidR="006920C0">
        <w:t>-</w:t>
      </w:r>
      <w:r w:rsidR="00F1001F" w:rsidRPr="00E02C43">
        <w:t>fifth of the observed slowdown since 2012.</w:t>
      </w:r>
      <w:r w:rsidR="00F1001F">
        <w:rPr>
          <w:b/>
          <w:bCs/>
        </w:rPr>
        <w:t xml:space="preserve"> </w:t>
      </w:r>
    </w:p>
    <w:p w14:paraId="33D28360" w14:textId="77777777" w:rsidR="00F1001F" w:rsidRDefault="00F1001F" w:rsidP="00EC38FB">
      <w:pPr>
        <w:pStyle w:val="Heading1"/>
      </w:pPr>
      <w:r>
        <w:t xml:space="preserve">Conclusion </w:t>
      </w:r>
    </w:p>
    <w:p w14:paraId="70FCC4B4" w14:textId="42B53DFE" w:rsidR="006C5951" w:rsidRDefault="00F1001F" w:rsidP="00D13B54">
      <w:pPr>
        <w:pStyle w:val="Bullet"/>
        <w:numPr>
          <w:ilvl w:val="0"/>
          <w:numId w:val="0"/>
        </w:numPr>
        <w:tabs>
          <w:tab w:val="num" w:pos="520"/>
        </w:tabs>
        <w:spacing w:after="0" w:line="259" w:lineRule="auto"/>
      </w:pPr>
      <w:r>
        <w:t>A range of metrics point to</w:t>
      </w:r>
      <w:r w:rsidR="00FE6AB4">
        <w:t>wards</w:t>
      </w:r>
      <w:r>
        <w:t xml:space="preserve"> declining competitive pressures in Australia</w:t>
      </w:r>
      <w:r w:rsidR="00574C84">
        <w:t>.</w:t>
      </w:r>
      <w:r>
        <w:t xml:space="preserve"> </w:t>
      </w:r>
      <w:r w:rsidR="00913EC6">
        <w:t>R</w:t>
      </w:r>
      <w:r w:rsidR="00A07273">
        <w:t xml:space="preserve">esearch by </w:t>
      </w:r>
      <w:r w:rsidR="000F79A9">
        <w:t xml:space="preserve">Treasury </w:t>
      </w:r>
      <w:r w:rsidR="00A07273">
        <w:t>economists</w:t>
      </w:r>
      <w:r w:rsidR="00D625E3">
        <w:t xml:space="preserve"> </w:t>
      </w:r>
      <w:r w:rsidR="000F79A9">
        <w:t>suggest that</w:t>
      </w:r>
      <w:r>
        <w:t xml:space="preserve"> this </w:t>
      </w:r>
      <w:r w:rsidR="00D625E3">
        <w:t xml:space="preserve">is </w:t>
      </w:r>
      <w:r>
        <w:t xml:space="preserve">playing a </w:t>
      </w:r>
      <w:r w:rsidR="00D625E3">
        <w:t>non</w:t>
      </w:r>
      <w:r w:rsidR="002B75D0">
        <w:noBreakHyphen/>
      </w:r>
      <w:r w:rsidR="00D625E3">
        <w:t>trivial</w:t>
      </w:r>
      <w:r w:rsidR="00913EC6">
        <w:t xml:space="preserve"> </w:t>
      </w:r>
      <w:r>
        <w:t>role in the productivity growth slowdown. However, further work is needed to b</w:t>
      </w:r>
      <w:r w:rsidRPr="00DE308B">
        <w:t>etter understand why market power has increased</w:t>
      </w:r>
      <w:r>
        <w:t xml:space="preserve"> in Australia. Potential explanations for lower competitive pressures include </w:t>
      </w:r>
      <w:r w:rsidRPr="00DE308B">
        <w:t>regulatory burdens on entry, or financing frictions that prevent new and innovative firms from entering, growing, and challenging incumbents.</w:t>
      </w:r>
      <w:r>
        <w:t xml:space="preserve"> A better understanding of the drivers w</w:t>
      </w:r>
      <w:r w:rsidR="00AD62E9">
        <w:t>ill also help government design policy interventions for specific sectors</w:t>
      </w:r>
      <w:r w:rsidRPr="00DE308B">
        <w:t>.</w:t>
      </w:r>
      <w:r>
        <w:t xml:space="preserve"> </w:t>
      </w:r>
      <w:r w:rsidR="006C5951">
        <w:br w:type="page"/>
      </w:r>
    </w:p>
    <w:p w14:paraId="7C3BE880" w14:textId="1E153D5A" w:rsidR="00F1001F" w:rsidRDefault="00F1001F" w:rsidP="00EC38FB">
      <w:pPr>
        <w:pStyle w:val="Heading1"/>
      </w:pPr>
      <w:r>
        <w:lastRenderedPageBreak/>
        <w:t>References</w:t>
      </w:r>
    </w:p>
    <w:p w14:paraId="21537A4D" w14:textId="525FA8AF" w:rsidR="00F1001F" w:rsidRPr="005B4E2E" w:rsidRDefault="00F1001F" w:rsidP="00741242">
      <w:pPr>
        <w:shd w:val="clear" w:color="auto" w:fill="FFFFFF"/>
        <w:textAlignment w:val="baseline"/>
        <w:rPr>
          <w:rFonts w:cs="Calibri"/>
        </w:rPr>
      </w:pPr>
      <w:r w:rsidRPr="000621F0">
        <w:rPr>
          <w:rFonts w:cs="Calibri"/>
        </w:rPr>
        <w:t>Aghion</w:t>
      </w:r>
      <w:r>
        <w:rPr>
          <w:rFonts w:cs="Calibri"/>
        </w:rPr>
        <w:t xml:space="preserve"> </w:t>
      </w:r>
      <w:r w:rsidRPr="000621F0">
        <w:rPr>
          <w:rFonts w:cs="Calibri"/>
        </w:rPr>
        <w:t>P</w:t>
      </w:r>
      <w:r>
        <w:rPr>
          <w:rFonts w:cs="Calibri"/>
        </w:rPr>
        <w:t>,</w:t>
      </w:r>
      <w:r w:rsidRPr="000621F0">
        <w:rPr>
          <w:rFonts w:cs="Calibri"/>
        </w:rPr>
        <w:t> Bloom</w:t>
      </w:r>
      <w:r w:rsidR="009F03D4">
        <w:rPr>
          <w:rFonts w:cs="Calibri"/>
        </w:rPr>
        <w:t xml:space="preserve"> N</w:t>
      </w:r>
      <w:r w:rsidRPr="000621F0">
        <w:rPr>
          <w:rFonts w:cs="Calibri"/>
        </w:rPr>
        <w:t>, Blundell R</w:t>
      </w:r>
      <w:r w:rsidR="009F03D4">
        <w:rPr>
          <w:rFonts w:cs="Calibri"/>
        </w:rPr>
        <w:t>,</w:t>
      </w:r>
      <w:r w:rsidRPr="000621F0">
        <w:rPr>
          <w:rFonts w:cs="Calibri"/>
        </w:rPr>
        <w:t xml:space="preserve"> Griffith</w:t>
      </w:r>
      <w:r w:rsidR="009F03D4">
        <w:rPr>
          <w:rFonts w:cs="Calibri"/>
        </w:rPr>
        <w:t xml:space="preserve"> R</w:t>
      </w:r>
      <w:r w:rsidRPr="000621F0">
        <w:rPr>
          <w:rFonts w:cs="Calibri"/>
        </w:rPr>
        <w:t>,</w:t>
      </w:r>
      <w:r>
        <w:rPr>
          <w:rFonts w:cs="Calibri"/>
        </w:rPr>
        <w:t xml:space="preserve"> and</w:t>
      </w:r>
      <w:r w:rsidRPr="000621F0">
        <w:rPr>
          <w:rFonts w:cs="Calibri"/>
        </w:rPr>
        <w:t> Howitt</w:t>
      </w:r>
      <w:r>
        <w:rPr>
          <w:rFonts w:cs="Calibri"/>
        </w:rPr>
        <w:t xml:space="preserve"> </w:t>
      </w:r>
      <w:r w:rsidR="009F03D4">
        <w:rPr>
          <w:rFonts w:cs="Calibri"/>
        </w:rPr>
        <w:t>P</w:t>
      </w:r>
      <w:r>
        <w:rPr>
          <w:rFonts w:cs="Calibri"/>
        </w:rPr>
        <w:t xml:space="preserve"> (2005)</w:t>
      </w:r>
      <w:r w:rsidRPr="000621F0">
        <w:rPr>
          <w:rFonts w:cs="Calibri"/>
        </w:rPr>
        <w:t xml:space="preserve"> </w:t>
      </w:r>
      <w:r w:rsidR="009F03D4">
        <w:rPr>
          <w:rFonts w:cs="Calibri"/>
        </w:rPr>
        <w:t>‘</w:t>
      </w:r>
      <w:r w:rsidR="009F03D4" w:rsidRPr="00FC7F02">
        <w:t xml:space="preserve">Competition and Innovation: </w:t>
      </w:r>
      <w:proofErr w:type="gramStart"/>
      <w:r w:rsidR="009F03D4" w:rsidRPr="00FC7F02">
        <w:t>an</w:t>
      </w:r>
      <w:proofErr w:type="gramEnd"/>
      <w:r w:rsidR="009F03D4" w:rsidRPr="00FC7F02">
        <w:t xml:space="preserve"> Inverted</w:t>
      </w:r>
      <w:r w:rsidR="009F03D4" w:rsidRPr="00FC7F02">
        <w:noBreakHyphen/>
        <w:t>U Relationship</w:t>
      </w:r>
      <w:r w:rsidR="009F03D4">
        <w:rPr>
          <w:rFonts w:cs="Calibri"/>
        </w:rPr>
        <w:t>’</w:t>
      </w:r>
      <w:r>
        <w:rPr>
          <w:rFonts w:cs="Calibri"/>
        </w:rPr>
        <w:t xml:space="preserve">, </w:t>
      </w:r>
      <w:r w:rsidRPr="000621F0">
        <w:rPr>
          <w:rFonts w:cs="Calibri"/>
          <w:i/>
          <w:iCs/>
        </w:rPr>
        <w:t>The Quarterly Journal of Economics</w:t>
      </w:r>
      <w:r>
        <w:rPr>
          <w:rFonts w:cs="Calibri"/>
        </w:rPr>
        <w:t xml:space="preserve">, </w:t>
      </w:r>
      <w:r w:rsidRPr="00640464">
        <w:rPr>
          <w:rFonts w:cs="Calibri"/>
        </w:rPr>
        <w:t>120</w:t>
      </w:r>
      <w:r>
        <w:rPr>
          <w:rFonts w:cs="Calibri"/>
        </w:rPr>
        <w:t>(2)</w:t>
      </w:r>
      <w:r w:rsidR="009F03D4">
        <w:rPr>
          <w:rFonts w:cs="Calibri"/>
        </w:rPr>
        <w:t>:</w:t>
      </w:r>
      <w:r w:rsidRPr="000621F0">
        <w:rPr>
          <w:rFonts w:cs="Calibri"/>
        </w:rPr>
        <w:t xml:space="preserve"> 701–728</w:t>
      </w:r>
      <w:r>
        <w:rPr>
          <w:rFonts w:cs="Calibri"/>
        </w:rPr>
        <w:t>.</w:t>
      </w:r>
    </w:p>
    <w:p w14:paraId="60825ED3" w14:textId="4866F5AF" w:rsidR="00F1001F" w:rsidRDefault="00F1001F" w:rsidP="00741242">
      <w:pPr>
        <w:spacing w:after="240"/>
        <w:textAlignment w:val="center"/>
      </w:pPr>
      <w:r>
        <w:t>Andrews D, Hambur</w:t>
      </w:r>
      <w:r w:rsidR="009F03D4">
        <w:t xml:space="preserve"> J</w:t>
      </w:r>
      <w:r>
        <w:t xml:space="preserve">, Hansell </w:t>
      </w:r>
      <w:r w:rsidR="009F03D4">
        <w:t>D</w:t>
      </w:r>
      <w:r>
        <w:t xml:space="preserve"> and Wheeler </w:t>
      </w:r>
      <w:r w:rsidR="009F03D4">
        <w:t>A</w:t>
      </w:r>
      <w:r>
        <w:t xml:space="preserve"> (2022) </w:t>
      </w:r>
      <w:r w:rsidR="009F03D4">
        <w:t>‘</w:t>
      </w:r>
      <w:r w:rsidR="009F03D4" w:rsidRPr="00FC7F02">
        <w:t>Reaching for the Stars: Australian Firms and the Global Productivity Frontier</w:t>
      </w:r>
      <w:r w:rsidR="009F03D4">
        <w:t>’</w:t>
      </w:r>
      <w:r>
        <w:t xml:space="preserve">, </w:t>
      </w:r>
      <w:r>
        <w:rPr>
          <w:i/>
          <w:iCs/>
        </w:rPr>
        <w:t>Treasury Working Paper</w:t>
      </w:r>
      <w:r>
        <w:t xml:space="preserve">. </w:t>
      </w:r>
    </w:p>
    <w:p w14:paraId="3C2F5591" w14:textId="421D3E5F" w:rsidR="00F1001F" w:rsidRPr="005B4E2E" w:rsidRDefault="00F1001F" w:rsidP="00741242">
      <w:pPr>
        <w:spacing w:after="240"/>
        <w:textAlignment w:val="center"/>
        <w:rPr>
          <w:rFonts w:cs="Calibri"/>
        </w:rPr>
      </w:pPr>
      <w:r>
        <w:t>Autor D, Dorn</w:t>
      </w:r>
      <w:r w:rsidR="009A185C">
        <w:t xml:space="preserve"> D</w:t>
      </w:r>
      <w:r>
        <w:t>, Katz</w:t>
      </w:r>
      <w:r w:rsidR="009A185C">
        <w:t xml:space="preserve"> L</w:t>
      </w:r>
      <w:r>
        <w:t xml:space="preserve">, Patterson </w:t>
      </w:r>
      <w:r w:rsidR="009A185C">
        <w:t xml:space="preserve">C </w:t>
      </w:r>
      <w:r>
        <w:t xml:space="preserve">and Van Reenen </w:t>
      </w:r>
      <w:r w:rsidR="009A185C">
        <w:t xml:space="preserve">J </w:t>
      </w:r>
      <w:r>
        <w:t xml:space="preserve">(2020) </w:t>
      </w:r>
      <w:r w:rsidR="009A185C">
        <w:t>‘</w:t>
      </w:r>
      <w:r w:rsidR="009F03D4" w:rsidRPr="00FC7F02">
        <w:t xml:space="preserve">The Fall of the </w:t>
      </w:r>
      <w:proofErr w:type="spellStart"/>
      <w:r w:rsidR="009F03D4" w:rsidRPr="00FC7F02">
        <w:t>Labor</w:t>
      </w:r>
      <w:proofErr w:type="spellEnd"/>
      <w:r w:rsidR="009F03D4" w:rsidRPr="00FC7F02">
        <w:t xml:space="preserve"> Share and the Rise of Superstar firms</w:t>
      </w:r>
      <w:r w:rsidR="009A185C">
        <w:t>’</w:t>
      </w:r>
      <w:r w:rsidRPr="005B4E2E">
        <w:t xml:space="preserve">, </w:t>
      </w:r>
      <w:r w:rsidRPr="005B4E2E">
        <w:rPr>
          <w:i/>
          <w:iCs/>
        </w:rPr>
        <w:t>The Quarterly Journal of Economics</w:t>
      </w:r>
      <w:r>
        <w:t>,</w:t>
      </w:r>
      <w:r w:rsidRPr="00640464">
        <w:t xml:space="preserve"> 135</w:t>
      </w:r>
      <w:r w:rsidRPr="005B4E2E">
        <w:t>(2)</w:t>
      </w:r>
      <w:r w:rsidR="009A185C">
        <w:t>:</w:t>
      </w:r>
      <w:r w:rsidRPr="005B4E2E">
        <w:t xml:space="preserve"> 645</w:t>
      </w:r>
      <w:r w:rsidR="002B75D0">
        <w:noBreakHyphen/>
      </w:r>
      <w:r w:rsidRPr="005B4E2E">
        <w:t>709.</w:t>
      </w:r>
    </w:p>
    <w:p w14:paraId="7EF26C85" w14:textId="35CE5BC0" w:rsidR="00F1001F" w:rsidRPr="00641B03" w:rsidRDefault="00F1001F" w:rsidP="00741242">
      <w:pPr>
        <w:spacing w:after="240"/>
        <w:textAlignment w:val="center"/>
        <w:rPr>
          <w:rFonts w:cs="Calibri"/>
        </w:rPr>
      </w:pPr>
      <w:r>
        <w:t xml:space="preserve">Backus M (2020) </w:t>
      </w:r>
      <w:r w:rsidR="009A185C">
        <w:t>‘</w:t>
      </w:r>
      <w:r w:rsidR="009F03D4" w:rsidRPr="00FC7F02">
        <w:t>Why is productivity correlated with competition?</w:t>
      </w:r>
      <w:r w:rsidR="009A185C">
        <w:rPr>
          <w:rFonts w:cs="Calibri"/>
        </w:rPr>
        <w:t>’,</w:t>
      </w:r>
      <w:r>
        <w:rPr>
          <w:rFonts w:cs="Calibri"/>
        </w:rPr>
        <w:t xml:space="preserve"> </w:t>
      </w:r>
      <w:proofErr w:type="spellStart"/>
      <w:r>
        <w:rPr>
          <w:rFonts w:cs="Calibri"/>
          <w:i/>
          <w:iCs/>
        </w:rPr>
        <w:t>Econometrica</w:t>
      </w:r>
      <w:proofErr w:type="spellEnd"/>
      <w:r>
        <w:rPr>
          <w:rFonts w:cs="Calibri"/>
        </w:rPr>
        <w:t>,</w:t>
      </w:r>
      <w:r>
        <w:rPr>
          <w:rFonts w:cs="Calibri"/>
          <w:i/>
          <w:iCs/>
        </w:rPr>
        <w:t xml:space="preserve"> </w:t>
      </w:r>
      <w:r w:rsidRPr="003E4A4C">
        <w:rPr>
          <w:rFonts w:cs="Calibri"/>
        </w:rPr>
        <w:t>88</w:t>
      </w:r>
      <w:r>
        <w:rPr>
          <w:rFonts w:cs="Calibri"/>
        </w:rPr>
        <w:t>(6)</w:t>
      </w:r>
      <w:r w:rsidR="009A185C">
        <w:rPr>
          <w:rFonts w:cs="Calibri"/>
        </w:rPr>
        <w:t>:</w:t>
      </w:r>
      <w:r>
        <w:rPr>
          <w:rFonts w:cs="Calibri"/>
        </w:rPr>
        <w:t xml:space="preserve"> 2415</w:t>
      </w:r>
      <w:r w:rsidR="002B75D0">
        <w:rPr>
          <w:rFonts w:cs="Calibri"/>
        </w:rPr>
        <w:noBreakHyphen/>
      </w:r>
      <w:r>
        <w:rPr>
          <w:rFonts w:cs="Calibri"/>
        </w:rPr>
        <w:t>2444.</w:t>
      </w:r>
    </w:p>
    <w:p w14:paraId="37C6F8CE" w14:textId="1630C969" w:rsidR="007F1CDE" w:rsidRPr="007F1CDE" w:rsidRDefault="007F1CDE" w:rsidP="00741242">
      <w:pPr>
        <w:spacing w:after="240"/>
        <w:textAlignment w:val="center"/>
      </w:pPr>
      <w:proofErr w:type="spellStart"/>
      <w:r>
        <w:t>Bajgar</w:t>
      </w:r>
      <w:proofErr w:type="spellEnd"/>
      <w:r>
        <w:t xml:space="preserve"> M, </w:t>
      </w:r>
      <w:proofErr w:type="spellStart"/>
      <w:r>
        <w:t>Berlingieri</w:t>
      </w:r>
      <w:proofErr w:type="spellEnd"/>
      <w:r w:rsidR="009A185C">
        <w:t xml:space="preserve"> G</w:t>
      </w:r>
      <w:r>
        <w:t xml:space="preserve">, </w:t>
      </w:r>
      <w:proofErr w:type="spellStart"/>
      <w:r>
        <w:t>Calligaris</w:t>
      </w:r>
      <w:proofErr w:type="spellEnd"/>
      <w:r w:rsidR="009A185C">
        <w:t xml:space="preserve"> S</w:t>
      </w:r>
      <w:r>
        <w:t xml:space="preserve">, </w:t>
      </w:r>
      <w:proofErr w:type="spellStart"/>
      <w:r>
        <w:t>Criscuolo</w:t>
      </w:r>
      <w:proofErr w:type="spellEnd"/>
      <w:r w:rsidR="009A185C">
        <w:t xml:space="preserve"> C</w:t>
      </w:r>
      <w:r>
        <w:t xml:space="preserve">, and </w:t>
      </w:r>
      <w:proofErr w:type="spellStart"/>
      <w:r>
        <w:t>Timmis</w:t>
      </w:r>
      <w:proofErr w:type="spellEnd"/>
      <w:r>
        <w:t xml:space="preserve"> </w:t>
      </w:r>
      <w:r w:rsidR="009A185C">
        <w:t>J</w:t>
      </w:r>
      <w:r>
        <w:t xml:space="preserve"> (2019) </w:t>
      </w:r>
      <w:r w:rsidR="009A185C">
        <w:t>‘</w:t>
      </w:r>
      <w:r w:rsidR="009F03D4" w:rsidRPr="00FC7F02">
        <w:t>Industry concentration in Europe and North America</w:t>
      </w:r>
      <w:r w:rsidR="009A185C">
        <w:t>’</w:t>
      </w:r>
      <w:r>
        <w:t xml:space="preserve">, </w:t>
      </w:r>
      <w:r>
        <w:rPr>
          <w:i/>
          <w:iCs/>
        </w:rPr>
        <w:t>OECD Productivity Working Papers</w:t>
      </w:r>
      <w:r>
        <w:t xml:space="preserve">, OECD Publishing, Paris. </w:t>
      </w:r>
    </w:p>
    <w:p w14:paraId="353A2A25" w14:textId="3514AC69" w:rsidR="00F1001F" w:rsidRPr="004C3337" w:rsidRDefault="00F1001F" w:rsidP="00741242">
      <w:pPr>
        <w:spacing w:after="240"/>
        <w:textAlignment w:val="center"/>
      </w:pPr>
      <w:r>
        <w:t>Bloom N, Propper</w:t>
      </w:r>
      <w:r w:rsidR="004E4C38">
        <w:t xml:space="preserve"> C</w:t>
      </w:r>
      <w:r>
        <w:t xml:space="preserve">, Seiler </w:t>
      </w:r>
      <w:r w:rsidR="004E4C38">
        <w:t>S</w:t>
      </w:r>
      <w:r>
        <w:t xml:space="preserve"> and Van Reenen </w:t>
      </w:r>
      <w:r w:rsidR="004E4C38">
        <w:t xml:space="preserve">J </w:t>
      </w:r>
      <w:r>
        <w:t xml:space="preserve">(2015) </w:t>
      </w:r>
      <w:r w:rsidR="004E4C38">
        <w:t>‘</w:t>
      </w:r>
      <w:r w:rsidR="009F03D4" w:rsidRPr="00FC7F02">
        <w:t>The Impact of Competition on Management Quality: Evidence from Public Hospitals</w:t>
      </w:r>
      <w:r w:rsidR="004E4C38">
        <w:t>’</w:t>
      </w:r>
      <w:r>
        <w:t xml:space="preserve">, </w:t>
      </w:r>
      <w:r>
        <w:rPr>
          <w:i/>
          <w:iCs/>
        </w:rPr>
        <w:t>The Review of Economic Studies</w:t>
      </w:r>
      <w:r>
        <w:t>,</w:t>
      </w:r>
      <w:r w:rsidRPr="00640464">
        <w:t xml:space="preserve"> 82</w:t>
      </w:r>
      <w:r>
        <w:t>(2)</w:t>
      </w:r>
      <w:r w:rsidR="004E4C38">
        <w:t>:</w:t>
      </w:r>
      <w:r>
        <w:t xml:space="preserve"> 457</w:t>
      </w:r>
      <w:r w:rsidR="002B75D0">
        <w:noBreakHyphen/>
      </w:r>
      <w:r>
        <w:t xml:space="preserve">489. </w:t>
      </w:r>
    </w:p>
    <w:p w14:paraId="3CC4CE97" w14:textId="0E4D5B0E" w:rsidR="00F1001F" w:rsidRPr="003E4A4C" w:rsidRDefault="00F1001F" w:rsidP="00741242">
      <w:pPr>
        <w:pStyle w:val="NormalWeb"/>
        <w:spacing w:before="0" w:beforeAutospacing="0" w:after="240" w:afterAutospacing="0"/>
        <w:rPr>
          <w:rFonts w:cs="Calibri"/>
          <w:i/>
          <w:iCs/>
          <w:szCs w:val="22"/>
        </w:rPr>
      </w:pPr>
      <w:r>
        <w:rPr>
          <w:rFonts w:cs="Calibri"/>
          <w:szCs w:val="22"/>
        </w:rPr>
        <w:t xml:space="preserve">CMA (2015) </w:t>
      </w:r>
      <w:r w:rsidR="004E4C38">
        <w:rPr>
          <w:rFonts w:cs="Calibri"/>
          <w:szCs w:val="22"/>
        </w:rPr>
        <w:t>‘</w:t>
      </w:r>
      <w:r w:rsidR="009F03D4" w:rsidRPr="00FC7F02">
        <w:t>Productivity and competition: a summary of the evidence</w:t>
      </w:r>
      <w:r w:rsidR="004E4C38">
        <w:rPr>
          <w:rFonts w:cs="Calibri"/>
          <w:szCs w:val="22"/>
        </w:rPr>
        <w:t>’</w:t>
      </w:r>
      <w:r>
        <w:rPr>
          <w:rFonts w:cs="Calibri"/>
          <w:szCs w:val="22"/>
        </w:rPr>
        <w:t xml:space="preserve">, </w:t>
      </w:r>
      <w:r>
        <w:rPr>
          <w:rFonts w:cs="Calibri"/>
          <w:i/>
          <w:iCs/>
          <w:szCs w:val="22"/>
        </w:rPr>
        <w:t xml:space="preserve">Competition &amp; Markets Authority, UK. </w:t>
      </w:r>
    </w:p>
    <w:p w14:paraId="2878EF99" w14:textId="59D349F5" w:rsidR="0076791A" w:rsidRDefault="00F1001F" w:rsidP="00741242">
      <w:pPr>
        <w:spacing w:after="240"/>
        <w:textAlignment w:val="center"/>
      </w:pPr>
      <w:r>
        <w:t xml:space="preserve">CMA (2020) </w:t>
      </w:r>
      <w:r w:rsidR="00A55F8F">
        <w:t>‘</w:t>
      </w:r>
      <w:r w:rsidR="009F03D4" w:rsidRPr="00FC7F02">
        <w:t>The State of UK Competition</w:t>
      </w:r>
      <w:r w:rsidR="00A55F8F">
        <w:t>’</w:t>
      </w:r>
      <w:r>
        <w:t xml:space="preserve">, </w:t>
      </w:r>
      <w:r>
        <w:rPr>
          <w:i/>
          <w:iCs/>
        </w:rPr>
        <w:t>Competition &amp; Markets Authority</w:t>
      </w:r>
      <w:r>
        <w:t xml:space="preserve">, UK. </w:t>
      </w:r>
    </w:p>
    <w:p w14:paraId="65363AF7" w14:textId="601AA725" w:rsidR="00F1001F" w:rsidRPr="00536221" w:rsidRDefault="0076791A" w:rsidP="00741242">
      <w:pPr>
        <w:spacing w:after="240"/>
        <w:textAlignment w:val="center"/>
        <w:rPr>
          <w:i/>
          <w:iCs/>
        </w:rPr>
      </w:pPr>
      <w:r w:rsidRPr="0076791A">
        <w:t xml:space="preserve">Calvino F, </w:t>
      </w:r>
      <w:proofErr w:type="spellStart"/>
      <w:r w:rsidR="00B506E6">
        <w:t>Criscuolo</w:t>
      </w:r>
      <w:proofErr w:type="spellEnd"/>
      <w:r w:rsidR="00B506E6">
        <w:t xml:space="preserve"> C, </w:t>
      </w:r>
      <w:proofErr w:type="spellStart"/>
      <w:r w:rsidR="00B506E6">
        <w:t>Marcolin</w:t>
      </w:r>
      <w:proofErr w:type="spellEnd"/>
      <w:r w:rsidR="00B506E6">
        <w:t xml:space="preserve"> L and </w:t>
      </w:r>
      <w:proofErr w:type="spellStart"/>
      <w:r w:rsidR="00B506E6">
        <w:t>Squicciarini</w:t>
      </w:r>
      <w:proofErr w:type="spellEnd"/>
      <w:r w:rsidR="00B506E6">
        <w:t xml:space="preserve"> M</w:t>
      </w:r>
      <w:r w:rsidRPr="0076791A">
        <w:t xml:space="preserve"> (2018) </w:t>
      </w:r>
      <w:r w:rsidR="00B506E6">
        <w:t>‘</w:t>
      </w:r>
      <w:r w:rsidR="009F03D4" w:rsidRPr="00FC7F02">
        <w:t>A taxonomy of digital intensive sectors</w:t>
      </w:r>
      <w:r w:rsidR="00B506E6">
        <w:t>’</w:t>
      </w:r>
      <w:r w:rsidRPr="0076791A">
        <w:t xml:space="preserve">, </w:t>
      </w:r>
      <w:r w:rsidRPr="00DB2AF2">
        <w:rPr>
          <w:i/>
        </w:rPr>
        <w:t xml:space="preserve">OECD Science, </w:t>
      </w:r>
      <w:proofErr w:type="gramStart"/>
      <w:r w:rsidRPr="00DB2AF2">
        <w:rPr>
          <w:i/>
        </w:rPr>
        <w:t>Technology</w:t>
      </w:r>
      <w:proofErr w:type="gramEnd"/>
      <w:r w:rsidRPr="00DB2AF2">
        <w:rPr>
          <w:i/>
        </w:rPr>
        <w:t xml:space="preserve"> and Industry Working Papers</w:t>
      </w:r>
      <w:r w:rsidRPr="0076791A">
        <w:t>, 2018/14, OECD Publishing, Paris</w:t>
      </w:r>
      <w:r w:rsidR="00B506E6">
        <w:t>.</w:t>
      </w:r>
      <w:r w:rsidR="00F1001F">
        <w:t xml:space="preserve"> </w:t>
      </w:r>
    </w:p>
    <w:p w14:paraId="6C80F3D7" w14:textId="1A5A38BE" w:rsidR="00F1001F" w:rsidRPr="00536221" w:rsidRDefault="00F1001F" w:rsidP="00741242">
      <w:r>
        <w:t xml:space="preserve">Decker R, </w:t>
      </w:r>
      <w:proofErr w:type="spellStart"/>
      <w:r>
        <w:t>Haltiwanger</w:t>
      </w:r>
      <w:proofErr w:type="spellEnd"/>
      <w:r w:rsidR="0093060A">
        <w:t xml:space="preserve"> J</w:t>
      </w:r>
      <w:r>
        <w:t xml:space="preserve">, </w:t>
      </w:r>
      <w:proofErr w:type="spellStart"/>
      <w:r>
        <w:t>Jarmin</w:t>
      </w:r>
      <w:proofErr w:type="spellEnd"/>
      <w:r>
        <w:t xml:space="preserve"> </w:t>
      </w:r>
      <w:r w:rsidR="0093060A">
        <w:t xml:space="preserve">R </w:t>
      </w:r>
      <w:r>
        <w:t xml:space="preserve">and Miranda </w:t>
      </w:r>
      <w:r w:rsidR="0093060A">
        <w:t>J</w:t>
      </w:r>
      <w:r>
        <w:t xml:space="preserve"> (2017) </w:t>
      </w:r>
      <w:r w:rsidR="0093060A">
        <w:t>‘</w:t>
      </w:r>
      <w:r w:rsidR="009F03D4" w:rsidRPr="00FC7F02">
        <w:t>Declining Dynamism, Allocative Efficiency, and the Productivity Slowdown</w:t>
      </w:r>
      <w:r w:rsidR="0093060A">
        <w:t>’</w:t>
      </w:r>
      <w:r>
        <w:t xml:space="preserve">, </w:t>
      </w:r>
      <w:r>
        <w:rPr>
          <w:i/>
          <w:iCs/>
        </w:rPr>
        <w:t>American Economic Review</w:t>
      </w:r>
      <w:r>
        <w:t>,</w:t>
      </w:r>
      <w:r w:rsidRPr="00640464">
        <w:t xml:space="preserve"> 107</w:t>
      </w:r>
      <w:r>
        <w:t>(5)</w:t>
      </w:r>
      <w:r w:rsidR="0093060A">
        <w:t>:</w:t>
      </w:r>
      <w:r>
        <w:t xml:space="preserve"> 322</w:t>
      </w:r>
      <w:r w:rsidR="002B75D0">
        <w:noBreakHyphen/>
      </w:r>
      <w:r>
        <w:t>326.</w:t>
      </w:r>
      <w:r w:rsidRPr="00536221">
        <w:t xml:space="preserve"> </w:t>
      </w:r>
    </w:p>
    <w:p w14:paraId="72BE7111" w14:textId="022BD8AB" w:rsidR="00045755" w:rsidRPr="00536221" w:rsidRDefault="0010369A" w:rsidP="00741242">
      <w:r w:rsidRPr="0010369A">
        <w:t xml:space="preserve">Decker R, </w:t>
      </w:r>
      <w:proofErr w:type="spellStart"/>
      <w:r w:rsidRPr="0010369A">
        <w:t>Haltiwanger</w:t>
      </w:r>
      <w:proofErr w:type="spellEnd"/>
      <w:r w:rsidR="0093060A">
        <w:t xml:space="preserve"> J</w:t>
      </w:r>
      <w:r w:rsidRPr="0010369A">
        <w:t xml:space="preserve">, </w:t>
      </w:r>
      <w:proofErr w:type="spellStart"/>
      <w:r w:rsidRPr="0010369A">
        <w:t>Jarmin</w:t>
      </w:r>
      <w:proofErr w:type="spellEnd"/>
      <w:r w:rsidR="0093060A">
        <w:t xml:space="preserve"> R</w:t>
      </w:r>
      <w:r w:rsidRPr="0010369A">
        <w:t xml:space="preserve">, and Miranda </w:t>
      </w:r>
      <w:r w:rsidR="0093060A">
        <w:t>J</w:t>
      </w:r>
      <w:r w:rsidRPr="0010369A">
        <w:t xml:space="preserve"> </w:t>
      </w:r>
      <w:r>
        <w:t>(</w:t>
      </w:r>
      <w:r w:rsidRPr="0010369A">
        <w:t>2020</w:t>
      </w:r>
      <w:r>
        <w:t>)</w:t>
      </w:r>
      <w:r w:rsidRPr="0010369A">
        <w:t xml:space="preserve"> </w:t>
      </w:r>
      <w:r w:rsidR="0093060A">
        <w:t>‘</w:t>
      </w:r>
      <w:r w:rsidR="009F03D4" w:rsidRPr="00FC7F02">
        <w:t>Changing Business Dynamism and Productivity: Shocks versus Responsiveness</w:t>
      </w:r>
      <w:r w:rsidR="0093060A">
        <w:t>’,</w:t>
      </w:r>
      <w:r w:rsidRPr="0010369A">
        <w:t xml:space="preserve"> </w:t>
      </w:r>
      <w:r w:rsidRPr="00FC7F02">
        <w:rPr>
          <w:i/>
        </w:rPr>
        <w:t>American Economic Review</w:t>
      </w:r>
      <w:r w:rsidRPr="0010369A">
        <w:t>, 110(12): 3952</w:t>
      </w:r>
      <w:r w:rsidR="002B75D0">
        <w:noBreakHyphen/>
      </w:r>
      <w:r w:rsidRPr="0010369A">
        <w:t>90</w:t>
      </w:r>
    </w:p>
    <w:p w14:paraId="2A175E57" w14:textId="6723BF9B" w:rsidR="00F1001F" w:rsidRPr="00EF09F1" w:rsidRDefault="00F1001F" w:rsidP="00741242">
      <w:pPr>
        <w:spacing w:after="240"/>
        <w:textAlignment w:val="center"/>
      </w:pPr>
      <w:r>
        <w:t xml:space="preserve">De </w:t>
      </w:r>
      <w:proofErr w:type="spellStart"/>
      <w:r>
        <w:t>Loecker</w:t>
      </w:r>
      <w:proofErr w:type="spellEnd"/>
      <w:r>
        <w:t xml:space="preserve"> J and </w:t>
      </w:r>
      <w:proofErr w:type="spellStart"/>
      <w:r>
        <w:t>Eeckhout</w:t>
      </w:r>
      <w:proofErr w:type="spellEnd"/>
      <w:r>
        <w:t xml:space="preserve"> </w:t>
      </w:r>
      <w:r w:rsidR="0093060A">
        <w:t>J</w:t>
      </w:r>
      <w:r>
        <w:t xml:space="preserve"> (2018) </w:t>
      </w:r>
      <w:r w:rsidR="0093060A">
        <w:t>‘</w:t>
      </w:r>
      <w:r w:rsidR="009F03D4" w:rsidRPr="00FC7F02">
        <w:t>Global Market Power</w:t>
      </w:r>
      <w:r w:rsidR="0093060A">
        <w:t>’</w:t>
      </w:r>
      <w:r>
        <w:t xml:space="preserve">, </w:t>
      </w:r>
      <w:r>
        <w:rPr>
          <w:i/>
          <w:iCs/>
        </w:rPr>
        <w:t xml:space="preserve">NBER Working Paper </w:t>
      </w:r>
      <w:r w:rsidRPr="00FC7F02">
        <w:t>24768</w:t>
      </w:r>
      <w:r>
        <w:t xml:space="preserve">. </w:t>
      </w:r>
    </w:p>
    <w:p w14:paraId="5D8B0459" w14:textId="617A92F2" w:rsidR="00F1001F" w:rsidRPr="002B3AC9" w:rsidRDefault="00F1001F" w:rsidP="00741242">
      <w:pPr>
        <w:spacing w:after="240"/>
        <w:textAlignment w:val="center"/>
      </w:pPr>
      <w:r>
        <w:t xml:space="preserve">De </w:t>
      </w:r>
      <w:proofErr w:type="spellStart"/>
      <w:r>
        <w:t>Loecker</w:t>
      </w:r>
      <w:proofErr w:type="spellEnd"/>
      <w:r>
        <w:t xml:space="preserve"> J, </w:t>
      </w:r>
      <w:proofErr w:type="spellStart"/>
      <w:r>
        <w:t>Eeckhout</w:t>
      </w:r>
      <w:proofErr w:type="spellEnd"/>
      <w:r>
        <w:t xml:space="preserve"> </w:t>
      </w:r>
      <w:r w:rsidR="0093060A">
        <w:t xml:space="preserve">J </w:t>
      </w:r>
      <w:r>
        <w:t xml:space="preserve">and Unger </w:t>
      </w:r>
      <w:r w:rsidR="0093060A">
        <w:t xml:space="preserve">G </w:t>
      </w:r>
      <w:r>
        <w:t xml:space="preserve">(2020) </w:t>
      </w:r>
      <w:r w:rsidR="0093060A">
        <w:t>‘</w:t>
      </w:r>
      <w:r w:rsidR="009F03D4" w:rsidRPr="00FC7F02">
        <w:t>The Rise of Market Power and the Macroeconomic Implications</w:t>
      </w:r>
      <w:r w:rsidR="0093060A">
        <w:t>’</w:t>
      </w:r>
      <w:r>
        <w:t xml:space="preserve">, </w:t>
      </w:r>
      <w:r>
        <w:rPr>
          <w:i/>
          <w:iCs/>
        </w:rPr>
        <w:t>The Quarterly Journal of Economics</w:t>
      </w:r>
      <w:r>
        <w:t>,</w:t>
      </w:r>
      <w:r w:rsidRPr="00640464">
        <w:t xml:space="preserve"> 135</w:t>
      </w:r>
      <w:r>
        <w:t>(2), pp 561</w:t>
      </w:r>
      <w:r w:rsidR="002B75D0">
        <w:noBreakHyphen/>
      </w:r>
      <w:r>
        <w:t xml:space="preserve">644. </w:t>
      </w:r>
    </w:p>
    <w:p w14:paraId="1F5221D6" w14:textId="36644580" w:rsidR="00775F44" w:rsidRDefault="00F1001F" w:rsidP="00741242">
      <w:pPr>
        <w:spacing w:after="240"/>
        <w:textAlignment w:val="center"/>
        <w:rPr>
          <w:rFonts w:cs="Calibri"/>
        </w:rPr>
      </w:pPr>
      <w:r>
        <w:t xml:space="preserve">Hambur J (2021) </w:t>
      </w:r>
      <w:r w:rsidR="0093060A">
        <w:t>‘</w:t>
      </w:r>
      <w:r w:rsidR="009F03D4" w:rsidRPr="00FC7F02">
        <w:t>Product Market Power and its Implications for the Australian Economy</w:t>
      </w:r>
      <w:r w:rsidR="0093060A">
        <w:rPr>
          <w:rFonts w:cs="Calibri"/>
        </w:rPr>
        <w:t>’</w:t>
      </w:r>
      <w:r w:rsidR="00775F44">
        <w:rPr>
          <w:rFonts w:cs="Calibri"/>
        </w:rPr>
        <w:t xml:space="preserve">, </w:t>
      </w:r>
      <w:r w:rsidR="00775F44" w:rsidRPr="00775F44">
        <w:rPr>
          <w:rFonts w:cs="Calibri"/>
          <w:i/>
          <w:iCs/>
        </w:rPr>
        <w:t>Treasury Working Paper</w:t>
      </w:r>
      <w:r w:rsidR="00775F44">
        <w:rPr>
          <w:rFonts w:cs="Calibri"/>
        </w:rPr>
        <w:t>.</w:t>
      </w:r>
    </w:p>
    <w:p w14:paraId="54CA89E0" w14:textId="6D027700" w:rsidR="00F1001F" w:rsidRPr="00870C88" w:rsidRDefault="00F1001F" w:rsidP="00741242">
      <w:pPr>
        <w:spacing w:after="240"/>
        <w:textAlignment w:val="center"/>
        <w:rPr>
          <w:rFonts w:cs="Calibri"/>
        </w:rPr>
      </w:pPr>
      <w:r>
        <w:rPr>
          <w:rFonts w:cs="Calibri"/>
        </w:rPr>
        <w:t xml:space="preserve">IMF (2019), </w:t>
      </w:r>
      <w:r w:rsidR="0093060A">
        <w:rPr>
          <w:rFonts w:cs="Calibri"/>
        </w:rPr>
        <w:t>‘</w:t>
      </w:r>
      <w:r>
        <w:rPr>
          <w:rFonts w:cs="Calibri"/>
        </w:rPr>
        <w:t>The Rise of Corporate Market Power and Its Macroeconomic Effects</w:t>
      </w:r>
      <w:r w:rsidR="0093060A">
        <w:rPr>
          <w:rFonts w:cs="Calibri"/>
        </w:rPr>
        <w:t>’</w:t>
      </w:r>
      <w:r>
        <w:rPr>
          <w:rFonts w:cs="Calibri"/>
        </w:rPr>
        <w:t xml:space="preserve">, </w:t>
      </w:r>
      <w:r w:rsidRPr="00536221">
        <w:rPr>
          <w:rFonts w:cs="Calibri"/>
          <w:i/>
          <w:iCs/>
        </w:rPr>
        <w:t>World Economic Outlook</w:t>
      </w:r>
      <w:r>
        <w:rPr>
          <w:rFonts w:cs="Calibri"/>
        </w:rPr>
        <w:t>, Chapter 2.</w:t>
      </w:r>
    </w:p>
    <w:p w14:paraId="2574A896" w14:textId="129C2ADF" w:rsidR="00271086" w:rsidRPr="00EF09F1" w:rsidRDefault="00271086" w:rsidP="00741242">
      <w:pPr>
        <w:spacing w:after="240"/>
        <w:textAlignment w:val="center"/>
        <w:rPr>
          <w:rFonts w:cs="Calibri"/>
        </w:rPr>
      </w:pPr>
      <w:r>
        <w:rPr>
          <w:rFonts w:cs="Calibri"/>
          <w:szCs w:val="22"/>
        </w:rPr>
        <w:t xml:space="preserve">Leigh A (2022) </w:t>
      </w:r>
      <w:r w:rsidR="009F03D4" w:rsidRPr="00FC7F02">
        <w:t>A More Dynamic Economy</w:t>
      </w:r>
      <w:r>
        <w:rPr>
          <w:rFonts w:cs="Calibri"/>
          <w:szCs w:val="22"/>
        </w:rPr>
        <w:t>, 25 August, F.H. Gruen Lecture, Australian National University.</w:t>
      </w:r>
    </w:p>
    <w:p w14:paraId="57900AB3" w14:textId="0C2567D5" w:rsidR="00F1001F" w:rsidRPr="006A266B" w:rsidRDefault="00F1001F" w:rsidP="00741242">
      <w:pPr>
        <w:spacing w:after="240"/>
        <w:textAlignment w:val="center"/>
      </w:pPr>
      <w:r>
        <w:t xml:space="preserve">OECD (2021) </w:t>
      </w:r>
      <w:r w:rsidR="0093060A">
        <w:t>‘</w:t>
      </w:r>
      <w:r w:rsidR="009F03D4" w:rsidRPr="00FC7F02">
        <w:t>Methodologies to Measure Market Competition</w:t>
      </w:r>
      <w:r w:rsidR="0093060A">
        <w:t>’</w:t>
      </w:r>
      <w:r>
        <w:t xml:space="preserve">, </w:t>
      </w:r>
      <w:r>
        <w:rPr>
          <w:i/>
          <w:iCs/>
        </w:rPr>
        <w:t>OECD Competition Issues Paper</w:t>
      </w:r>
      <w:r>
        <w:t>.</w:t>
      </w:r>
    </w:p>
    <w:p w14:paraId="623836C1" w14:textId="120D2069" w:rsidR="00F72CE0" w:rsidRDefault="00F72CE0">
      <w:pPr>
        <w:spacing w:after="240"/>
        <w:textAlignment w:val="center"/>
        <w:rPr>
          <w:b/>
          <w:color w:val="2C384A" w:themeColor="accent1"/>
          <w:spacing w:val="-14"/>
          <w:sz w:val="44"/>
          <w:szCs w:val="68"/>
        </w:rPr>
      </w:pPr>
      <w:proofErr w:type="spellStart"/>
      <w:r w:rsidRPr="00F72CE0">
        <w:rPr>
          <w:rFonts w:cs="Calibri"/>
        </w:rPr>
        <w:t>Syverson</w:t>
      </w:r>
      <w:proofErr w:type="spellEnd"/>
      <w:r w:rsidRPr="00F72CE0">
        <w:rPr>
          <w:rFonts w:cs="Calibri"/>
        </w:rPr>
        <w:t xml:space="preserve"> C</w:t>
      </w:r>
      <w:r w:rsidR="00117B3E">
        <w:rPr>
          <w:rFonts w:cs="Calibri"/>
        </w:rPr>
        <w:t xml:space="preserve"> (2004)</w:t>
      </w:r>
      <w:r w:rsidRPr="00F72CE0">
        <w:rPr>
          <w:rFonts w:cs="Calibri"/>
        </w:rPr>
        <w:t xml:space="preserve"> </w:t>
      </w:r>
      <w:r w:rsidR="0093060A">
        <w:rPr>
          <w:rFonts w:cs="Calibri"/>
        </w:rPr>
        <w:t>‘</w:t>
      </w:r>
      <w:r w:rsidR="009F03D4" w:rsidRPr="00FC7F02">
        <w:t>Market Structure and Productivity: A Concrete Example</w:t>
      </w:r>
      <w:r w:rsidR="0093060A">
        <w:rPr>
          <w:rFonts w:cs="Calibri"/>
        </w:rPr>
        <w:t>’</w:t>
      </w:r>
      <w:r w:rsidR="00936FA5">
        <w:rPr>
          <w:rFonts w:cs="Calibri"/>
        </w:rPr>
        <w:t>,</w:t>
      </w:r>
      <w:r w:rsidRPr="00F72CE0">
        <w:rPr>
          <w:rFonts w:cs="Calibri"/>
        </w:rPr>
        <w:t xml:space="preserve"> </w:t>
      </w:r>
      <w:r w:rsidRPr="00741242">
        <w:rPr>
          <w:rFonts w:cs="Calibri"/>
          <w:i/>
          <w:iCs/>
        </w:rPr>
        <w:t>Journal of Political Economy</w:t>
      </w:r>
      <w:r w:rsidRPr="00F72CE0">
        <w:rPr>
          <w:rFonts w:cs="Calibri"/>
        </w:rPr>
        <w:t xml:space="preserve"> 112</w:t>
      </w:r>
      <w:r w:rsidR="00117B3E">
        <w:rPr>
          <w:rFonts w:cs="Calibri"/>
        </w:rPr>
        <w:t>(</w:t>
      </w:r>
      <w:r w:rsidRPr="00F72CE0">
        <w:rPr>
          <w:rFonts w:cs="Calibri"/>
        </w:rPr>
        <w:t>6): 1181–1222.</w:t>
      </w:r>
      <w:r w:rsidR="00EC38FB">
        <w:rPr>
          <w:b/>
          <w:color w:val="2C384A" w:themeColor="accent1"/>
          <w:spacing w:val="-14"/>
          <w:sz w:val="44"/>
          <w:szCs w:val="68"/>
        </w:rPr>
        <w:br w:type="page"/>
      </w:r>
    </w:p>
    <w:p w14:paraId="639BC09D" w14:textId="58F95771" w:rsidR="005F5707" w:rsidRPr="009E4D9F" w:rsidRDefault="005F5707" w:rsidP="00014455">
      <w:pPr>
        <w:spacing w:before="0" w:after="0"/>
        <w:rPr>
          <w:b/>
          <w:color w:val="2C384A" w:themeColor="accent1"/>
          <w:spacing w:val="-14"/>
          <w:sz w:val="44"/>
          <w:szCs w:val="68"/>
        </w:rPr>
        <w:sectPr w:rsidR="005F5707" w:rsidRPr="009E4D9F" w:rsidSect="00DD07B2">
          <w:footerReference w:type="default" r:id="rId50"/>
          <w:footnotePr>
            <w:numRestart w:val="eachSect"/>
          </w:footnotePr>
          <w:type w:val="continuous"/>
          <w:pgSz w:w="11906" w:h="16838" w:code="9"/>
          <w:pgMar w:top="1843" w:right="1418" w:bottom="1418" w:left="1418" w:header="567" w:footer="249" w:gutter="0"/>
          <w:cols w:space="340"/>
          <w:docGrid w:linePitch="360"/>
        </w:sectPr>
      </w:pPr>
    </w:p>
    <w:p w14:paraId="36BC0117" w14:textId="0503C7F7" w:rsidR="002D40F0" w:rsidRPr="000E2E34" w:rsidRDefault="002D40F0" w:rsidP="00581EA0">
      <w:pPr>
        <w:pStyle w:val="Reporttitle"/>
      </w:pPr>
      <w:bookmarkStart w:id="8" w:name="_Toc115880554"/>
      <w:r w:rsidRPr="002D40F0">
        <w:lastRenderedPageBreak/>
        <w:t xml:space="preserve">How </w:t>
      </w:r>
      <w:r w:rsidR="00903BF7">
        <w:t>d</w:t>
      </w:r>
      <w:r w:rsidRPr="002D40F0">
        <w:t xml:space="preserve">ispersed </w:t>
      </w:r>
      <w:r w:rsidR="00903BF7">
        <w:t>a</w:t>
      </w:r>
      <w:r w:rsidRPr="002D40F0">
        <w:t xml:space="preserve">re </w:t>
      </w:r>
      <w:r w:rsidR="00903BF7">
        <w:t>n</w:t>
      </w:r>
      <w:r w:rsidRPr="002D40F0">
        <w:t xml:space="preserve">ew </w:t>
      </w:r>
      <w:r w:rsidR="00903BF7">
        <w:t>t</w:t>
      </w:r>
      <w:r w:rsidRPr="002D40F0">
        <w:t xml:space="preserve">echnologies in the Australian </w:t>
      </w:r>
      <w:r w:rsidR="00903BF7">
        <w:t>j</w:t>
      </w:r>
      <w:r w:rsidRPr="002D40F0">
        <w:t xml:space="preserve">ob </w:t>
      </w:r>
      <w:r w:rsidR="00903BF7">
        <w:t>m</w:t>
      </w:r>
      <w:r w:rsidRPr="002D40F0">
        <w:t>arket</w:t>
      </w:r>
      <w:r w:rsidR="006102D3">
        <w:t>?</w:t>
      </w:r>
      <w:bookmarkEnd w:id="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498"/>
      </w:tblGrid>
      <w:tr w:rsidR="002D40F0" w14:paraId="5D2C5CAB" w14:textId="77777777" w:rsidTr="00790CEC">
        <w:tc>
          <w:tcPr>
            <w:tcW w:w="8498" w:type="dxa"/>
            <w:shd w:val="clear" w:color="auto" w:fill="auto"/>
          </w:tcPr>
          <w:p w14:paraId="6582921D" w14:textId="744A0BDE" w:rsidR="002D40F0" w:rsidRPr="000E2E34" w:rsidRDefault="002D40F0" w:rsidP="00EC38FB">
            <w:pPr>
              <w:pStyle w:val="Authornameunderlined"/>
            </w:pPr>
            <w:r w:rsidRPr="000E2E34">
              <w:t xml:space="preserve">Prepared by </w:t>
            </w:r>
            <w:r>
              <w:t>Elif Bahar and Oscar Lane</w:t>
            </w:r>
            <w:r w:rsidR="00F1001F">
              <w:rPr>
                <w:rStyle w:val="FootnoteReference"/>
              </w:rPr>
              <w:footnoteReference w:customMarkFollows="1" w:id="13"/>
              <w:t>*</w:t>
            </w:r>
          </w:p>
        </w:tc>
      </w:tr>
      <w:tr w:rsidR="002D40F0" w14:paraId="3A4F1B20" w14:textId="77777777" w:rsidTr="00790CEC">
        <w:trPr>
          <w:trHeight w:val="170"/>
        </w:trPr>
        <w:tc>
          <w:tcPr>
            <w:tcW w:w="8498" w:type="dxa"/>
            <w:shd w:val="clear" w:color="auto" w:fill="auto"/>
          </w:tcPr>
          <w:p w14:paraId="09EBE8D0" w14:textId="77777777" w:rsidR="002D40F0" w:rsidRPr="000520F1" w:rsidRDefault="002D40F0" w:rsidP="00A94745">
            <w:pPr>
              <w:spacing w:before="0" w:after="0" w:line="276" w:lineRule="auto"/>
            </w:pPr>
          </w:p>
        </w:tc>
      </w:tr>
    </w:tbl>
    <w:tbl>
      <w:tblPr>
        <w:tblpPr w:leftFromText="181" w:rightFromText="181" w:vertAnchor="text" w:horzAnchor="margin" w:tblpY="143"/>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0"/>
      </w:tblGrid>
      <w:tr w:rsidR="002D40F0" w14:paraId="4C027031" w14:textId="77777777" w:rsidTr="002236F2">
        <w:tc>
          <w:tcPr>
            <w:tcW w:w="5000" w:type="pct"/>
            <w:shd w:val="clear" w:color="auto" w:fill="FCEEE5" w:themeFill="accent6" w:themeFillTint="33"/>
          </w:tcPr>
          <w:p w14:paraId="6910FE8E" w14:textId="6C14E5BE" w:rsidR="002D40F0" w:rsidRPr="00C96A1F" w:rsidRDefault="00F1001F" w:rsidP="00A94745">
            <w:pPr>
              <w:pStyle w:val="Boxbullet"/>
              <w:numPr>
                <w:ilvl w:val="0"/>
                <w:numId w:val="0"/>
              </w:numPr>
              <w:rPr>
                <w:i/>
              </w:rPr>
            </w:pPr>
            <w:r w:rsidRPr="00C96A1F">
              <w:rPr>
                <w:i/>
                <w:szCs w:val="22"/>
              </w:rPr>
              <w:t xml:space="preserve">The diffusion of new technologies is an important driver of productivity growth, particularly in Australia </w:t>
            </w:r>
            <w:r w:rsidR="00A55F8F">
              <w:rPr>
                <w:i/>
                <w:szCs w:val="22"/>
              </w:rPr>
              <w:sym w:font="Symbol" w:char="F02D"/>
            </w:r>
            <w:r w:rsidR="00170BEE">
              <w:rPr>
                <w:i/>
                <w:szCs w:val="22"/>
              </w:rPr>
              <w:t xml:space="preserve"> </w:t>
            </w:r>
            <w:r w:rsidRPr="00C96A1F">
              <w:rPr>
                <w:i/>
                <w:szCs w:val="22"/>
              </w:rPr>
              <w:t>a small open economy that tends to adopt innovations from the global frontier.</w:t>
            </w:r>
            <w:r w:rsidR="00C96A1F" w:rsidRPr="00C96A1F">
              <w:rPr>
                <w:i/>
                <w:iCs/>
                <w:szCs w:val="22"/>
              </w:rPr>
              <w:t xml:space="preserve"> </w:t>
            </w:r>
            <w:r w:rsidRPr="00C96A1F">
              <w:rPr>
                <w:i/>
                <w:szCs w:val="22"/>
              </w:rPr>
              <w:t xml:space="preserve">Using </w:t>
            </w:r>
            <w:proofErr w:type="spellStart"/>
            <w:r w:rsidRPr="00C96A1F">
              <w:rPr>
                <w:i/>
                <w:szCs w:val="22"/>
              </w:rPr>
              <w:t>Lightcast</w:t>
            </w:r>
            <w:proofErr w:type="spellEnd"/>
            <w:r w:rsidRPr="00C96A1F">
              <w:rPr>
                <w:i/>
                <w:szCs w:val="22"/>
              </w:rPr>
              <w:t xml:space="preserve"> job ad data, we show that Australia’s adoption of emerging technologies has increased over the past decade. Job ads referencing </w:t>
            </w:r>
            <w:r w:rsidR="00170BEE">
              <w:rPr>
                <w:i/>
                <w:szCs w:val="22"/>
              </w:rPr>
              <w:t>c</w:t>
            </w:r>
            <w:r w:rsidRPr="00C96A1F">
              <w:rPr>
                <w:i/>
                <w:szCs w:val="22"/>
              </w:rPr>
              <w:t xml:space="preserve">loud </w:t>
            </w:r>
            <w:r w:rsidR="00170BEE">
              <w:rPr>
                <w:i/>
                <w:szCs w:val="22"/>
              </w:rPr>
              <w:t>c</w:t>
            </w:r>
            <w:r w:rsidRPr="00C96A1F">
              <w:rPr>
                <w:i/>
                <w:szCs w:val="22"/>
              </w:rPr>
              <w:t xml:space="preserve">omputing, </w:t>
            </w:r>
            <w:r w:rsidR="00170BEE">
              <w:rPr>
                <w:i/>
                <w:szCs w:val="22"/>
              </w:rPr>
              <w:t>m</w:t>
            </w:r>
            <w:r w:rsidRPr="00C96A1F">
              <w:rPr>
                <w:i/>
                <w:szCs w:val="22"/>
              </w:rPr>
              <w:t xml:space="preserve">achine </w:t>
            </w:r>
            <w:r w:rsidR="00170BEE">
              <w:rPr>
                <w:i/>
                <w:szCs w:val="22"/>
              </w:rPr>
              <w:t>l</w:t>
            </w:r>
            <w:r w:rsidRPr="00C96A1F">
              <w:rPr>
                <w:i/>
                <w:szCs w:val="22"/>
              </w:rPr>
              <w:t xml:space="preserve">earning and </w:t>
            </w:r>
            <w:r w:rsidR="00170BEE">
              <w:rPr>
                <w:i/>
                <w:szCs w:val="22"/>
              </w:rPr>
              <w:t>a</w:t>
            </w:r>
            <w:r w:rsidRPr="00C96A1F">
              <w:rPr>
                <w:i/>
                <w:szCs w:val="22"/>
              </w:rPr>
              <w:t xml:space="preserve">rtificial </w:t>
            </w:r>
            <w:r w:rsidR="00170BEE">
              <w:rPr>
                <w:i/>
                <w:szCs w:val="22"/>
              </w:rPr>
              <w:t>i</w:t>
            </w:r>
            <w:r w:rsidRPr="00C96A1F">
              <w:rPr>
                <w:i/>
                <w:szCs w:val="22"/>
              </w:rPr>
              <w:t xml:space="preserve">ntelligence </w:t>
            </w:r>
            <w:r w:rsidR="00A55F8F">
              <w:rPr>
                <w:i/>
                <w:szCs w:val="22"/>
              </w:rPr>
              <w:sym w:font="Symbol" w:char="F02D"/>
            </w:r>
            <w:r w:rsidR="00170BEE">
              <w:rPr>
                <w:i/>
                <w:szCs w:val="22"/>
              </w:rPr>
              <w:t xml:space="preserve"> </w:t>
            </w:r>
            <w:r w:rsidRPr="00C96A1F">
              <w:rPr>
                <w:i/>
                <w:szCs w:val="22"/>
              </w:rPr>
              <w:t>innovations most likely to become general</w:t>
            </w:r>
            <w:r w:rsidR="00D46C7C">
              <w:rPr>
                <w:i/>
                <w:szCs w:val="22"/>
              </w:rPr>
              <w:noBreakHyphen/>
            </w:r>
            <w:r w:rsidRPr="00C96A1F">
              <w:rPr>
                <w:i/>
                <w:szCs w:val="22"/>
              </w:rPr>
              <w:t>purpose, productivity</w:t>
            </w:r>
            <w:r w:rsidR="002B75D0">
              <w:rPr>
                <w:i/>
                <w:szCs w:val="22"/>
              </w:rPr>
              <w:noBreakHyphen/>
            </w:r>
            <w:r w:rsidRPr="00C96A1F">
              <w:rPr>
                <w:i/>
                <w:szCs w:val="22"/>
              </w:rPr>
              <w:t xml:space="preserve">enhancing technologies </w:t>
            </w:r>
            <w:r w:rsidR="00A55F8F">
              <w:rPr>
                <w:i/>
                <w:szCs w:val="22"/>
              </w:rPr>
              <w:sym w:font="Symbol" w:char="F02D"/>
            </w:r>
            <w:r w:rsidR="00A55F8F">
              <w:rPr>
                <w:i/>
                <w:szCs w:val="22"/>
              </w:rPr>
              <w:t xml:space="preserve"> </w:t>
            </w:r>
            <w:r w:rsidRPr="00C96A1F">
              <w:rPr>
                <w:i/>
                <w:szCs w:val="22"/>
              </w:rPr>
              <w:t>have increased strongly and become more evenly spread across industries. However, the prevalence of these technologies appears to be lower in Australia than in the United States.</w:t>
            </w:r>
          </w:p>
        </w:tc>
      </w:tr>
    </w:tbl>
    <w:p w14:paraId="65B4F1DF" w14:textId="77777777" w:rsidR="00BF0CE3" w:rsidRDefault="00BF0CE3" w:rsidP="005E055C">
      <w:pPr>
        <w:pStyle w:val="Heading1"/>
      </w:pPr>
      <w:r w:rsidRPr="00422F18">
        <w:t>Diffusion of new technologies is a key driver of productivity growth</w:t>
      </w:r>
    </w:p>
    <w:p w14:paraId="69AFF836" w14:textId="232A431C" w:rsidR="00BF0CE3" w:rsidRDefault="00BF0CE3" w:rsidP="00A94745">
      <w:r>
        <w:t xml:space="preserve">Innovation and the use of new technologies are important determinants of firm performance and aggregate productivity. Typically, new technologies are developed by frontier firms </w:t>
      </w:r>
      <w:r w:rsidR="00BC07D6">
        <w:t xml:space="preserve">and </w:t>
      </w:r>
      <w:r>
        <w:t>then diffuse</w:t>
      </w:r>
      <w:r w:rsidR="00123DD3">
        <w:t>d</w:t>
      </w:r>
      <w:r>
        <w:t xml:space="preserve"> through the economy as they are adopted by other firms. </w:t>
      </w:r>
    </w:p>
    <w:p w14:paraId="1ED227A8" w14:textId="07884CE6" w:rsidR="00BF0CE3" w:rsidRDefault="00BF0CE3" w:rsidP="00A94745">
      <w:r>
        <w:t>Previous Treasury analysis has demonstrated a slowdown in the rate at which Australian firms reach</w:t>
      </w:r>
      <w:r w:rsidR="00BC07D6">
        <w:t>ed</w:t>
      </w:r>
      <w:r>
        <w:t xml:space="preserve"> the global productivity frontier between 2002 and 2016, suggesting slower adoption of cutting</w:t>
      </w:r>
      <w:r w:rsidR="002B75D0">
        <w:noBreakHyphen/>
      </w:r>
      <w:r>
        <w:t>edge technologies and processes (</w:t>
      </w:r>
      <w:r w:rsidRPr="002F7124">
        <w:t>Andrews et al</w:t>
      </w:r>
      <w:r w:rsidR="0062320B">
        <w:t>.</w:t>
      </w:r>
      <w:r>
        <w:t xml:space="preserve"> </w:t>
      </w:r>
      <w:r w:rsidRPr="002F7124">
        <w:t>2022</w:t>
      </w:r>
      <w:r>
        <w:t>). This article builds on this evidence by examining the extent to which Australian job advertisement data reference</w:t>
      </w:r>
      <w:r w:rsidR="004675C4">
        <w:t>d</w:t>
      </w:r>
      <w:r>
        <w:t xml:space="preserve"> cutting</w:t>
      </w:r>
      <w:r w:rsidR="002B75D0">
        <w:noBreakHyphen/>
      </w:r>
      <w:r>
        <w:t xml:space="preserve">edge technologies between 2012 and 2020. </w:t>
      </w:r>
    </w:p>
    <w:p w14:paraId="7F480B0E" w14:textId="33A3194F" w:rsidR="00BF0CE3" w:rsidRDefault="00BF0CE3" w:rsidP="00A94745">
      <w:r>
        <w:t xml:space="preserve">We focus particularly on technologies that may become </w:t>
      </w:r>
      <w:r w:rsidR="00123DD3">
        <w:t>‘</w:t>
      </w:r>
      <w:r>
        <w:t>general</w:t>
      </w:r>
      <w:r w:rsidR="005A5C8B">
        <w:t>-</w:t>
      </w:r>
      <w:r>
        <w:t>purpose</w:t>
      </w:r>
      <w:r w:rsidR="00123DD3">
        <w:t>’</w:t>
      </w:r>
      <w:r>
        <w:t xml:space="preserve">. </w:t>
      </w:r>
      <w:r w:rsidR="00123DD3">
        <w:t>G</w:t>
      </w:r>
      <w:r>
        <w:t>eneral</w:t>
      </w:r>
      <w:r w:rsidR="00D46C7C">
        <w:noBreakHyphen/>
      </w:r>
      <w:r>
        <w:t xml:space="preserve">purpose technologies are widely used across industries and spark widespread innovation and productivity growth across the whole economy. Electricity and the internet are examples of previous </w:t>
      </w:r>
      <w:r w:rsidR="00752786">
        <w:t>general</w:t>
      </w:r>
      <w:r w:rsidR="00D46C7C">
        <w:noBreakHyphen/>
      </w:r>
      <w:r w:rsidR="00752786">
        <w:t>purpose</w:t>
      </w:r>
      <w:r>
        <w:t xml:space="preserve"> technologies. While complementary investments are necessary, </w:t>
      </w:r>
      <w:r w:rsidR="00752786">
        <w:t>genera</w:t>
      </w:r>
      <w:r w:rsidR="00123DD3">
        <w:t>l</w:t>
      </w:r>
      <w:r w:rsidR="00D46C7C">
        <w:noBreakHyphen/>
      </w:r>
      <w:r w:rsidR="00752786">
        <w:t>purpose</w:t>
      </w:r>
      <w:r>
        <w:t xml:space="preserve"> technologies will ultimately produce significant productivity gains (</w:t>
      </w:r>
      <w:r w:rsidRPr="00672509">
        <w:t>Brynjolfsson</w:t>
      </w:r>
      <w:r>
        <w:t xml:space="preserve"> et al</w:t>
      </w:r>
      <w:r w:rsidR="0062320B">
        <w:t>.</w:t>
      </w:r>
      <w:r>
        <w:t xml:space="preserve"> 2021). </w:t>
      </w:r>
    </w:p>
    <w:p w14:paraId="09DD0CAE" w14:textId="04990FBF" w:rsidR="00BF0CE3" w:rsidRPr="00790CEC" w:rsidRDefault="00BF0CE3" w:rsidP="00D13B54">
      <w:pPr>
        <w:pStyle w:val="Heading1"/>
        <w:spacing w:before="480"/>
      </w:pPr>
      <w:r w:rsidRPr="00790CEC">
        <w:lastRenderedPageBreak/>
        <w:t xml:space="preserve">Emerging technologies </w:t>
      </w:r>
    </w:p>
    <w:p w14:paraId="003C149B" w14:textId="6B5CD3CF" w:rsidR="00BF0CE3" w:rsidRDefault="00BF0CE3" w:rsidP="006C161C">
      <w:pPr>
        <w:autoSpaceDE w:val="0"/>
        <w:autoSpaceDN w:val="0"/>
        <w:adjustRightInd w:val="0"/>
      </w:pPr>
      <w:r>
        <w:t xml:space="preserve">We use a list of 29 emerging global technologies identified by </w:t>
      </w:r>
      <w:r w:rsidRPr="002F7124">
        <w:t>Bloom et al</w:t>
      </w:r>
      <w:r w:rsidR="0062320B">
        <w:t>.</w:t>
      </w:r>
      <w:r>
        <w:t xml:space="preserve"> </w:t>
      </w:r>
      <w:r w:rsidRPr="002F7124">
        <w:t>(2021)</w:t>
      </w:r>
      <w:r>
        <w:t xml:space="preserve">. These authors selected technologies based on how frequently they are mentioned in patents, job postings and earnings conference calls in the </w:t>
      </w:r>
      <w:r w:rsidR="00C268B6">
        <w:t>US</w:t>
      </w:r>
      <w:r>
        <w:t xml:space="preserve">. They argue that each of the 29 technologies </w:t>
      </w:r>
      <w:r w:rsidR="00C268B6">
        <w:t xml:space="preserve">has </w:t>
      </w:r>
      <w:r>
        <w:t xml:space="preserve">significantly disrupted businesses and jobs in the US in the past </w:t>
      </w:r>
      <w:r w:rsidR="00C268B6">
        <w:t xml:space="preserve">2 </w:t>
      </w:r>
      <w:r>
        <w:t>decades</w:t>
      </w:r>
      <w:r w:rsidR="00C268B6">
        <w:t>. They</w:t>
      </w:r>
      <w:r>
        <w:t xml:space="preserve"> also had significant global implications. All the</w:t>
      </w:r>
      <w:r w:rsidR="00C268B6">
        <w:t>se</w:t>
      </w:r>
      <w:r>
        <w:t xml:space="preserve"> technologies had emerged (at least in the US) by the 2000s or early 2010s. </w:t>
      </w:r>
    </w:p>
    <w:p w14:paraId="1BEF23ED" w14:textId="1E070AB6" w:rsidR="00BF0CE3" w:rsidRDefault="00BF0CE3" w:rsidP="006C161C">
      <w:pPr>
        <w:autoSpaceDE w:val="0"/>
        <w:autoSpaceDN w:val="0"/>
        <w:adjustRightInd w:val="0"/>
      </w:pPr>
      <w:r>
        <w:t xml:space="preserve">We pay particular attention to </w:t>
      </w:r>
      <w:r w:rsidR="00C268B6">
        <w:t>c</w:t>
      </w:r>
      <w:r>
        <w:t xml:space="preserve">loud </w:t>
      </w:r>
      <w:r w:rsidR="00C268B6">
        <w:t>c</w:t>
      </w:r>
      <w:r>
        <w:t xml:space="preserve">omputing, </w:t>
      </w:r>
      <w:r w:rsidR="00C268B6">
        <w:t>m</w:t>
      </w:r>
      <w:r>
        <w:t xml:space="preserve">achine </w:t>
      </w:r>
      <w:r w:rsidR="00C268B6">
        <w:t>l</w:t>
      </w:r>
      <w:r>
        <w:t xml:space="preserve">earning and </w:t>
      </w:r>
      <w:r w:rsidR="00C268B6">
        <w:t>a</w:t>
      </w:r>
      <w:r>
        <w:t xml:space="preserve">rtificial </w:t>
      </w:r>
      <w:r w:rsidR="00C268B6">
        <w:t>i</w:t>
      </w:r>
      <w:r>
        <w:t>ntelligence. It has been argued that these technologies have the most potential to become the next general</w:t>
      </w:r>
      <w:r w:rsidR="00D46C7C">
        <w:noBreakHyphen/>
      </w:r>
      <w:r>
        <w:t>purpose technologies (</w:t>
      </w:r>
      <w:r w:rsidRPr="002F7124">
        <w:t>Goldfarb et a</w:t>
      </w:r>
      <w:r>
        <w:t>l</w:t>
      </w:r>
      <w:r w:rsidR="0062320B">
        <w:t>.</w:t>
      </w:r>
      <w:r w:rsidRPr="002F7124">
        <w:t xml:space="preserve"> 202</w:t>
      </w:r>
      <w:r>
        <w:t xml:space="preserve">2). </w:t>
      </w:r>
    </w:p>
    <w:p w14:paraId="6F5C4592" w14:textId="1301F5D4" w:rsidR="00BF0CE3" w:rsidRDefault="006C161C" w:rsidP="00D13B54">
      <w:pPr>
        <w:pStyle w:val="Heading1"/>
        <w:spacing w:before="240"/>
      </w:pPr>
      <w:r>
        <w:t>T</w:t>
      </w:r>
      <w:r w:rsidR="00BF0CE3">
        <w:t xml:space="preserve">ext </w:t>
      </w:r>
      <w:r>
        <w:t xml:space="preserve">analysis of </w:t>
      </w:r>
      <w:r w:rsidR="00BF0CE3">
        <w:t>job ads</w:t>
      </w:r>
    </w:p>
    <w:p w14:paraId="41E5D1CC" w14:textId="08A82ED4" w:rsidR="00BF0CE3" w:rsidRDefault="00BF0CE3" w:rsidP="00581EA0">
      <w:pPr>
        <w:autoSpaceDE w:val="0"/>
        <w:autoSpaceDN w:val="0"/>
        <w:adjustRightInd w:val="0"/>
      </w:pPr>
      <w:r>
        <w:t>Lightcast</w:t>
      </w:r>
      <w:r>
        <w:rPr>
          <w:rStyle w:val="FootnoteReference"/>
        </w:rPr>
        <w:footnoteReference w:customMarkFollows="1" w:id="14"/>
        <w:t>1</w:t>
      </w:r>
      <w:r>
        <w:t xml:space="preserve"> scrapes online company job boards and makes that data available for analytical purposes. The data used here are individual online job ads collected by </w:t>
      </w:r>
      <w:proofErr w:type="spellStart"/>
      <w:r>
        <w:t>Lightcast</w:t>
      </w:r>
      <w:proofErr w:type="spellEnd"/>
      <w:r>
        <w:t xml:space="preserve"> for 2012 to 2020.</w:t>
      </w:r>
      <w:r>
        <w:rPr>
          <w:rStyle w:val="FootnoteReference"/>
        </w:rPr>
        <w:footnoteReference w:customMarkFollows="1" w:id="15"/>
        <w:t>2</w:t>
      </w:r>
      <w:r>
        <w:t xml:space="preserve"> This provides us with a sample of about 8.5 million Australian job ads over this period. </w:t>
      </w:r>
      <w:r w:rsidR="00375F3C">
        <w:t>The d</w:t>
      </w:r>
      <w:r>
        <w:t>ata contains the full text of the job ads, as well as some pre</w:t>
      </w:r>
      <w:r w:rsidR="002B75D0">
        <w:noBreakHyphen/>
      </w:r>
      <w:r>
        <w:t xml:space="preserve">defined characteristics of each job such as the industry, </w:t>
      </w:r>
      <w:proofErr w:type="gramStart"/>
      <w:r>
        <w:t>occupation</w:t>
      </w:r>
      <w:proofErr w:type="gramEnd"/>
      <w:r>
        <w:t xml:space="preserve"> and location.   </w:t>
      </w:r>
    </w:p>
    <w:p w14:paraId="5B86CE8F" w14:textId="2E4B581A" w:rsidR="002D40F0" w:rsidRDefault="00BF0CE3" w:rsidP="00581EA0">
      <w:pPr>
        <w:autoSpaceDE w:val="0"/>
        <w:autoSpaceDN w:val="0"/>
        <w:adjustRightInd w:val="0"/>
      </w:pPr>
      <w:r>
        <w:t xml:space="preserve">We take two approaches to examining the job ad data. First, we use text analysis techniques to search for keywords related to each technology within the job description, </w:t>
      </w:r>
      <w:proofErr w:type="gramStart"/>
      <w:r>
        <w:t>similar to</w:t>
      </w:r>
      <w:proofErr w:type="gramEnd"/>
      <w:r>
        <w:t xml:space="preserve"> </w:t>
      </w:r>
      <w:r w:rsidRPr="002F7124">
        <w:t>Bloom et al</w:t>
      </w:r>
      <w:r w:rsidR="0062320B">
        <w:t>.</w:t>
      </w:r>
      <w:r w:rsidRPr="002F7124">
        <w:t xml:space="preserve"> (2021)</w:t>
      </w:r>
      <w:r>
        <w:t xml:space="preserve">. For example, searches for the </w:t>
      </w:r>
      <w:r w:rsidR="00A169AD">
        <w:t>‘</w:t>
      </w:r>
      <w:r>
        <w:t>autonomous cars</w:t>
      </w:r>
      <w:r w:rsidR="00A169AD">
        <w:t>’</w:t>
      </w:r>
      <w:r>
        <w:t xml:space="preserve"> technology also includes searches for </w:t>
      </w:r>
      <w:r w:rsidR="00A169AD">
        <w:t>‘</w:t>
      </w:r>
      <w:r>
        <w:t>self</w:t>
      </w:r>
      <w:r w:rsidR="002B75D0">
        <w:noBreakHyphen/>
      </w:r>
      <w:r>
        <w:t>driving car</w:t>
      </w:r>
      <w:r w:rsidR="00A169AD">
        <w:t>’</w:t>
      </w:r>
      <w:r>
        <w:t xml:space="preserve">, </w:t>
      </w:r>
      <w:r w:rsidR="00A169AD">
        <w:t>‘</w:t>
      </w:r>
      <w:r>
        <w:t>robot car</w:t>
      </w:r>
      <w:r w:rsidR="00A169AD">
        <w:t>’</w:t>
      </w:r>
      <w:r>
        <w:t xml:space="preserve">, and </w:t>
      </w:r>
      <w:r w:rsidR="00A169AD">
        <w:t>‘</w:t>
      </w:r>
      <w:r>
        <w:t>driverless truck</w:t>
      </w:r>
      <w:r w:rsidR="00A169AD">
        <w:t>’</w:t>
      </w:r>
      <w:r>
        <w:t xml:space="preserve">. Second, we use the skills identified by </w:t>
      </w:r>
      <w:proofErr w:type="spellStart"/>
      <w:r>
        <w:t>Lightcast</w:t>
      </w:r>
      <w:proofErr w:type="spellEnd"/>
      <w:r>
        <w:t xml:space="preserve"> to compare the adoption of technologies in Australia and the US. </w:t>
      </w:r>
    </w:p>
    <w:p w14:paraId="2B69ED8E" w14:textId="77777777" w:rsidR="00BF0CE3" w:rsidRDefault="00BF0CE3" w:rsidP="00BF0CE3">
      <w:pPr>
        <w:pStyle w:val="Charttitle"/>
        <w:rPr>
          <w:noProof/>
        </w:rPr>
      </w:pPr>
      <w:r w:rsidRPr="00BF0CE3">
        <w:t>Figure 1: References to emerging technologies in Australian job ads</w:t>
      </w:r>
    </w:p>
    <w:p w14:paraId="77D947A9" w14:textId="780D25A4" w:rsidR="00BF0CE3" w:rsidRDefault="00BF0CE3" w:rsidP="005E055C">
      <w:pPr>
        <w:pStyle w:val="Chart"/>
      </w:pPr>
      <w:r>
        <w:drawing>
          <wp:inline distT="0" distB="0" distL="0" distR="0" wp14:anchorId="0842E7E7" wp14:editId="14F9A77A">
            <wp:extent cx="3964678" cy="2664000"/>
            <wp:effectExtent l="0" t="0" r="0" b="3175"/>
            <wp:docPr id="21" name="Picture 21" descr="This figure is a word cloud of emerging technologies in Australian job ads. Some of the most prominent technologies are 'social networking', 'cloud computing', 'machine learning/AI', and 'smart devices'. Lightcast data is used in this fig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This figure is a word cloud of emerging technologies in Australian job ads. Some of the most prominent technologies are 'social networking', 'cloud computing', 'machine learning/AI', and 'smart devices'. Lightcast data is used in this figure. "/>
                    <pic:cNvPicPr>
                      <a:picLocks noChangeAspect="1" noChangeArrowheads="1"/>
                    </pic:cNvPicPr>
                  </pic:nvPicPr>
                  <pic:blipFill rotWithShape="1">
                    <a:blip r:embed="rId51" cstate="print">
                      <a:extLst>
                        <a:ext uri="{28A0092B-C50C-407E-A947-70E740481C1C}">
                          <a14:useLocalDpi xmlns:a14="http://schemas.microsoft.com/office/drawing/2010/main" val="0"/>
                        </a:ext>
                      </a:extLst>
                    </a:blip>
                    <a:srcRect t="5293" b="4275"/>
                    <a:stretch/>
                  </pic:blipFill>
                  <pic:spPr bwMode="auto">
                    <a:xfrm>
                      <a:off x="0" y="0"/>
                      <a:ext cx="3964678" cy="2664000"/>
                    </a:xfrm>
                    <a:prstGeom prst="rect">
                      <a:avLst/>
                    </a:prstGeom>
                    <a:noFill/>
                    <a:ln>
                      <a:noFill/>
                    </a:ln>
                    <a:extLst>
                      <a:ext uri="{53640926-AAD7-44D8-BBD7-CCE9431645EC}">
                        <a14:shadowObscured xmlns:a14="http://schemas.microsoft.com/office/drawing/2010/main"/>
                      </a:ext>
                    </a:extLst>
                  </pic:spPr>
                </pic:pic>
              </a:graphicData>
            </a:graphic>
          </wp:inline>
        </w:drawing>
      </w:r>
    </w:p>
    <w:p w14:paraId="659F165A" w14:textId="77777777" w:rsidR="00BF0CE3" w:rsidRPr="006F6A1F" w:rsidRDefault="00BF0CE3" w:rsidP="00BF0CE3">
      <w:pPr>
        <w:pStyle w:val="Chartsource"/>
      </w:pPr>
      <w:r w:rsidRPr="00BF0CE3">
        <w:t>Notes</w:t>
      </w:r>
      <w:r w:rsidRPr="006F6A1F">
        <w:rPr>
          <w:i/>
          <w:iCs/>
        </w:rPr>
        <w:t>:</w:t>
      </w:r>
      <w:r w:rsidRPr="006F6A1F">
        <w:t xml:space="preserve"> Size of font refers to frequency of jobs ad references. </w:t>
      </w:r>
    </w:p>
    <w:p w14:paraId="3148B11C" w14:textId="62DC658E" w:rsidR="00790CEC" w:rsidRDefault="00BF0CE3" w:rsidP="00790CEC">
      <w:pPr>
        <w:pStyle w:val="Chartsource"/>
      </w:pPr>
      <w:r w:rsidRPr="00BF0CE3">
        <w:t>Source</w:t>
      </w:r>
      <w:r w:rsidRPr="006F6A1F">
        <w:rPr>
          <w:i/>
          <w:iCs/>
        </w:rPr>
        <w:t xml:space="preserve">: </w:t>
      </w:r>
      <w:r w:rsidRPr="006F6A1F">
        <w:t xml:space="preserve">Treasury analysis of </w:t>
      </w:r>
      <w:proofErr w:type="spellStart"/>
      <w:r w:rsidRPr="006F6A1F">
        <w:t>Lightcast</w:t>
      </w:r>
      <w:proofErr w:type="spellEnd"/>
      <w:r w:rsidRPr="006F6A1F">
        <w:t xml:space="preserve"> data for Australia (2012</w:t>
      </w:r>
      <w:r w:rsidR="002B75D0">
        <w:noBreakHyphen/>
      </w:r>
      <w:r w:rsidRPr="006F6A1F">
        <w:t>2020).</w:t>
      </w:r>
    </w:p>
    <w:p w14:paraId="3C30ECF3" w14:textId="77777777" w:rsidR="00790CEC" w:rsidRPr="006F6A1F" w:rsidRDefault="00790CEC" w:rsidP="00D13B54"/>
    <w:p w14:paraId="701D56DA" w14:textId="77777777" w:rsidR="00BF0CE3" w:rsidRDefault="00BF0CE3" w:rsidP="005E055C">
      <w:pPr>
        <w:pStyle w:val="Heading1"/>
      </w:pPr>
      <w:r>
        <w:lastRenderedPageBreak/>
        <w:t>E</w:t>
      </w:r>
      <w:r w:rsidRPr="00A1112A">
        <w:t xml:space="preserve">merging technologies </w:t>
      </w:r>
      <w:r>
        <w:t>are becoming more prevalent in Australia</w:t>
      </w:r>
    </w:p>
    <w:p w14:paraId="3099DBC3" w14:textId="62992FE1" w:rsidR="00BF0CE3" w:rsidRDefault="00BF0CE3" w:rsidP="00493506">
      <w:pPr>
        <w:autoSpaceDE w:val="0"/>
        <w:autoSpaceDN w:val="0"/>
        <w:adjustRightInd w:val="0"/>
      </w:pPr>
      <w:r>
        <w:t xml:space="preserve">Figure 1 maps </w:t>
      </w:r>
      <w:r w:rsidR="0067580B">
        <w:t>how frequently</w:t>
      </w:r>
      <w:r>
        <w:t xml:space="preserve"> each of the 29 emerging technologies </w:t>
      </w:r>
      <w:r w:rsidR="000F0DB3">
        <w:t xml:space="preserve">is </w:t>
      </w:r>
      <w:r>
        <w:t xml:space="preserve">mentioned in Australian job ads, with the size of each word indicating how </w:t>
      </w:r>
      <w:r w:rsidR="0067580B">
        <w:t xml:space="preserve">often </w:t>
      </w:r>
      <w:r>
        <w:t>they are referenced by employers. Overall,</w:t>
      </w:r>
      <w:r w:rsidRPr="004F3AE8">
        <w:t xml:space="preserve"> the top </w:t>
      </w:r>
      <w:r w:rsidR="00480483">
        <w:t>3</w:t>
      </w:r>
      <w:r w:rsidR="00480483" w:rsidRPr="004F3AE8">
        <w:t xml:space="preserve"> </w:t>
      </w:r>
      <w:r w:rsidRPr="004F3AE8">
        <w:t xml:space="preserve">referenced </w:t>
      </w:r>
      <w:r>
        <w:t xml:space="preserve">emerging </w:t>
      </w:r>
      <w:r w:rsidRPr="004F3AE8">
        <w:t>technologies by employers in Austra</w:t>
      </w:r>
      <w:r w:rsidRPr="000D3035">
        <w:t xml:space="preserve">lia were </w:t>
      </w:r>
      <w:r w:rsidR="00480483">
        <w:t>s</w:t>
      </w:r>
      <w:r w:rsidRPr="009A6144">
        <w:t xml:space="preserve">ocial </w:t>
      </w:r>
      <w:r w:rsidR="00480483">
        <w:t>n</w:t>
      </w:r>
      <w:r w:rsidRPr="009A6144">
        <w:t xml:space="preserve">etworking, </w:t>
      </w:r>
      <w:r w:rsidR="00480483">
        <w:t>c</w:t>
      </w:r>
      <w:r w:rsidRPr="009A6144">
        <w:t xml:space="preserve">loud </w:t>
      </w:r>
      <w:r w:rsidR="00480483">
        <w:t>c</w:t>
      </w:r>
      <w:r w:rsidRPr="009A6144">
        <w:t xml:space="preserve">omputing, and </w:t>
      </w:r>
      <w:r w:rsidR="00480483">
        <w:t>s</w:t>
      </w:r>
      <w:r w:rsidRPr="009A6144">
        <w:t xml:space="preserve">mart </w:t>
      </w:r>
      <w:r w:rsidR="00480483">
        <w:t>d</w:t>
      </w:r>
      <w:r w:rsidRPr="009A6144">
        <w:t xml:space="preserve">evices. Other top demanded skills </w:t>
      </w:r>
      <w:r w:rsidR="00480483">
        <w:t>are</w:t>
      </w:r>
      <w:r w:rsidRPr="009A6144">
        <w:t xml:space="preserve"> related to GPS, </w:t>
      </w:r>
      <w:r w:rsidR="00480483">
        <w:t>o</w:t>
      </w:r>
      <w:r w:rsidRPr="009A6144">
        <w:t xml:space="preserve">nline </w:t>
      </w:r>
      <w:r w:rsidR="00480483">
        <w:t>s</w:t>
      </w:r>
      <w:r w:rsidRPr="009A6144">
        <w:t xml:space="preserve">treaming, and </w:t>
      </w:r>
      <w:r w:rsidR="00480483">
        <w:t>m</w:t>
      </w:r>
      <w:r w:rsidRPr="009A6144">
        <w:t xml:space="preserve">achine </w:t>
      </w:r>
      <w:r w:rsidR="00480483">
        <w:t>l</w:t>
      </w:r>
      <w:r w:rsidRPr="009A6144">
        <w:t>earning/</w:t>
      </w:r>
      <w:r w:rsidR="00480483">
        <w:t>a</w:t>
      </w:r>
      <w:r w:rsidRPr="009A6144">
        <w:t xml:space="preserve">rtificial </w:t>
      </w:r>
      <w:r w:rsidR="00480483">
        <w:t>i</w:t>
      </w:r>
      <w:r w:rsidRPr="009A6144">
        <w:t>ntelligence.</w:t>
      </w:r>
      <w:r>
        <w:t xml:space="preserve"> Table 1 in the Appendix enumerates all 29 technologies. </w:t>
      </w:r>
    </w:p>
    <w:p w14:paraId="19909757" w14:textId="58781C83" w:rsidR="00BF0CE3" w:rsidRPr="00CD6ECD" w:rsidRDefault="00BF0CE3" w:rsidP="00493506">
      <w:pPr>
        <w:pStyle w:val="Bullet"/>
        <w:numPr>
          <w:ilvl w:val="0"/>
          <w:numId w:val="0"/>
        </w:numPr>
        <w:spacing w:after="160" w:line="259" w:lineRule="auto"/>
      </w:pPr>
      <w:r>
        <w:t xml:space="preserve">Our text analysis suggests that references to the top 29 emerging global technologies in job ads have become more prevalent over time, indicating demand for these technologies has become more prominent </w:t>
      </w:r>
      <w:r w:rsidRPr="000D3035">
        <w:t>in the</w:t>
      </w:r>
      <w:r>
        <w:t xml:space="preserve"> Australian labour market. </w:t>
      </w:r>
      <w:r w:rsidRPr="009A579C">
        <w:t xml:space="preserve">The share of job ads </w:t>
      </w:r>
      <w:r w:rsidR="00480483">
        <w:t>referencing</w:t>
      </w:r>
      <w:r>
        <w:t xml:space="preserve"> any of the </w:t>
      </w:r>
      <w:r w:rsidRPr="009A579C">
        <w:t>29 emerging technologies increased from 4 per cent in 2012 to 7 per cent in 2020</w:t>
      </w:r>
      <w:r>
        <w:t xml:space="preserve"> (Figure 2)</w:t>
      </w:r>
      <w:r w:rsidRPr="009A579C">
        <w:t>.</w:t>
      </w:r>
      <w:r>
        <w:t xml:space="preserve"> </w:t>
      </w:r>
    </w:p>
    <w:p w14:paraId="6790517A" w14:textId="77777777" w:rsidR="00BF0CE3" w:rsidRPr="009A579C" w:rsidRDefault="00BF0CE3" w:rsidP="00A516AC">
      <w:pPr>
        <w:pStyle w:val="Charttitle"/>
      </w:pPr>
      <w:r w:rsidRPr="009A579C">
        <w:t>Figure 2: Share of job ads that reference emerging technolog</w:t>
      </w:r>
      <w:r>
        <w:t xml:space="preserve">y, </w:t>
      </w:r>
      <w:r w:rsidRPr="009A579C">
        <w:t>Australia</w:t>
      </w:r>
    </w:p>
    <w:p w14:paraId="62749297" w14:textId="0989DDB3" w:rsidR="00BF0CE3" w:rsidRDefault="009A3333" w:rsidP="005E055C">
      <w:pPr>
        <w:pStyle w:val="Chart"/>
      </w:pPr>
      <w:r>
        <w:drawing>
          <wp:inline distT="0" distB="0" distL="0" distR="0" wp14:anchorId="0C7CF40A" wp14:editId="209F8C08">
            <wp:extent cx="4072255" cy="2883535"/>
            <wp:effectExtent l="0" t="0" r="4445" b="0"/>
            <wp:docPr id="34" name="Picture 34" descr="This figure is a line chart that shows the share of job ads referencing emerging technologies from 2012 to 2020. Emerging technologies are listed in Table 1. There is an upwards trend in the chart, from roughly 4% to 7% across the period. Lightcast data is used in this ch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This figure is a line chart that shows the share of job ads referencing emerging technologies from 2012 to 2020. Emerging technologies are listed in Table 1. There is an upwards trend in the chart, from roughly 4% to 7% across the period. Lightcast data is used in this chart. "/>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072255" cy="2883535"/>
                    </a:xfrm>
                    <a:prstGeom prst="rect">
                      <a:avLst/>
                    </a:prstGeom>
                    <a:noFill/>
                  </pic:spPr>
                </pic:pic>
              </a:graphicData>
            </a:graphic>
          </wp:inline>
        </w:drawing>
      </w:r>
    </w:p>
    <w:p w14:paraId="2D288B11" w14:textId="1CF2EC8E" w:rsidR="00BF0CE3" w:rsidRPr="00EF1782" w:rsidRDefault="00BF0CE3" w:rsidP="00493506">
      <w:pPr>
        <w:pStyle w:val="Chartsource"/>
      </w:pPr>
      <w:r w:rsidRPr="00BF0CE3">
        <w:t>Notes</w:t>
      </w:r>
      <w:r w:rsidRPr="00EF1782">
        <w:rPr>
          <w:i/>
          <w:iCs/>
        </w:rPr>
        <w:t>:</w:t>
      </w:r>
      <w:r w:rsidRPr="00EF1782">
        <w:t xml:space="preserve"> One job ad may correspond to </w:t>
      </w:r>
      <w:r w:rsidR="001147D0">
        <w:t xml:space="preserve">multiple </w:t>
      </w:r>
      <w:r w:rsidR="00B2174E">
        <w:t>vacancies</w:t>
      </w:r>
      <w:r w:rsidRPr="00EF1782">
        <w:t xml:space="preserve">. Emerging technology job ads refer to any instance where a technology is mentioned in the job description. </w:t>
      </w:r>
      <w:r w:rsidR="00375F3C">
        <w:t>A l</w:t>
      </w:r>
      <w:r w:rsidRPr="00EF1782">
        <w:t>ist of</w:t>
      </w:r>
      <w:r w:rsidR="00375F3C">
        <w:t xml:space="preserve"> the</w:t>
      </w:r>
      <w:r w:rsidRPr="00EF1782">
        <w:t xml:space="preserve"> 29 emerging technologies </w:t>
      </w:r>
      <w:r w:rsidR="00E15DFD">
        <w:t>is</w:t>
      </w:r>
      <w:r w:rsidRPr="00EF1782">
        <w:t xml:space="preserve"> in Table 1</w:t>
      </w:r>
      <w:r w:rsidR="00375F3C">
        <w:t xml:space="preserve"> in the Appendix</w:t>
      </w:r>
      <w:r w:rsidRPr="00EF1782">
        <w:t xml:space="preserve">. </w:t>
      </w:r>
    </w:p>
    <w:p w14:paraId="076BC759" w14:textId="671F435D" w:rsidR="00BF0CE3" w:rsidRPr="00EF1782" w:rsidRDefault="00BF0CE3" w:rsidP="00493506">
      <w:pPr>
        <w:pStyle w:val="Chartsource"/>
      </w:pPr>
      <w:r w:rsidRPr="00BF0CE3">
        <w:t>Source</w:t>
      </w:r>
      <w:r w:rsidRPr="00EF1782">
        <w:rPr>
          <w:i/>
          <w:iCs/>
        </w:rPr>
        <w:t>:</w:t>
      </w:r>
      <w:r w:rsidRPr="00EF1782">
        <w:t xml:space="preserve"> Treasury analysis of </w:t>
      </w:r>
      <w:proofErr w:type="spellStart"/>
      <w:r w:rsidRPr="00EF1782">
        <w:t>Lightcast</w:t>
      </w:r>
      <w:proofErr w:type="spellEnd"/>
      <w:r w:rsidRPr="00EF1782">
        <w:t xml:space="preserve"> data for Australia (2012</w:t>
      </w:r>
      <w:r w:rsidR="002B75D0">
        <w:noBreakHyphen/>
      </w:r>
      <w:r w:rsidRPr="00EF1782">
        <w:t>2020).</w:t>
      </w:r>
    </w:p>
    <w:p w14:paraId="05E0F8B5" w14:textId="779AF2CA" w:rsidR="005E55A4" w:rsidRDefault="005E55A4" w:rsidP="005E055C">
      <w:r>
        <w:t xml:space="preserve">The share of total job ads that reference cloud computing, machine learning or artificial intelligence </w:t>
      </w:r>
      <w:r w:rsidR="00A86CEB">
        <w:sym w:font="Symbol" w:char="F02D"/>
      </w:r>
      <w:r>
        <w:t xml:space="preserve"> technologies most likely to become general</w:t>
      </w:r>
      <w:r w:rsidR="00BE11FF">
        <w:t>-</w:t>
      </w:r>
      <w:r>
        <w:t xml:space="preserve">purpose </w:t>
      </w:r>
      <w:r w:rsidR="00A86CEB">
        <w:sym w:font="Symbol" w:char="F02D"/>
      </w:r>
      <w:r>
        <w:t xml:space="preserve"> have increased over the past decade in Australia and the US (Figure 3). Adoption of these technologies particularly strengthened from around 2017. Despite strong growth in the past decade, the share of job ads referencing these</w:t>
      </w:r>
      <w:r w:rsidR="00A86CEB">
        <w:t xml:space="preserve"> </w:t>
      </w:r>
      <w:r>
        <w:t xml:space="preserve">technologies remains lower in Australia than in the US. </w:t>
      </w:r>
    </w:p>
    <w:p w14:paraId="5582D36B" w14:textId="350F704C" w:rsidR="00BF0CE3" w:rsidRDefault="005E55A4" w:rsidP="00D13B54">
      <w:r>
        <w:t>In 2020, the share of job ads referencing machine learning and artificial intelligence was broadly flat in Australia</w:t>
      </w:r>
      <w:r w:rsidR="00A86CEB">
        <w:t>. T</w:t>
      </w:r>
      <w:r>
        <w:t xml:space="preserve">here was a slight increase in the share of job ads referencing cloud computing, consistent with </w:t>
      </w:r>
      <w:r w:rsidR="00F1322A" w:rsidRPr="00F1322A">
        <w:t>Australian Bureau of Statistics</w:t>
      </w:r>
      <w:r>
        <w:t xml:space="preserve"> analysis reporting greater use of these services (</w:t>
      </w:r>
      <w:r w:rsidR="00F1322A" w:rsidRPr="00F1322A">
        <w:t>Australian Bureau of Statistics</w:t>
      </w:r>
      <w:r w:rsidR="00F1322A">
        <w:t xml:space="preserve"> </w:t>
      </w:r>
      <w:r w:rsidRPr="002F7124">
        <w:t>20</w:t>
      </w:r>
      <w:r w:rsidR="0039577D">
        <w:t>21</w:t>
      </w:r>
      <w:r>
        <w:t xml:space="preserve">). However, more data are required to understand how the pandemic impacted technological adoption. </w:t>
      </w:r>
    </w:p>
    <w:p w14:paraId="574B488F" w14:textId="0B7457C8" w:rsidR="00BF0CE3" w:rsidRDefault="00BF0CE3" w:rsidP="00BF0CE3">
      <w:pPr>
        <w:pStyle w:val="Charttitle"/>
      </w:pPr>
      <w:r w:rsidRPr="00A72E0B">
        <w:lastRenderedPageBreak/>
        <w:t xml:space="preserve">Figure </w:t>
      </w:r>
      <w:r>
        <w:t>3</w:t>
      </w:r>
      <w:r w:rsidRPr="00A72E0B">
        <w:t>: Share of job ads requiring technological skills</w:t>
      </w:r>
    </w:p>
    <w:tbl>
      <w:tblPr>
        <w:tblStyle w:val="TableGrid"/>
        <w:tblW w:w="11058"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686"/>
        <w:gridCol w:w="3686"/>
      </w:tblGrid>
      <w:tr w:rsidR="00230487" w14:paraId="71599E95" w14:textId="77777777" w:rsidTr="0097076D">
        <w:tc>
          <w:tcPr>
            <w:tcW w:w="3686" w:type="dxa"/>
          </w:tcPr>
          <w:p w14:paraId="7D8308F6" w14:textId="4C5ADBD0" w:rsidR="00DD1373" w:rsidRPr="005F36D1" w:rsidRDefault="005F36D1" w:rsidP="005E055C">
            <w:pPr>
              <w:pStyle w:val="Chart"/>
            </w:pPr>
            <w:r w:rsidRPr="005F36D1">
              <w:drawing>
                <wp:inline distT="0" distB="0" distL="0" distR="0" wp14:anchorId="5A684C7D" wp14:editId="0C5C8736">
                  <wp:extent cx="2196000" cy="2196000"/>
                  <wp:effectExtent l="0" t="0" r="0" b="0"/>
                  <wp:docPr id="205" name="Picture 205" descr="This figure charts the share of jobs ads requiring cloud computing skills for both Australia and the United States. Both countries have an upward trend across the 2012-2020 period, though Australia is below the United Stat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Picture 205" descr="This figure charts the share of jobs ads requiring cloud computing skills for both Australia and the United States. Both countries have an upward trend across the 2012-2020 period, though Australia is below the United States. "/>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196000" cy="2196000"/>
                          </a:xfrm>
                          <a:prstGeom prst="rect">
                            <a:avLst/>
                          </a:prstGeom>
                          <a:noFill/>
                          <a:ln>
                            <a:noFill/>
                          </a:ln>
                        </pic:spPr>
                      </pic:pic>
                    </a:graphicData>
                  </a:graphic>
                </wp:inline>
              </w:drawing>
            </w:r>
          </w:p>
        </w:tc>
        <w:tc>
          <w:tcPr>
            <w:tcW w:w="3686" w:type="dxa"/>
          </w:tcPr>
          <w:p w14:paraId="26FBB23D" w14:textId="4AC08D9E" w:rsidR="00DD1373" w:rsidRDefault="005F36D1" w:rsidP="005E055C">
            <w:pPr>
              <w:pStyle w:val="Chart"/>
            </w:pPr>
            <w:r w:rsidRPr="005F36D1">
              <w:drawing>
                <wp:inline distT="0" distB="0" distL="0" distR="0" wp14:anchorId="4104F157" wp14:editId="4358BBA6">
                  <wp:extent cx="2196000" cy="2196000"/>
                  <wp:effectExtent l="0" t="0" r="0" b="0"/>
                  <wp:docPr id="202" name="Picture 202" descr="This figure charts the share of jobs ads requiring machine learning skills for both Australia and the United States. Both countries have an upward trend across the 2012-2020 period, though Australia is below the United States. There is a steeper increase in the share for Australia in the latter 3-4 yea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Picture 202" descr="This figure charts the share of jobs ads requiring machine learning skills for both Australia and the United States. Both countries have an upward trend across the 2012-2020 period, though Australia is below the United States. There is a steeper increase in the share for Australia in the latter 3-4 years. "/>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196000" cy="2196000"/>
                          </a:xfrm>
                          <a:prstGeom prst="rect">
                            <a:avLst/>
                          </a:prstGeom>
                          <a:noFill/>
                          <a:ln>
                            <a:noFill/>
                          </a:ln>
                        </pic:spPr>
                      </pic:pic>
                    </a:graphicData>
                  </a:graphic>
                </wp:inline>
              </w:drawing>
            </w:r>
          </w:p>
        </w:tc>
        <w:tc>
          <w:tcPr>
            <w:tcW w:w="3686" w:type="dxa"/>
          </w:tcPr>
          <w:p w14:paraId="20F1A527" w14:textId="63F85964" w:rsidR="00DD1373" w:rsidRDefault="005F36D1" w:rsidP="005E055C">
            <w:pPr>
              <w:pStyle w:val="Chart"/>
            </w:pPr>
            <w:r w:rsidRPr="005F36D1">
              <w:drawing>
                <wp:inline distT="0" distB="0" distL="0" distR="0" wp14:anchorId="01BE1978" wp14:editId="3ED4F4C2">
                  <wp:extent cx="2196000" cy="2196000"/>
                  <wp:effectExtent l="0" t="0" r="0" b="0"/>
                  <wp:docPr id="204" name="Picture 204" descr="This figure charts the share of jobs ads requiring artificial intelligence skills for both Australia and the United States. Both countries have an upward trend across the 2012-2020 period, though Australia is below the United States. There is a steeper increase in the share for Australia in the latter 3-4 yea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descr="This figure charts the share of jobs ads requiring artificial intelligence skills for both Australia and the United States. Both countries have an upward trend across the 2012-2020 period, though Australia is below the United States. There is a steeper increase in the share for Australia in the latter 3-4 years. "/>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196000" cy="2196000"/>
                          </a:xfrm>
                          <a:prstGeom prst="rect">
                            <a:avLst/>
                          </a:prstGeom>
                          <a:noFill/>
                          <a:ln>
                            <a:noFill/>
                          </a:ln>
                        </pic:spPr>
                      </pic:pic>
                    </a:graphicData>
                  </a:graphic>
                </wp:inline>
              </w:drawing>
            </w:r>
          </w:p>
        </w:tc>
      </w:tr>
    </w:tbl>
    <w:p w14:paraId="6377E989" w14:textId="74193535" w:rsidR="00BF0CE3" w:rsidRPr="00BF0CE3" w:rsidRDefault="00BF0CE3" w:rsidP="00564B82">
      <w:pPr>
        <w:pStyle w:val="Chartsource"/>
      </w:pPr>
      <w:r w:rsidRPr="00BF0CE3">
        <w:t>Notes: 12</w:t>
      </w:r>
      <w:r w:rsidR="002B75D0">
        <w:noBreakHyphen/>
      </w:r>
      <w:r w:rsidRPr="00BF0CE3">
        <w:t xml:space="preserve">month rolling average of monthly share of job ads that require </w:t>
      </w:r>
      <w:r w:rsidR="00375F3C">
        <w:t xml:space="preserve">each </w:t>
      </w:r>
      <w:r w:rsidRPr="00BF0CE3">
        <w:t xml:space="preserve">technology skill. These charts use </w:t>
      </w:r>
      <w:proofErr w:type="spellStart"/>
      <w:r w:rsidRPr="00BF0CE3">
        <w:t>Lightcast’s</w:t>
      </w:r>
      <w:proofErr w:type="spellEnd"/>
      <w:r w:rsidRPr="00BF0CE3">
        <w:t xml:space="preserve"> predefined skill categories, rather than the text analysis approached used in Figure 2. Cloud Computing also includes Cloud Storage and Cloud Solutions.</w:t>
      </w:r>
    </w:p>
    <w:p w14:paraId="0A471C31" w14:textId="31180810" w:rsidR="00BF0CE3" w:rsidRPr="00BF0CE3" w:rsidRDefault="00BF0CE3" w:rsidP="00493506">
      <w:pPr>
        <w:pStyle w:val="Chartsource"/>
      </w:pPr>
      <w:r w:rsidRPr="00BF0CE3">
        <w:t xml:space="preserve">Source: Treasury analysis of </w:t>
      </w:r>
      <w:proofErr w:type="spellStart"/>
      <w:r w:rsidRPr="00BF0CE3">
        <w:t>Lightcast</w:t>
      </w:r>
      <w:proofErr w:type="spellEnd"/>
      <w:r w:rsidRPr="00BF0CE3">
        <w:t xml:space="preserve"> data for Australia and the United States (2012</w:t>
      </w:r>
      <w:r w:rsidR="002B75D0">
        <w:noBreakHyphen/>
      </w:r>
      <w:r w:rsidRPr="00BF0CE3">
        <w:t>2020).</w:t>
      </w:r>
    </w:p>
    <w:p w14:paraId="16C0826F" w14:textId="43EA2C1D" w:rsidR="00BF0CE3" w:rsidRDefault="00BF0CE3" w:rsidP="005E055C">
      <w:pPr>
        <w:pStyle w:val="Heading1"/>
      </w:pPr>
      <w:r>
        <w:t>Diffusion across industries for general</w:t>
      </w:r>
      <w:r w:rsidR="00D46C7C">
        <w:noBreakHyphen/>
      </w:r>
      <w:r>
        <w:t>purpose technologies has increased</w:t>
      </w:r>
    </w:p>
    <w:p w14:paraId="7258A095" w14:textId="3491B9DA" w:rsidR="00BF0CE3" w:rsidRDefault="00BF0CE3" w:rsidP="00493506">
      <w:pPr>
        <w:pStyle w:val="Bullet"/>
        <w:numPr>
          <w:ilvl w:val="0"/>
          <w:numId w:val="0"/>
        </w:numPr>
        <w:spacing w:after="160" w:line="259" w:lineRule="auto"/>
      </w:pPr>
      <w:r>
        <w:t>Initially, disruptive general</w:t>
      </w:r>
      <w:r w:rsidR="008F23A6">
        <w:t>-</w:t>
      </w:r>
      <w:r>
        <w:t xml:space="preserve">purpose technologies tend to be produced and used by a single industry. </w:t>
      </w:r>
      <w:r w:rsidR="00A86CEB">
        <w:t>T</w:t>
      </w:r>
      <w:r>
        <w:t>hey diffuse to other industries</w:t>
      </w:r>
      <w:r w:rsidR="00A86CEB" w:rsidRPr="00A86CEB">
        <w:t xml:space="preserve"> </w:t>
      </w:r>
      <w:r w:rsidR="00A86CEB">
        <w:t>over time</w:t>
      </w:r>
      <w:r>
        <w:t>, helping them modernise and improve their production processes. Stronger diffusion of general</w:t>
      </w:r>
      <w:r w:rsidR="008F23A6">
        <w:t>-</w:t>
      </w:r>
      <w:r>
        <w:t xml:space="preserve">purpose technologies across multiple industries will help support improved productivity growth over time. </w:t>
      </w:r>
    </w:p>
    <w:p w14:paraId="37B2FF44" w14:textId="10676CF8" w:rsidR="00A607CA" w:rsidRDefault="00BF0CE3" w:rsidP="00493506">
      <w:pPr>
        <w:pStyle w:val="Bullet"/>
        <w:numPr>
          <w:ilvl w:val="0"/>
          <w:numId w:val="0"/>
        </w:numPr>
        <w:spacing w:after="160" w:line="259" w:lineRule="auto"/>
      </w:pPr>
      <w:r>
        <w:rPr>
          <w:noProof/>
        </w:rPr>
        <w:t xml:space="preserve">We measure </w:t>
      </w:r>
      <w:r>
        <w:t>cross</w:t>
      </w:r>
      <w:r w:rsidR="002B75D0">
        <w:noBreakHyphen/>
      </w:r>
      <w:r>
        <w:t>industry diffusion by calculating the Coefficient of Variation (</w:t>
      </w:r>
      <w:proofErr w:type="spellStart"/>
      <w:r>
        <w:t>CoV</w:t>
      </w:r>
      <w:proofErr w:type="spellEnd"/>
      <w:r>
        <w:t>). This metric captures the take</w:t>
      </w:r>
      <w:r w:rsidR="002B75D0">
        <w:noBreakHyphen/>
      </w:r>
      <w:r>
        <w:t xml:space="preserve">up of these technologies across industries, with a lower </w:t>
      </w:r>
      <w:proofErr w:type="spellStart"/>
      <w:r>
        <w:t>CoV</w:t>
      </w:r>
      <w:proofErr w:type="spellEnd"/>
      <w:r>
        <w:t xml:space="preserve"> indicating a more evenly distributed take</w:t>
      </w:r>
      <w:r w:rsidR="002B75D0">
        <w:noBreakHyphen/>
      </w:r>
      <w:r>
        <w:t xml:space="preserve">up across industries. The </w:t>
      </w:r>
      <w:proofErr w:type="spellStart"/>
      <w:r>
        <w:t>CoV</w:t>
      </w:r>
      <w:proofErr w:type="spellEnd"/>
      <w:r>
        <w:t xml:space="preserve"> is measured as the ratio of the standard deviation and mean of the share of job ads referring to the technology, calculated across all industries. </w:t>
      </w:r>
    </w:p>
    <w:p w14:paraId="13ABFCEC" w14:textId="23051F0B" w:rsidR="00BF0CE3" w:rsidRDefault="00BF0CE3" w:rsidP="00B32F3B">
      <w:pPr>
        <w:pStyle w:val="Bullet"/>
        <w:numPr>
          <w:ilvl w:val="0"/>
          <w:numId w:val="0"/>
        </w:numPr>
        <w:spacing w:after="160" w:line="259" w:lineRule="auto"/>
      </w:pPr>
      <w:r w:rsidRPr="00AF0E74">
        <w:t xml:space="preserve">Cloud </w:t>
      </w:r>
      <w:r w:rsidR="00676AF2">
        <w:t>c</w:t>
      </w:r>
      <w:r w:rsidRPr="00AF0E74">
        <w:t>omputing</w:t>
      </w:r>
      <w:r w:rsidR="00375F3C">
        <w:t xml:space="preserve"> </w:t>
      </w:r>
      <w:r>
        <w:t xml:space="preserve">and </w:t>
      </w:r>
      <w:r w:rsidR="00676AF2">
        <w:t>m</w:t>
      </w:r>
      <w:r w:rsidRPr="00AF0E74">
        <w:t xml:space="preserve">achine </w:t>
      </w:r>
      <w:r w:rsidR="00676AF2">
        <w:t>l</w:t>
      </w:r>
      <w:r w:rsidRPr="00AF0E74">
        <w:t>earning/</w:t>
      </w:r>
      <w:r w:rsidR="00676AF2">
        <w:t>a</w:t>
      </w:r>
      <w:r>
        <w:t xml:space="preserve">rtificial </w:t>
      </w:r>
      <w:r w:rsidR="00676AF2">
        <w:t>i</w:t>
      </w:r>
      <w:r>
        <w:t>ntelligence have become more evenly dispersed across industries over the sam</w:t>
      </w:r>
      <w:r w:rsidRPr="007546FF">
        <w:t>ple</w:t>
      </w:r>
      <w:r>
        <w:t xml:space="preserve">, </w:t>
      </w:r>
      <w:r w:rsidRPr="00241861">
        <w:t xml:space="preserve">suggesting </w:t>
      </w:r>
      <w:r>
        <w:t>firms across a range of industries have increased their adoption of these technologies in recent years (Figure 4).</w:t>
      </w:r>
      <w:r w:rsidRPr="00CD6ECD">
        <w:rPr>
          <w:b/>
          <w:bCs/>
          <w:i/>
          <w:iCs/>
          <w:noProof/>
        </w:rPr>
        <w:t xml:space="preserve"> </w:t>
      </w:r>
    </w:p>
    <w:p w14:paraId="506CD0EF" w14:textId="78E3EDAB" w:rsidR="00903394" w:rsidRDefault="00BF0CE3" w:rsidP="00A65D2F">
      <w:pPr>
        <w:pStyle w:val="Charttitle"/>
      </w:pPr>
      <w:r w:rsidRPr="00DF6431">
        <w:lastRenderedPageBreak/>
        <w:t xml:space="preserve">Figure </w:t>
      </w:r>
      <w:r>
        <w:t>4</w:t>
      </w:r>
      <w:r w:rsidRPr="00DF6431">
        <w:t>: Diffusion of technologies across industries</w:t>
      </w:r>
    </w:p>
    <w:tbl>
      <w:tblPr>
        <w:tblStyle w:val="TableGrid"/>
        <w:tblW w:w="96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874"/>
        <w:gridCol w:w="4733"/>
      </w:tblGrid>
      <w:tr w:rsidR="00BA1E03" w14:paraId="2838FDDC" w14:textId="77777777" w:rsidTr="00A65D2F">
        <w:tc>
          <w:tcPr>
            <w:tcW w:w="4874" w:type="dxa"/>
            <w:vAlign w:val="center"/>
          </w:tcPr>
          <w:p w14:paraId="650FDC05" w14:textId="571B2F95" w:rsidR="00903394" w:rsidRDefault="00903394" w:rsidP="00A65D2F">
            <w:pPr>
              <w:pStyle w:val="Chartsource"/>
              <w:jc w:val="center"/>
            </w:pPr>
            <w:r w:rsidRPr="00A12799">
              <w:rPr>
                <w:noProof/>
              </w:rPr>
              <w:drawing>
                <wp:inline distT="0" distB="0" distL="0" distR="0" wp14:anchorId="48FD46F6" wp14:editId="145190E7">
                  <wp:extent cx="2876550" cy="2886075"/>
                  <wp:effectExtent l="0" t="0" r="0" b="0"/>
                  <wp:docPr id="209" name="Picture 209" descr="This figure shows two charts side-by-side with the coefficient of variation for 'cloud computing' and 'machine learning/artificial intelligence', respectively, in Australia. The charts show that these technologies have become more diffuse across industries, especially since about 2017 as the lines are decreasing over time.  Charts use Lightcast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Picture 209" descr="This figure shows two charts side-by-side with the coefficient of variation for 'cloud computing' and 'machine learning/artificial intelligence', respectively, in Australia. The charts show that these technologies have become more diffuse across industries, especially since about 2017 as the lines are decreasing over time.  Charts use Lightcast data."/>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876550" cy="2886075"/>
                          </a:xfrm>
                          <a:prstGeom prst="rect">
                            <a:avLst/>
                          </a:prstGeom>
                          <a:noFill/>
                          <a:ln>
                            <a:noFill/>
                          </a:ln>
                        </pic:spPr>
                      </pic:pic>
                    </a:graphicData>
                  </a:graphic>
                </wp:inline>
              </w:drawing>
            </w:r>
          </w:p>
        </w:tc>
        <w:tc>
          <w:tcPr>
            <w:tcW w:w="4733" w:type="dxa"/>
            <w:vAlign w:val="center"/>
          </w:tcPr>
          <w:p w14:paraId="2C788FFF" w14:textId="6E922CCA" w:rsidR="00903394" w:rsidRDefault="00903394" w:rsidP="00A65D2F">
            <w:pPr>
              <w:pStyle w:val="Chartsource"/>
              <w:jc w:val="center"/>
            </w:pPr>
            <w:r w:rsidRPr="00A12799">
              <w:rPr>
                <w:noProof/>
              </w:rPr>
              <w:drawing>
                <wp:inline distT="0" distB="0" distL="0" distR="0" wp14:anchorId="78CD3A8A" wp14:editId="5D5A7F7B">
                  <wp:extent cx="2876550" cy="2886075"/>
                  <wp:effectExtent l="0" t="0" r="0" b="0"/>
                  <wp:docPr id="208" name="Picture 208" descr="This figure shows two charts side-by-side with the coefficient of variation for 'cloud computing' and 'machine learning/artificial intelligence', respectively, in Australia. The charts show that these technologies have become more diffuse across industries, especially since about 2017 as the lines are decreasing over time.  Charts use Lightcast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208" descr="This figure shows two charts side-by-side with the coefficient of variation for 'cloud computing' and 'machine learning/artificial intelligence', respectively, in Australia. The charts show that these technologies have become more diffuse across industries, especially since about 2017 as the lines are decreasing over time.  Charts use Lightcast data."/>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876550" cy="2886075"/>
                          </a:xfrm>
                          <a:prstGeom prst="rect">
                            <a:avLst/>
                          </a:prstGeom>
                          <a:noFill/>
                          <a:ln>
                            <a:noFill/>
                          </a:ln>
                        </pic:spPr>
                      </pic:pic>
                    </a:graphicData>
                  </a:graphic>
                </wp:inline>
              </w:drawing>
            </w:r>
          </w:p>
        </w:tc>
      </w:tr>
    </w:tbl>
    <w:p w14:paraId="3E385775" w14:textId="1D5A5C68" w:rsidR="00903394" w:rsidRPr="00BF0CE3" w:rsidRDefault="00903394" w:rsidP="00903394">
      <w:pPr>
        <w:pStyle w:val="Chartsource"/>
      </w:pPr>
      <w:r w:rsidRPr="00BF0CE3">
        <w:t xml:space="preserve">Notes: Series charts average yearly Coefficient of Variation </w:t>
      </w:r>
      <w:r>
        <w:t>(</w:t>
      </w:r>
      <w:proofErr w:type="spellStart"/>
      <w:r>
        <w:t>CoV</w:t>
      </w:r>
      <w:proofErr w:type="spellEnd"/>
      <w:r>
        <w:t xml:space="preserve">) </w:t>
      </w:r>
      <w:r w:rsidRPr="00BF0CE3">
        <w:t>across 1</w:t>
      </w:r>
      <w:r w:rsidR="002B75D0">
        <w:noBreakHyphen/>
      </w:r>
      <w:r w:rsidRPr="00BF0CE3">
        <w:t xml:space="preserve">digit divisions. </w:t>
      </w:r>
      <w:r>
        <w:t xml:space="preserve">The </w:t>
      </w:r>
      <w:proofErr w:type="spellStart"/>
      <w:r>
        <w:t>CoV</w:t>
      </w:r>
      <w:proofErr w:type="spellEnd"/>
      <w:r w:rsidRPr="00BF0CE3">
        <w:t xml:space="preserve"> takes the share of job ads that mention each technology and calculates the ratio of the standard deviation to the mean across all divisions.</w:t>
      </w:r>
      <w:r>
        <w:t xml:space="preserve"> In a hypothetical economy with 10 industries where every industry had the same share of job ads with a technology, the </w:t>
      </w:r>
      <w:proofErr w:type="spellStart"/>
      <w:r>
        <w:t>CoV</w:t>
      </w:r>
      <w:proofErr w:type="spellEnd"/>
      <w:r>
        <w:t xml:space="preserve"> would be 0. If the technology was only used by 1 out of the 10 industries (regardless the exact share in that industry), the </w:t>
      </w:r>
      <w:proofErr w:type="spellStart"/>
      <w:r>
        <w:t>CoV</w:t>
      </w:r>
      <w:proofErr w:type="spellEnd"/>
      <w:r>
        <w:t xml:space="preserve"> would be 3.16.</w:t>
      </w:r>
    </w:p>
    <w:p w14:paraId="6B8B19E2" w14:textId="1A034C8C" w:rsidR="00903394" w:rsidRDefault="00903394" w:rsidP="00493506">
      <w:pPr>
        <w:pStyle w:val="Chartsource"/>
      </w:pPr>
      <w:r w:rsidRPr="00BF0CE3">
        <w:t xml:space="preserve">Source: Treasury analysis of </w:t>
      </w:r>
      <w:proofErr w:type="spellStart"/>
      <w:r w:rsidRPr="00BF0CE3">
        <w:t>Lightcast</w:t>
      </w:r>
      <w:proofErr w:type="spellEnd"/>
      <w:r w:rsidRPr="00BF0CE3">
        <w:t xml:space="preserve"> data for Australia (2012</w:t>
      </w:r>
      <w:r w:rsidR="002B75D0">
        <w:noBreakHyphen/>
      </w:r>
      <w:r w:rsidRPr="00BF0CE3">
        <w:t xml:space="preserve">2020).  </w:t>
      </w:r>
    </w:p>
    <w:p w14:paraId="7E3BA368" w14:textId="77777777" w:rsidR="00BF0CE3" w:rsidRPr="003439C1" w:rsidRDefault="00BF0CE3" w:rsidP="00A90991">
      <w:pPr>
        <w:pStyle w:val="Heading1"/>
        <w:spacing w:before="240"/>
      </w:pPr>
      <w:r>
        <w:t>Conclusion</w:t>
      </w:r>
    </w:p>
    <w:p w14:paraId="50F8BC59" w14:textId="4294205E" w:rsidR="00BF0CE3" w:rsidRDefault="00BF0CE3" w:rsidP="00EC38FB">
      <w:r>
        <w:t>A</w:t>
      </w:r>
      <w:r w:rsidRPr="00CA667B">
        <w:t>doption of new technologies has increased over the past decade</w:t>
      </w:r>
      <w:r>
        <w:t xml:space="preserve">. However, Australia </w:t>
      </w:r>
      <w:r w:rsidRPr="00CA667B">
        <w:t>remain</w:t>
      </w:r>
      <w:r>
        <w:t>s</w:t>
      </w:r>
      <w:r w:rsidRPr="00CA667B">
        <w:t xml:space="preserve"> behind the US,</w:t>
      </w:r>
      <w:r>
        <w:t xml:space="preserve"> which is one factor likely contributing to the growing gap between Australian and global frontier firms (</w:t>
      </w:r>
      <w:r w:rsidRPr="002F7124">
        <w:t>Andrews et al</w:t>
      </w:r>
      <w:r w:rsidR="0062320B">
        <w:t>.</w:t>
      </w:r>
      <w:r>
        <w:t xml:space="preserve"> </w:t>
      </w:r>
      <w:r w:rsidRPr="002F7124">
        <w:t>2022</w:t>
      </w:r>
      <w:r>
        <w:t xml:space="preserve">). </w:t>
      </w:r>
    </w:p>
    <w:p w14:paraId="715E8E00" w14:textId="10FDBD4A" w:rsidR="00BF0CE3" w:rsidRDefault="00BF0CE3" w:rsidP="00EC38FB">
      <w:r>
        <w:t>The</w:t>
      </w:r>
      <w:r w:rsidRPr="00241861">
        <w:t xml:space="preserve"> lower adoption of emerging technologies </w:t>
      </w:r>
      <w:r>
        <w:t xml:space="preserve">in Australia relative to the US </w:t>
      </w:r>
      <w:r w:rsidRPr="00241861">
        <w:t>could reflect the fact that some technologies are still quite new</w:t>
      </w:r>
      <w:r>
        <w:t xml:space="preserve"> to the Australian market</w:t>
      </w:r>
      <w:r w:rsidRPr="00241861">
        <w:t>,</w:t>
      </w:r>
      <w:r>
        <w:rPr>
          <w:rStyle w:val="FootnoteReference"/>
        </w:rPr>
        <w:footnoteReference w:customMarkFollows="1" w:id="16"/>
        <w:t>3</w:t>
      </w:r>
      <w:r>
        <w:t xml:space="preserve"> </w:t>
      </w:r>
      <w:r w:rsidRPr="00241861">
        <w:t xml:space="preserve">or that </w:t>
      </w:r>
      <w:r>
        <w:t>we are</w:t>
      </w:r>
      <w:r w:rsidRPr="00241861">
        <w:t xml:space="preserve"> yet to develop the technological</w:t>
      </w:r>
      <w:r>
        <w:t xml:space="preserve"> or human</w:t>
      </w:r>
      <w:r w:rsidRPr="00241861">
        <w:t xml:space="preserve"> capability required</w:t>
      </w:r>
      <w:r>
        <w:t xml:space="preserve"> t</w:t>
      </w:r>
      <w:r w:rsidRPr="00241861">
        <w:t xml:space="preserve">o </w:t>
      </w:r>
      <w:r>
        <w:t xml:space="preserve">use </w:t>
      </w:r>
      <w:r w:rsidRPr="00D20E3F">
        <w:t>them</w:t>
      </w:r>
      <w:r>
        <w:t xml:space="preserve">. Different industry </w:t>
      </w:r>
      <w:proofErr w:type="gramStart"/>
      <w:r>
        <w:t>make</w:t>
      </w:r>
      <w:proofErr w:type="gramEnd"/>
      <w:r w:rsidR="002B75D0">
        <w:noBreakHyphen/>
      </w:r>
      <w:r>
        <w:t xml:space="preserve">up, management capabilities, and investment in research and development between the </w:t>
      </w:r>
      <w:r w:rsidR="00D61B45">
        <w:t xml:space="preserve">2 </w:t>
      </w:r>
      <w:r>
        <w:t xml:space="preserve">countries may also contribute to the different diffusion rates. </w:t>
      </w:r>
    </w:p>
    <w:p w14:paraId="537A96E0" w14:textId="38B7640F" w:rsidR="00BF0CE3" w:rsidRDefault="00BF0CE3" w:rsidP="00EC38FB">
      <w:r>
        <w:t>I</w:t>
      </w:r>
      <w:r w:rsidRPr="0088642D">
        <w:t>nvestment in new technologies also comes with a delay as firms often need to make complementary investments in other areas like high</w:t>
      </w:r>
      <w:r w:rsidR="002B75D0">
        <w:noBreakHyphen/>
      </w:r>
      <w:r w:rsidRPr="0088642D">
        <w:t>speed internet or</w:t>
      </w:r>
      <w:r>
        <w:t xml:space="preserve"> intangibles like</w:t>
      </w:r>
      <w:r w:rsidRPr="0088642D">
        <w:t xml:space="preserve"> organisational change</w:t>
      </w:r>
      <w:r>
        <w:t xml:space="preserve">. </w:t>
      </w:r>
      <w:r w:rsidRPr="00672509">
        <w:t>Brynjolfsson</w:t>
      </w:r>
      <w:r>
        <w:t xml:space="preserve"> et al</w:t>
      </w:r>
      <w:r w:rsidR="0062320B">
        <w:t>.</w:t>
      </w:r>
      <w:r>
        <w:t xml:space="preserve"> (2021) argue that productivity slowdowns often accompany the rise of general</w:t>
      </w:r>
      <w:r w:rsidR="00373437">
        <w:noBreakHyphen/>
      </w:r>
      <w:r>
        <w:t xml:space="preserve">purpose technologies as firms are delayed in making the required complementary investments. These implementation lags have been noted </w:t>
      </w:r>
      <w:r w:rsidR="00D61B45">
        <w:t>as</w:t>
      </w:r>
      <w:r>
        <w:t xml:space="preserve"> the biggest reason why advanced technologies like </w:t>
      </w:r>
      <w:r w:rsidR="00D61B45">
        <w:t>a</w:t>
      </w:r>
      <w:r>
        <w:t xml:space="preserve">rtificial </w:t>
      </w:r>
      <w:r w:rsidR="00D61B45">
        <w:t>i</w:t>
      </w:r>
      <w:r>
        <w:t xml:space="preserve">ntelligence have been slow to </w:t>
      </w:r>
      <w:r w:rsidR="00B2174E">
        <w:t>instigate</w:t>
      </w:r>
      <w:r>
        <w:t xml:space="preserve"> mass productivity growth (</w:t>
      </w:r>
      <w:r w:rsidRPr="00AF2A3C">
        <w:t>Brynjolfsson</w:t>
      </w:r>
      <w:r>
        <w:t xml:space="preserve"> et al</w:t>
      </w:r>
      <w:r w:rsidR="0062320B">
        <w:t>.</w:t>
      </w:r>
      <w:r>
        <w:t xml:space="preserve"> 2017)</w:t>
      </w:r>
      <w:r w:rsidRPr="0088642D">
        <w:t>.</w:t>
      </w:r>
      <w:r w:rsidRPr="003D3715">
        <w:t xml:space="preserve"> </w:t>
      </w:r>
    </w:p>
    <w:p w14:paraId="66D0E7EA" w14:textId="688D0FA0" w:rsidR="00BF0CE3" w:rsidRDefault="00BF0CE3" w:rsidP="00EC38FB">
      <w:r>
        <w:t>Policy can support greater technological adoption through the provision of appropriate infrastructure (</w:t>
      </w:r>
      <w:r w:rsidR="00073ED6">
        <w:t>for example,</w:t>
      </w:r>
      <w:r>
        <w:t xml:space="preserve"> high</w:t>
      </w:r>
      <w:r w:rsidR="002B75D0">
        <w:noBreakHyphen/>
      </w:r>
      <w:r>
        <w:t>speed internet) and skills training. I</w:t>
      </w:r>
      <w:r w:rsidRPr="000D3035">
        <w:t xml:space="preserve">ncentivising </w:t>
      </w:r>
      <w:r>
        <w:t xml:space="preserve">and facilitating </w:t>
      </w:r>
      <w:r w:rsidRPr="000D3035">
        <w:t>investment in new technologies, particularly</w:t>
      </w:r>
      <w:r>
        <w:t xml:space="preserve"> those most likely to become general</w:t>
      </w:r>
      <w:r w:rsidR="007D2A57">
        <w:t>-</w:t>
      </w:r>
      <w:r>
        <w:t>purpose, has the potential to increase the speed of technological diffusion and ultimately boost Australia’s productivity.</w:t>
      </w:r>
      <w:r w:rsidR="00FB3431">
        <w:br w:type="page"/>
      </w:r>
    </w:p>
    <w:p w14:paraId="0EE95341" w14:textId="77777777" w:rsidR="00BF0CE3" w:rsidRDefault="00BF0CE3" w:rsidP="00C76FB9">
      <w:pPr>
        <w:pStyle w:val="Heading1"/>
      </w:pPr>
      <w:r>
        <w:lastRenderedPageBreak/>
        <w:t>References</w:t>
      </w:r>
    </w:p>
    <w:p w14:paraId="282B9DA3" w14:textId="2B367919" w:rsidR="00BF0CE3" w:rsidRDefault="00BF0CE3" w:rsidP="00493506">
      <w:r w:rsidRPr="001968CF">
        <w:t>Australian Bureau of Statistics (</w:t>
      </w:r>
      <w:r w:rsidR="0039577D">
        <w:t>2021</w:t>
      </w:r>
      <w:r>
        <w:t>)</w:t>
      </w:r>
      <w:r w:rsidRPr="001968CF">
        <w:t xml:space="preserve"> </w:t>
      </w:r>
      <w:hyperlink r:id="rId58" w:history="1">
        <w:r w:rsidRPr="00167DEC">
          <w:rPr>
            <w:rStyle w:val="Hyperlink"/>
            <w:i/>
            <w:iCs/>
          </w:rPr>
          <w:t>Characteristics of Australian Business</w:t>
        </w:r>
      </w:hyperlink>
      <w:r w:rsidR="0039577D">
        <w:rPr>
          <w:i/>
          <w:iCs/>
        </w:rPr>
        <w:t xml:space="preserve"> </w:t>
      </w:r>
      <w:r w:rsidR="0039577D">
        <w:t xml:space="preserve">– </w:t>
      </w:r>
      <w:r w:rsidR="0039577D" w:rsidRPr="006405DB">
        <w:t>2019</w:t>
      </w:r>
      <w:r w:rsidR="0039577D">
        <w:t>-</w:t>
      </w:r>
      <w:r w:rsidR="0039577D" w:rsidRPr="006405DB">
        <w:t>20 financial year</w:t>
      </w:r>
      <w:r w:rsidR="0039577D">
        <w:t xml:space="preserve"> [data set]</w:t>
      </w:r>
      <w:r w:rsidRPr="001968CF">
        <w:t xml:space="preserve">, </w:t>
      </w:r>
      <w:r w:rsidR="00776331">
        <w:t xml:space="preserve">ABS Website, </w:t>
      </w:r>
      <w:r w:rsidR="006405DB">
        <w:t xml:space="preserve">accessed </w:t>
      </w:r>
      <w:r w:rsidR="00167DEC">
        <w:t xml:space="preserve">23 September 2022. </w:t>
      </w:r>
    </w:p>
    <w:p w14:paraId="2C4B3275" w14:textId="6EA8C45E" w:rsidR="00BF0CE3" w:rsidRDefault="00BF0CE3" w:rsidP="00493506">
      <w:r>
        <w:t>Andrews A, Hambur</w:t>
      </w:r>
      <w:r w:rsidR="00DF7D5B">
        <w:t xml:space="preserve"> J</w:t>
      </w:r>
      <w:r>
        <w:t xml:space="preserve">, Hansell </w:t>
      </w:r>
      <w:r w:rsidR="00DF7D5B">
        <w:t xml:space="preserve">D </w:t>
      </w:r>
      <w:r>
        <w:t xml:space="preserve">and Wheeler </w:t>
      </w:r>
      <w:r w:rsidR="00DF7D5B">
        <w:t xml:space="preserve">A </w:t>
      </w:r>
      <w:r>
        <w:t>(2022)</w:t>
      </w:r>
      <w:r w:rsidR="00F83AED">
        <w:t xml:space="preserve"> </w:t>
      </w:r>
      <w:r w:rsidR="009F02A0">
        <w:t>‘</w:t>
      </w:r>
      <w:hyperlink r:id="rId59" w:history="1">
        <w:r w:rsidRPr="00130406">
          <w:rPr>
            <w:rStyle w:val="Hyperlink"/>
          </w:rPr>
          <w:t>Reaching for the stars: Australian firms and the global productivity frontier</w:t>
        </w:r>
      </w:hyperlink>
      <w:r w:rsidR="009F02A0">
        <w:t>’</w:t>
      </w:r>
      <w:r>
        <w:t xml:space="preserve">, </w:t>
      </w:r>
      <w:r w:rsidRPr="002F7124">
        <w:rPr>
          <w:i/>
          <w:iCs/>
        </w:rPr>
        <w:t>Treasury Working Paper 2022#01</w:t>
      </w:r>
      <w:r>
        <w:t xml:space="preserve">. </w:t>
      </w:r>
    </w:p>
    <w:p w14:paraId="5BDB8DD7" w14:textId="2F4F2446" w:rsidR="00BF0CE3" w:rsidRDefault="00BF0CE3" w:rsidP="00493506">
      <w:pPr>
        <w:rPr>
          <w:rFonts w:asciiTheme="minorHAnsi" w:hAnsiTheme="minorHAnsi" w:cstheme="minorHAnsi"/>
          <w:color w:val="222222"/>
          <w:szCs w:val="22"/>
          <w:shd w:val="clear" w:color="auto" w:fill="FFFFFF"/>
        </w:rPr>
      </w:pPr>
      <w:r>
        <w:t>Bloom N, Hassan</w:t>
      </w:r>
      <w:r w:rsidR="00DF7D5B" w:rsidRPr="00DF7D5B">
        <w:t xml:space="preserve"> </w:t>
      </w:r>
      <w:r w:rsidR="00DF7D5B">
        <w:t>TA</w:t>
      </w:r>
      <w:r>
        <w:t>, Kalyani</w:t>
      </w:r>
      <w:r w:rsidR="00DF7D5B" w:rsidRPr="00DF7D5B">
        <w:t xml:space="preserve"> </w:t>
      </w:r>
      <w:r w:rsidR="00DF7D5B">
        <w:t>A</w:t>
      </w:r>
      <w:r>
        <w:t xml:space="preserve">, Lerner </w:t>
      </w:r>
      <w:r w:rsidR="00DF7D5B">
        <w:t xml:space="preserve">J </w:t>
      </w:r>
      <w:r>
        <w:t xml:space="preserve">and </w:t>
      </w:r>
      <w:proofErr w:type="spellStart"/>
      <w:r>
        <w:t>Tahoun</w:t>
      </w:r>
      <w:proofErr w:type="spellEnd"/>
      <w:r>
        <w:t xml:space="preserve"> </w:t>
      </w:r>
      <w:r w:rsidR="00DF7D5B">
        <w:t xml:space="preserve">A </w:t>
      </w:r>
      <w:r>
        <w:t xml:space="preserve">(2021) </w:t>
      </w:r>
      <w:r w:rsidR="009F02A0">
        <w:t>‘</w:t>
      </w:r>
      <w:hyperlink r:id="rId60" w:history="1">
        <w:r w:rsidR="009F02A0" w:rsidRPr="00130406">
          <w:rPr>
            <w:rStyle w:val="Hyperlink"/>
          </w:rPr>
          <w:t>T</w:t>
        </w:r>
        <w:r w:rsidRPr="00130406">
          <w:rPr>
            <w:rStyle w:val="Hyperlink"/>
          </w:rPr>
          <w:t>he Diffusion of Disruptive Technologies</w:t>
        </w:r>
      </w:hyperlink>
      <w:r w:rsidR="009F02A0">
        <w:t>’</w:t>
      </w:r>
      <w:r>
        <w:t xml:space="preserve">, </w:t>
      </w:r>
      <w:r w:rsidR="006A790F" w:rsidRPr="006A790F">
        <w:rPr>
          <w:rFonts w:asciiTheme="minorHAnsi" w:hAnsiTheme="minorHAnsi" w:cstheme="minorHAnsi"/>
          <w:i/>
          <w:iCs/>
          <w:color w:val="222222"/>
          <w:szCs w:val="22"/>
          <w:shd w:val="clear" w:color="auto" w:fill="FFFFFF"/>
        </w:rPr>
        <w:t>National Bureau of Economic Research</w:t>
      </w:r>
      <w:r w:rsidRPr="006A790F">
        <w:rPr>
          <w:i/>
          <w:iCs/>
        </w:rPr>
        <w:t xml:space="preserve"> Working Paper No. 28999</w:t>
      </w:r>
      <w:r w:rsidR="006A790F">
        <w:t xml:space="preserve">. </w:t>
      </w:r>
    </w:p>
    <w:p w14:paraId="10DD5B0F" w14:textId="23506C2D" w:rsidR="00BF0CE3" w:rsidRDefault="00BF0CE3" w:rsidP="00493506">
      <w:pPr>
        <w:rPr>
          <w:rFonts w:asciiTheme="minorHAnsi" w:hAnsiTheme="minorHAnsi" w:cstheme="minorHAnsi"/>
          <w:color w:val="222222"/>
          <w:szCs w:val="22"/>
          <w:shd w:val="clear" w:color="auto" w:fill="FFFFFF"/>
        </w:rPr>
      </w:pPr>
      <w:r w:rsidRPr="00AF2A3C">
        <w:t xml:space="preserve">Brynjolfsson </w:t>
      </w:r>
      <w:r>
        <w:t xml:space="preserve">E, </w:t>
      </w:r>
      <w:r w:rsidRPr="00AF2A3C">
        <w:t xml:space="preserve">Daniel </w:t>
      </w:r>
      <w:r w:rsidR="00DF7D5B">
        <w:t xml:space="preserve">R </w:t>
      </w:r>
      <w:r>
        <w:t xml:space="preserve">and </w:t>
      </w:r>
      <w:proofErr w:type="spellStart"/>
      <w:r w:rsidRPr="00AF2A3C">
        <w:t>Syverson</w:t>
      </w:r>
      <w:proofErr w:type="spellEnd"/>
      <w:r>
        <w:t xml:space="preserve"> </w:t>
      </w:r>
      <w:r w:rsidR="00DF7D5B">
        <w:t>C</w:t>
      </w:r>
      <w:r w:rsidR="00DF7D5B" w:rsidRPr="00AF2A3C">
        <w:t xml:space="preserve"> </w:t>
      </w:r>
      <w:r>
        <w:t xml:space="preserve">(2017) </w:t>
      </w:r>
      <w:r w:rsidR="009F02A0">
        <w:t>‘</w:t>
      </w:r>
      <w:hyperlink r:id="rId61" w:history="1">
        <w:r w:rsidRPr="00130406">
          <w:rPr>
            <w:rStyle w:val="Hyperlink"/>
          </w:rPr>
          <w:t>Artificial Intelligence and the Modern Productivity Paradox: A Clash of Expectations and Statistics</w:t>
        </w:r>
      </w:hyperlink>
      <w:r w:rsidR="009F02A0">
        <w:t>’</w:t>
      </w:r>
      <w:r>
        <w:t xml:space="preserve">, </w:t>
      </w:r>
      <w:r w:rsidR="006A790F" w:rsidRPr="006A790F">
        <w:rPr>
          <w:rFonts w:asciiTheme="minorHAnsi" w:hAnsiTheme="minorHAnsi" w:cstheme="minorHAnsi"/>
          <w:i/>
          <w:iCs/>
          <w:color w:val="222222"/>
          <w:szCs w:val="22"/>
          <w:shd w:val="clear" w:color="auto" w:fill="FFFFFF"/>
        </w:rPr>
        <w:t>National Bureau of Economic Research</w:t>
      </w:r>
      <w:r w:rsidRPr="002F7124">
        <w:rPr>
          <w:i/>
          <w:iCs/>
        </w:rPr>
        <w:t xml:space="preserve"> Working Paper No. 2</w:t>
      </w:r>
      <w:r>
        <w:rPr>
          <w:i/>
          <w:iCs/>
        </w:rPr>
        <w:t>4001</w:t>
      </w:r>
      <w:r w:rsidR="006A790F">
        <w:t xml:space="preserve">. </w:t>
      </w:r>
    </w:p>
    <w:p w14:paraId="16FAFBC9" w14:textId="77314206" w:rsidR="00BF0CE3" w:rsidRDefault="00BF0CE3" w:rsidP="00493506">
      <w:r w:rsidRPr="00AF2A3C">
        <w:t>Brynjolfsson</w:t>
      </w:r>
      <w:r w:rsidR="00DF7D5B">
        <w:t xml:space="preserve"> </w:t>
      </w:r>
      <w:r>
        <w:t xml:space="preserve">E, </w:t>
      </w:r>
      <w:r w:rsidRPr="00AF2A3C">
        <w:t xml:space="preserve">Daniel </w:t>
      </w:r>
      <w:r w:rsidR="00DF7D5B">
        <w:t xml:space="preserve">R </w:t>
      </w:r>
      <w:r>
        <w:t xml:space="preserve">and </w:t>
      </w:r>
      <w:proofErr w:type="spellStart"/>
      <w:r w:rsidRPr="00AF2A3C">
        <w:t>Syverson</w:t>
      </w:r>
      <w:proofErr w:type="spellEnd"/>
      <w:r>
        <w:t xml:space="preserve"> </w:t>
      </w:r>
      <w:r w:rsidR="00DF7D5B">
        <w:t>C</w:t>
      </w:r>
      <w:r w:rsidR="00DF7D5B" w:rsidRPr="00AF2A3C">
        <w:t xml:space="preserve"> </w:t>
      </w:r>
      <w:r>
        <w:t xml:space="preserve">(2021) </w:t>
      </w:r>
      <w:r w:rsidR="009F02A0">
        <w:t>‘</w:t>
      </w:r>
      <w:hyperlink r:id="rId62" w:history="1">
        <w:r w:rsidRPr="00130406">
          <w:rPr>
            <w:rStyle w:val="Hyperlink"/>
          </w:rPr>
          <w:t>The Productivity J</w:t>
        </w:r>
        <w:r w:rsidR="002B75D0" w:rsidRPr="00130406">
          <w:rPr>
            <w:rStyle w:val="Hyperlink"/>
          </w:rPr>
          <w:noBreakHyphen/>
        </w:r>
        <w:r w:rsidRPr="00130406">
          <w:rPr>
            <w:rStyle w:val="Hyperlink"/>
          </w:rPr>
          <w:t>Curve: How Intangibles Complement General Purpose Technologies</w:t>
        </w:r>
      </w:hyperlink>
      <w:r w:rsidR="009F02A0">
        <w:t>’</w:t>
      </w:r>
      <w:r>
        <w:t xml:space="preserve">, </w:t>
      </w:r>
      <w:r w:rsidRPr="009C6024">
        <w:rPr>
          <w:i/>
          <w:iCs/>
        </w:rPr>
        <w:t>American Economic Journal: Macroeconomics</w:t>
      </w:r>
      <w:r>
        <w:t>, 13(1)</w:t>
      </w:r>
      <w:r w:rsidR="00A77524">
        <w:t>:</w:t>
      </w:r>
      <w:r>
        <w:t>333</w:t>
      </w:r>
      <w:r w:rsidR="00A77524">
        <w:t>–</w:t>
      </w:r>
      <w:r>
        <w:t xml:space="preserve">372. </w:t>
      </w:r>
    </w:p>
    <w:p w14:paraId="3599FD60" w14:textId="3CA041A9" w:rsidR="00BF0CE3" w:rsidRDefault="00BF0CE3" w:rsidP="00493506">
      <w:pPr>
        <w:rPr>
          <w:rFonts w:asciiTheme="minorHAnsi" w:hAnsiTheme="minorHAnsi" w:cstheme="minorHAnsi"/>
          <w:color w:val="222222"/>
          <w:szCs w:val="22"/>
          <w:shd w:val="clear" w:color="auto" w:fill="FFFFFF"/>
        </w:rPr>
      </w:pPr>
      <w:bookmarkStart w:id="9" w:name="_Hlk111123727"/>
      <w:r>
        <w:t xml:space="preserve">Goldfarb A, </w:t>
      </w:r>
      <w:proofErr w:type="spellStart"/>
      <w:r>
        <w:t>Taska</w:t>
      </w:r>
      <w:proofErr w:type="spellEnd"/>
      <w:r>
        <w:t xml:space="preserve"> </w:t>
      </w:r>
      <w:r w:rsidR="00DF7D5B">
        <w:t xml:space="preserve">B </w:t>
      </w:r>
      <w:r>
        <w:t xml:space="preserve">and </w:t>
      </w:r>
      <w:proofErr w:type="spellStart"/>
      <w:r>
        <w:t>Teodoridis</w:t>
      </w:r>
      <w:proofErr w:type="spellEnd"/>
      <w:r>
        <w:t xml:space="preserve"> </w:t>
      </w:r>
      <w:bookmarkEnd w:id="9"/>
      <w:r w:rsidR="00DF7D5B">
        <w:t xml:space="preserve">F </w:t>
      </w:r>
      <w:r>
        <w:t xml:space="preserve">(2022) </w:t>
      </w:r>
      <w:r w:rsidR="00CF1A8E">
        <w:t>‘</w:t>
      </w:r>
      <w:hyperlink r:id="rId63" w:history="1">
        <w:r w:rsidRPr="00130406">
          <w:rPr>
            <w:rStyle w:val="Hyperlink"/>
          </w:rPr>
          <w:t>Could Machine Learning be a General</w:t>
        </w:r>
        <w:r w:rsidR="00CF1A8E" w:rsidRPr="00130406">
          <w:rPr>
            <w:rStyle w:val="Hyperlink"/>
          </w:rPr>
          <w:noBreakHyphen/>
        </w:r>
        <w:r w:rsidRPr="00130406">
          <w:rPr>
            <w:rStyle w:val="Hyperlink"/>
          </w:rPr>
          <w:t>Purpose Technology? A Comparison of Emerging Technologies Using Data from Online Job Postings</w:t>
        </w:r>
      </w:hyperlink>
      <w:r w:rsidR="00CF1A8E">
        <w:t>’</w:t>
      </w:r>
      <w:r>
        <w:t>,</w:t>
      </w:r>
      <w:r w:rsidRPr="002F7124">
        <w:t xml:space="preserve"> </w:t>
      </w:r>
      <w:r w:rsidR="006A790F" w:rsidRPr="006A790F">
        <w:rPr>
          <w:rFonts w:asciiTheme="minorHAnsi" w:hAnsiTheme="minorHAnsi" w:cstheme="minorHAnsi"/>
          <w:i/>
          <w:iCs/>
          <w:color w:val="222222"/>
          <w:szCs w:val="22"/>
          <w:shd w:val="clear" w:color="auto" w:fill="FFFFFF"/>
        </w:rPr>
        <w:t>National Bureau of Economic Research</w:t>
      </w:r>
      <w:r w:rsidR="006A790F" w:rsidRPr="006A790F">
        <w:rPr>
          <w:i/>
          <w:iCs/>
        </w:rPr>
        <w:t xml:space="preserve"> </w:t>
      </w:r>
      <w:r w:rsidRPr="002F7124">
        <w:rPr>
          <w:i/>
          <w:iCs/>
        </w:rPr>
        <w:t>Working Paper No. 29767</w:t>
      </w:r>
      <w:r w:rsidR="006A790F">
        <w:t xml:space="preserve">. </w:t>
      </w:r>
    </w:p>
    <w:p w14:paraId="6F9A1DEB" w14:textId="511D1769" w:rsidR="00BF0CE3" w:rsidRDefault="00BF0CE3" w:rsidP="00493506">
      <w:r>
        <w:t xml:space="preserve">Hope A, </w:t>
      </w:r>
      <w:proofErr w:type="spellStart"/>
      <w:r>
        <w:t>Yemm</w:t>
      </w:r>
      <w:proofErr w:type="spellEnd"/>
      <w:r w:rsidR="00DF7D5B" w:rsidRPr="00DF7D5B">
        <w:t xml:space="preserve"> </w:t>
      </w:r>
      <w:r w:rsidR="00DF7D5B">
        <w:t>N</w:t>
      </w:r>
      <w:r>
        <w:t>, Nguyen</w:t>
      </w:r>
      <w:r w:rsidR="00DF7D5B" w:rsidRPr="00DF7D5B">
        <w:t xml:space="preserve"> </w:t>
      </w:r>
      <w:r w:rsidR="00DF7D5B">
        <w:t>G</w:t>
      </w:r>
      <w:r>
        <w:t>, Raza</w:t>
      </w:r>
      <w:r w:rsidR="00DF7D5B" w:rsidRPr="00DF7D5B">
        <w:t xml:space="preserve"> </w:t>
      </w:r>
      <w:r w:rsidR="00DF7D5B">
        <w:t>MA</w:t>
      </w:r>
      <w:r>
        <w:t>, Sparke</w:t>
      </w:r>
      <w:r w:rsidR="00DF7D5B">
        <w:t xml:space="preserve"> E</w:t>
      </w:r>
      <w:r>
        <w:t xml:space="preserve">, </w:t>
      </w:r>
      <w:proofErr w:type="spellStart"/>
      <w:r>
        <w:t>Buhagier</w:t>
      </w:r>
      <w:proofErr w:type="spellEnd"/>
      <w:r>
        <w:t xml:space="preserve"> </w:t>
      </w:r>
      <w:r w:rsidR="00DF7D5B">
        <w:t xml:space="preserve">C </w:t>
      </w:r>
      <w:r>
        <w:t xml:space="preserve">and Neumann </w:t>
      </w:r>
      <w:r w:rsidR="00DF7D5B">
        <w:t xml:space="preserve">R </w:t>
      </w:r>
      <w:r>
        <w:t xml:space="preserve">(2022) </w:t>
      </w:r>
      <w:hyperlink r:id="rId64" w:history="1">
        <w:r w:rsidRPr="00130406">
          <w:rPr>
            <w:rStyle w:val="Hyperlink"/>
            <w:i/>
            <w:iCs/>
          </w:rPr>
          <w:t>Digital skills in the Australian and International economies</w:t>
        </w:r>
        <w:r w:rsidRPr="00130406">
          <w:rPr>
            <w:rStyle w:val="Hyperlink"/>
          </w:rPr>
          <w:t>, National Skills Commission</w:t>
        </w:r>
      </w:hyperlink>
      <w:r>
        <w:t xml:space="preserve">, </w:t>
      </w:r>
      <w:r w:rsidR="00A77524">
        <w:t xml:space="preserve">Australian Government. </w:t>
      </w:r>
      <w:r>
        <w:t xml:space="preserve"> </w:t>
      </w:r>
    </w:p>
    <w:p w14:paraId="5347E194" w14:textId="1EDD04F9" w:rsidR="00BF0CE3" w:rsidRDefault="00BF0CE3" w:rsidP="00BF0CE3">
      <w:r>
        <w:br w:type="page"/>
      </w:r>
    </w:p>
    <w:p w14:paraId="067ABC9B" w14:textId="77777777" w:rsidR="00BF0CE3" w:rsidRPr="009C6024" w:rsidRDefault="00BF0CE3" w:rsidP="00C76FB9">
      <w:pPr>
        <w:pStyle w:val="Heading1"/>
      </w:pPr>
      <w:r>
        <w:lastRenderedPageBreak/>
        <w:t>Appendix</w:t>
      </w:r>
    </w:p>
    <w:p w14:paraId="2DA24014" w14:textId="4EC3DB7A" w:rsidR="00BF0CE3" w:rsidRPr="00A3527C" w:rsidRDefault="00BF0CE3" w:rsidP="00C76FB9">
      <w:pPr>
        <w:pStyle w:val="Tableheading"/>
      </w:pPr>
      <w:r>
        <w:t xml:space="preserve">Table 1: </w:t>
      </w:r>
      <w:r w:rsidRPr="00A3527C">
        <w:t>Total job postings</w:t>
      </w:r>
      <w:r>
        <w:t xml:space="preserve"> (2012</w:t>
      </w:r>
      <w:r w:rsidR="00C76FB9" w:rsidRPr="00C76FB9">
        <w:noBreakHyphen/>
      </w:r>
      <w:r>
        <w:t>2020)</w:t>
      </w:r>
      <w:r w:rsidRPr="00A3527C">
        <w:t xml:space="preserve"> by technology</w:t>
      </w:r>
    </w:p>
    <w:tbl>
      <w:tblPr>
        <w:tblStyle w:val="GridTable4-Accent51"/>
        <w:tblW w:w="7933" w:type="dxa"/>
        <w:jc w:val="center"/>
        <w:tblLook w:val="04A0" w:firstRow="1" w:lastRow="0" w:firstColumn="1" w:lastColumn="0" w:noHBand="0" w:noVBand="1"/>
      </w:tblPr>
      <w:tblGrid>
        <w:gridCol w:w="5671"/>
        <w:gridCol w:w="2262"/>
      </w:tblGrid>
      <w:tr w:rsidR="005E055C" w:rsidRPr="003724CE" w14:paraId="7AA28517" w14:textId="77777777" w:rsidTr="001A1B63">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5671" w:type="dxa"/>
            <w:noWrap/>
            <w:hideMark/>
          </w:tcPr>
          <w:p w14:paraId="178818D6" w14:textId="77777777" w:rsidR="005E055C" w:rsidRPr="003724CE" w:rsidRDefault="005E055C" w:rsidP="001A1B63">
            <w:pPr>
              <w:pStyle w:val="Tableheadingleft"/>
            </w:pPr>
            <w:r w:rsidRPr="003724CE">
              <w:t>Technology</w:t>
            </w:r>
          </w:p>
        </w:tc>
        <w:tc>
          <w:tcPr>
            <w:tcW w:w="2262" w:type="dxa"/>
            <w:noWrap/>
            <w:hideMark/>
          </w:tcPr>
          <w:p w14:paraId="5B2D79B2" w14:textId="77777777" w:rsidR="005E055C" w:rsidRPr="006B7DF9" w:rsidRDefault="005E055C" w:rsidP="001A1B63">
            <w:pPr>
              <w:pStyle w:val="Tableheadingcentered"/>
              <w:cnfStyle w:val="100000000000" w:firstRow="1" w:lastRow="0" w:firstColumn="0" w:lastColumn="0" w:oddVBand="0" w:evenVBand="0" w:oddHBand="0" w:evenHBand="0" w:firstRowFirstColumn="0" w:firstRowLastColumn="0" w:lastRowFirstColumn="0" w:lastRowLastColumn="0"/>
            </w:pPr>
            <w:r w:rsidRPr="006B7DF9">
              <w:rPr>
                <w:bCs/>
              </w:rPr>
              <w:t>Count</w:t>
            </w:r>
          </w:p>
        </w:tc>
      </w:tr>
      <w:tr w:rsidR="005E055C" w:rsidRPr="003724CE" w14:paraId="295746D1" w14:textId="77777777" w:rsidTr="001A1B63">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5671" w:type="dxa"/>
            <w:noWrap/>
            <w:hideMark/>
          </w:tcPr>
          <w:p w14:paraId="47D8C4FB" w14:textId="77777777" w:rsidR="005E055C" w:rsidRPr="006B7DF9" w:rsidRDefault="005E055C" w:rsidP="001A1B63">
            <w:pPr>
              <w:pStyle w:val="Tabletextleft"/>
            </w:pPr>
            <w:r w:rsidRPr="006B7DF9">
              <w:t>Social networking</w:t>
            </w:r>
          </w:p>
        </w:tc>
        <w:tc>
          <w:tcPr>
            <w:tcW w:w="2262" w:type="dxa"/>
            <w:noWrap/>
            <w:hideMark/>
          </w:tcPr>
          <w:p w14:paraId="6209B450" w14:textId="77777777" w:rsidR="005E055C" w:rsidRPr="003724CE" w:rsidRDefault="005E055C" w:rsidP="001A1B63">
            <w:pPr>
              <w:pStyle w:val="Tabletextcentered"/>
              <w:cnfStyle w:val="000000100000" w:firstRow="0" w:lastRow="0" w:firstColumn="0" w:lastColumn="0" w:oddVBand="0" w:evenVBand="0" w:oddHBand="1" w:evenHBand="0" w:firstRowFirstColumn="0" w:firstRowLastColumn="0" w:lastRowFirstColumn="0" w:lastRowLastColumn="0"/>
            </w:pPr>
            <w:r w:rsidRPr="003724CE">
              <w:t>150,830</w:t>
            </w:r>
          </w:p>
        </w:tc>
      </w:tr>
      <w:tr w:rsidR="005E055C" w:rsidRPr="003724CE" w14:paraId="37B0AA5A" w14:textId="77777777" w:rsidTr="001A1B63">
        <w:trPr>
          <w:trHeight w:val="290"/>
          <w:jc w:val="center"/>
        </w:trPr>
        <w:tc>
          <w:tcPr>
            <w:cnfStyle w:val="001000000000" w:firstRow="0" w:lastRow="0" w:firstColumn="1" w:lastColumn="0" w:oddVBand="0" w:evenVBand="0" w:oddHBand="0" w:evenHBand="0" w:firstRowFirstColumn="0" w:firstRowLastColumn="0" w:lastRowFirstColumn="0" w:lastRowLastColumn="0"/>
            <w:tcW w:w="5671" w:type="dxa"/>
            <w:noWrap/>
            <w:hideMark/>
          </w:tcPr>
          <w:p w14:paraId="14448D08" w14:textId="77777777" w:rsidR="005E055C" w:rsidRPr="006B7DF9" w:rsidRDefault="005E055C" w:rsidP="001A1B63">
            <w:pPr>
              <w:pStyle w:val="Tabletextleft"/>
            </w:pPr>
            <w:r w:rsidRPr="006B7DF9">
              <w:t>Cloud computing</w:t>
            </w:r>
          </w:p>
        </w:tc>
        <w:tc>
          <w:tcPr>
            <w:tcW w:w="2262" w:type="dxa"/>
            <w:noWrap/>
            <w:hideMark/>
          </w:tcPr>
          <w:p w14:paraId="24E31BDD" w14:textId="77777777" w:rsidR="005E055C" w:rsidRPr="003724CE" w:rsidRDefault="005E055C" w:rsidP="001A1B63">
            <w:pPr>
              <w:pStyle w:val="Tabletextcentered"/>
              <w:cnfStyle w:val="000000000000" w:firstRow="0" w:lastRow="0" w:firstColumn="0" w:lastColumn="0" w:oddVBand="0" w:evenVBand="0" w:oddHBand="0" w:evenHBand="0" w:firstRowFirstColumn="0" w:firstRowLastColumn="0" w:lastRowFirstColumn="0" w:lastRowLastColumn="0"/>
            </w:pPr>
            <w:r w:rsidRPr="003724CE">
              <w:t>122,426</w:t>
            </w:r>
          </w:p>
        </w:tc>
      </w:tr>
      <w:tr w:rsidR="005E055C" w:rsidRPr="003724CE" w14:paraId="3519D15D" w14:textId="77777777" w:rsidTr="001A1B6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5671" w:type="dxa"/>
            <w:noWrap/>
            <w:hideMark/>
          </w:tcPr>
          <w:p w14:paraId="0F8419F6" w14:textId="77777777" w:rsidR="005E055C" w:rsidRPr="006B7DF9" w:rsidRDefault="005E055C" w:rsidP="001A1B63">
            <w:pPr>
              <w:pStyle w:val="Tabletextleft"/>
            </w:pPr>
            <w:r w:rsidRPr="006B7DF9">
              <w:t>Smart devices</w:t>
            </w:r>
          </w:p>
        </w:tc>
        <w:tc>
          <w:tcPr>
            <w:tcW w:w="2262" w:type="dxa"/>
            <w:noWrap/>
            <w:hideMark/>
          </w:tcPr>
          <w:p w14:paraId="59E4AEFC" w14:textId="77777777" w:rsidR="005E055C" w:rsidRPr="003724CE" w:rsidRDefault="005E055C" w:rsidP="001A1B63">
            <w:pPr>
              <w:pStyle w:val="Tabletextcentered"/>
              <w:cnfStyle w:val="000000100000" w:firstRow="0" w:lastRow="0" w:firstColumn="0" w:lastColumn="0" w:oddVBand="0" w:evenVBand="0" w:oddHBand="1" w:evenHBand="0" w:firstRowFirstColumn="0" w:firstRowLastColumn="0" w:lastRowFirstColumn="0" w:lastRowLastColumn="0"/>
            </w:pPr>
            <w:r w:rsidRPr="003724CE">
              <w:t>92,986</w:t>
            </w:r>
          </w:p>
        </w:tc>
      </w:tr>
      <w:tr w:rsidR="005E055C" w:rsidRPr="003724CE" w14:paraId="12603F10" w14:textId="77777777" w:rsidTr="001A1B63">
        <w:trPr>
          <w:trHeight w:val="290"/>
          <w:jc w:val="center"/>
        </w:trPr>
        <w:tc>
          <w:tcPr>
            <w:cnfStyle w:val="001000000000" w:firstRow="0" w:lastRow="0" w:firstColumn="1" w:lastColumn="0" w:oddVBand="0" w:evenVBand="0" w:oddHBand="0" w:evenHBand="0" w:firstRowFirstColumn="0" w:firstRowLastColumn="0" w:lastRowFirstColumn="0" w:lastRowLastColumn="0"/>
            <w:tcW w:w="5671" w:type="dxa"/>
            <w:noWrap/>
            <w:hideMark/>
          </w:tcPr>
          <w:p w14:paraId="3A81B221" w14:textId="77777777" w:rsidR="005E055C" w:rsidRPr="006B7DF9" w:rsidRDefault="005E055C" w:rsidP="001A1B63">
            <w:pPr>
              <w:pStyle w:val="Tabletextleft"/>
            </w:pPr>
            <w:r w:rsidRPr="006B7DF9">
              <w:t>GPS</w:t>
            </w:r>
          </w:p>
        </w:tc>
        <w:tc>
          <w:tcPr>
            <w:tcW w:w="2262" w:type="dxa"/>
            <w:noWrap/>
            <w:hideMark/>
          </w:tcPr>
          <w:p w14:paraId="1C9B718F" w14:textId="77777777" w:rsidR="005E055C" w:rsidRPr="003724CE" w:rsidRDefault="005E055C" w:rsidP="001A1B63">
            <w:pPr>
              <w:pStyle w:val="Tabletextcentered"/>
              <w:cnfStyle w:val="000000000000" w:firstRow="0" w:lastRow="0" w:firstColumn="0" w:lastColumn="0" w:oddVBand="0" w:evenVBand="0" w:oddHBand="0" w:evenHBand="0" w:firstRowFirstColumn="0" w:firstRowLastColumn="0" w:lastRowFirstColumn="0" w:lastRowLastColumn="0"/>
            </w:pPr>
            <w:r w:rsidRPr="003724CE">
              <w:t>44,729</w:t>
            </w:r>
          </w:p>
        </w:tc>
      </w:tr>
      <w:tr w:rsidR="005E055C" w:rsidRPr="003724CE" w14:paraId="1257D8BF" w14:textId="77777777" w:rsidTr="001A1B6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5671" w:type="dxa"/>
            <w:noWrap/>
            <w:hideMark/>
          </w:tcPr>
          <w:p w14:paraId="11600090" w14:textId="77777777" w:rsidR="005E055C" w:rsidRPr="006B7DF9" w:rsidRDefault="005E055C" w:rsidP="001A1B63">
            <w:pPr>
              <w:pStyle w:val="Tabletextleft"/>
            </w:pPr>
            <w:r w:rsidRPr="006B7DF9">
              <w:t>Machine learning/artificial intelligence</w:t>
            </w:r>
          </w:p>
        </w:tc>
        <w:tc>
          <w:tcPr>
            <w:tcW w:w="2262" w:type="dxa"/>
            <w:noWrap/>
            <w:hideMark/>
          </w:tcPr>
          <w:p w14:paraId="2B024D2F" w14:textId="77777777" w:rsidR="005E055C" w:rsidRPr="003724CE" w:rsidRDefault="005E055C" w:rsidP="001A1B63">
            <w:pPr>
              <w:pStyle w:val="Tabletextcentered"/>
              <w:cnfStyle w:val="000000100000" w:firstRow="0" w:lastRow="0" w:firstColumn="0" w:lastColumn="0" w:oddVBand="0" w:evenVBand="0" w:oddHBand="1" w:evenHBand="0" w:firstRowFirstColumn="0" w:firstRowLastColumn="0" w:lastRowFirstColumn="0" w:lastRowLastColumn="0"/>
            </w:pPr>
            <w:r w:rsidRPr="003724CE">
              <w:t>19,994</w:t>
            </w:r>
          </w:p>
        </w:tc>
      </w:tr>
      <w:tr w:rsidR="005E055C" w:rsidRPr="003724CE" w14:paraId="538FC32E" w14:textId="77777777" w:rsidTr="001A1B63">
        <w:trPr>
          <w:trHeight w:val="290"/>
          <w:jc w:val="center"/>
        </w:trPr>
        <w:tc>
          <w:tcPr>
            <w:cnfStyle w:val="001000000000" w:firstRow="0" w:lastRow="0" w:firstColumn="1" w:lastColumn="0" w:oddVBand="0" w:evenVBand="0" w:oddHBand="0" w:evenHBand="0" w:firstRowFirstColumn="0" w:firstRowLastColumn="0" w:lastRowFirstColumn="0" w:lastRowLastColumn="0"/>
            <w:tcW w:w="5671" w:type="dxa"/>
            <w:noWrap/>
            <w:hideMark/>
          </w:tcPr>
          <w:p w14:paraId="4F22D49A" w14:textId="77777777" w:rsidR="005E055C" w:rsidRPr="006B7DF9" w:rsidRDefault="005E055C" w:rsidP="001A1B63">
            <w:pPr>
              <w:pStyle w:val="Tabletextleft"/>
            </w:pPr>
            <w:r w:rsidRPr="006B7DF9">
              <w:t>Online streaming</w:t>
            </w:r>
          </w:p>
        </w:tc>
        <w:tc>
          <w:tcPr>
            <w:tcW w:w="2262" w:type="dxa"/>
            <w:noWrap/>
            <w:hideMark/>
          </w:tcPr>
          <w:p w14:paraId="06430126" w14:textId="77777777" w:rsidR="005E055C" w:rsidRPr="003724CE" w:rsidRDefault="005E055C" w:rsidP="001A1B63">
            <w:pPr>
              <w:pStyle w:val="Tabletextcentered"/>
              <w:cnfStyle w:val="000000000000" w:firstRow="0" w:lastRow="0" w:firstColumn="0" w:lastColumn="0" w:oddVBand="0" w:evenVBand="0" w:oddHBand="0" w:evenHBand="0" w:firstRowFirstColumn="0" w:firstRowLastColumn="0" w:lastRowFirstColumn="0" w:lastRowLastColumn="0"/>
            </w:pPr>
            <w:r w:rsidRPr="003724CE">
              <w:t>19,211</w:t>
            </w:r>
          </w:p>
        </w:tc>
      </w:tr>
      <w:tr w:rsidR="005E055C" w:rsidRPr="003724CE" w14:paraId="70B00970" w14:textId="77777777" w:rsidTr="001A1B6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5671" w:type="dxa"/>
            <w:noWrap/>
            <w:hideMark/>
          </w:tcPr>
          <w:p w14:paraId="4D3F9447" w14:textId="77777777" w:rsidR="005E055C" w:rsidRPr="006B7DF9" w:rsidRDefault="005E055C" w:rsidP="001A1B63">
            <w:pPr>
              <w:pStyle w:val="Tabletextleft"/>
            </w:pPr>
            <w:r w:rsidRPr="006B7DF9">
              <w:t>Wi</w:t>
            </w:r>
            <w:r>
              <w:noBreakHyphen/>
            </w:r>
            <w:r w:rsidRPr="006B7DF9">
              <w:t xml:space="preserve">Fi </w:t>
            </w:r>
          </w:p>
        </w:tc>
        <w:tc>
          <w:tcPr>
            <w:tcW w:w="2262" w:type="dxa"/>
            <w:noWrap/>
            <w:hideMark/>
          </w:tcPr>
          <w:p w14:paraId="1B283618" w14:textId="77777777" w:rsidR="005E055C" w:rsidRPr="003724CE" w:rsidRDefault="005E055C" w:rsidP="001A1B63">
            <w:pPr>
              <w:pStyle w:val="Tabletextcentered"/>
              <w:cnfStyle w:val="000000100000" w:firstRow="0" w:lastRow="0" w:firstColumn="0" w:lastColumn="0" w:oddVBand="0" w:evenVBand="0" w:oddHBand="1" w:evenHBand="0" w:firstRowFirstColumn="0" w:firstRowLastColumn="0" w:lastRowFirstColumn="0" w:lastRowLastColumn="0"/>
            </w:pPr>
            <w:r w:rsidRPr="003724CE">
              <w:t>14,155</w:t>
            </w:r>
          </w:p>
        </w:tc>
      </w:tr>
      <w:tr w:rsidR="005E055C" w:rsidRPr="003724CE" w14:paraId="371B6300" w14:textId="77777777" w:rsidTr="001A1B63">
        <w:trPr>
          <w:trHeight w:val="290"/>
          <w:jc w:val="center"/>
        </w:trPr>
        <w:tc>
          <w:tcPr>
            <w:cnfStyle w:val="001000000000" w:firstRow="0" w:lastRow="0" w:firstColumn="1" w:lastColumn="0" w:oddVBand="0" w:evenVBand="0" w:oddHBand="0" w:evenHBand="0" w:firstRowFirstColumn="0" w:firstRowLastColumn="0" w:lastRowFirstColumn="0" w:lastRowLastColumn="0"/>
            <w:tcW w:w="5671" w:type="dxa"/>
            <w:noWrap/>
            <w:hideMark/>
          </w:tcPr>
          <w:p w14:paraId="2C66FBE9" w14:textId="77777777" w:rsidR="005E055C" w:rsidRPr="006B7DF9" w:rsidRDefault="005E055C" w:rsidP="001A1B63">
            <w:pPr>
              <w:pStyle w:val="Tabletextleft"/>
            </w:pPr>
            <w:r w:rsidRPr="006B7DF9">
              <w:t>Search engine</w:t>
            </w:r>
          </w:p>
        </w:tc>
        <w:tc>
          <w:tcPr>
            <w:tcW w:w="2262" w:type="dxa"/>
            <w:noWrap/>
            <w:hideMark/>
          </w:tcPr>
          <w:p w14:paraId="05DAD49E" w14:textId="77777777" w:rsidR="005E055C" w:rsidRPr="003724CE" w:rsidRDefault="005E055C" w:rsidP="001A1B63">
            <w:pPr>
              <w:pStyle w:val="Tabletextcentered"/>
              <w:cnfStyle w:val="000000000000" w:firstRow="0" w:lastRow="0" w:firstColumn="0" w:lastColumn="0" w:oddVBand="0" w:evenVBand="0" w:oddHBand="0" w:evenHBand="0" w:firstRowFirstColumn="0" w:firstRowLastColumn="0" w:lastRowFirstColumn="0" w:lastRowLastColumn="0"/>
            </w:pPr>
            <w:r w:rsidRPr="003724CE">
              <w:t>11,818</w:t>
            </w:r>
          </w:p>
        </w:tc>
      </w:tr>
      <w:tr w:rsidR="005E055C" w:rsidRPr="003724CE" w14:paraId="22B15EE8" w14:textId="77777777" w:rsidTr="001A1B6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5671" w:type="dxa"/>
            <w:noWrap/>
            <w:hideMark/>
          </w:tcPr>
          <w:p w14:paraId="30B1DA48" w14:textId="77777777" w:rsidR="005E055C" w:rsidRPr="006B7DF9" w:rsidRDefault="005E055C" w:rsidP="001A1B63">
            <w:pPr>
              <w:pStyle w:val="Tabletextleft"/>
            </w:pPr>
            <w:proofErr w:type="spellStart"/>
            <w:r w:rsidRPr="006B7DF9">
              <w:t>Oled</w:t>
            </w:r>
            <w:proofErr w:type="spellEnd"/>
            <w:r w:rsidRPr="006B7DF9">
              <w:t xml:space="preserve"> display</w:t>
            </w:r>
          </w:p>
        </w:tc>
        <w:tc>
          <w:tcPr>
            <w:tcW w:w="2262" w:type="dxa"/>
            <w:noWrap/>
            <w:hideMark/>
          </w:tcPr>
          <w:p w14:paraId="320FC97C" w14:textId="77777777" w:rsidR="005E055C" w:rsidRPr="003724CE" w:rsidRDefault="005E055C" w:rsidP="001A1B63">
            <w:pPr>
              <w:pStyle w:val="Tabletextcentered"/>
              <w:cnfStyle w:val="000000100000" w:firstRow="0" w:lastRow="0" w:firstColumn="0" w:lastColumn="0" w:oddVBand="0" w:evenVBand="0" w:oddHBand="1" w:evenHBand="0" w:firstRowFirstColumn="0" w:firstRowLastColumn="0" w:lastRowFirstColumn="0" w:lastRowLastColumn="0"/>
            </w:pPr>
            <w:r w:rsidRPr="003724CE">
              <w:t>9,897</w:t>
            </w:r>
          </w:p>
        </w:tc>
      </w:tr>
      <w:tr w:rsidR="005E055C" w:rsidRPr="003724CE" w14:paraId="32CF1E43" w14:textId="77777777" w:rsidTr="001A1B63">
        <w:trPr>
          <w:trHeight w:val="290"/>
          <w:jc w:val="center"/>
        </w:trPr>
        <w:tc>
          <w:tcPr>
            <w:cnfStyle w:val="001000000000" w:firstRow="0" w:lastRow="0" w:firstColumn="1" w:lastColumn="0" w:oddVBand="0" w:evenVBand="0" w:oddHBand="0" w:evenHBand="0" w:firstRowFirstColumn="0" w:firstRowLastColumn="0" w:lastRowFirstColumn="0" w:lastRowLastColumn="0"/>
            <w:tcW w:w="5671" w:type="dxa"/>
            <w:noWrap/>
            <w:hideMark/>
          </w:tcPr>
          <w:p w14:paraId="0992C15A" w14:textId="77777777" w:rsidR="005E055C" w:rsidRPr="006B7DF9" w:rsidRDefault="005E055C" w:rsidP="001A1B63">
            <w:pPr>
              <w:pStyle w:val="Tabletextleft"/>
            </w:pPr>
            <w:r w:rsidRPr="006B7DF9">
              <w:t>Solar power</w:t>
            </w:r>
          </w:p>
        </w:tc>
        <w:tc>
          <w:tcPr>
            <w:tcW w:w="2262" w:type="dxa"/>
            <w:noWrap/>
            <w:hideMark/>
          </w:tcPr>
          <w:p w14:paraId="5E104FB8" w14:textId="77777777" w:rsidR="005E055C" w:rsidRPr="003724CE" w:rsidRDefault="005E055C" w:rsidP="001A1B63">
            <w:pPr>
              <w:pStyle w:val="Tabletextcentered"/>
              <w:cnfStyle w:val="000000000000" w:firstRow="0" w:lastRow="0" w:firstColumn="0" w:lastColumn="0" w:oddVBand="0" w:evenVBand="0" w:oddHBand="0" w:evenHBand="0" w:firstRowFirstColumn="0" w:firstRowLastColumn="0" w:lastRowFirstColumn="0" w:lastRowLastColumn="0"/>
            </w:pPr>
            <w:r w:rsidRPr="003724CE">
              <w:t>6,852</w:t>
            </w:r>
          </w:p>
        </w:tc>
      </w:tr>
      <w:tr w:rsidR="005E055C" w:rsidRPr="003724CE" w14:paraId="378C9E2B" w14:textId="77777777" w:rsidTr="001A1B6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5671" w:type="dxa"/>
            <w:noWrap/>
            <w:hideMark/>
          </w:tcPr>
          <w:p w14:paraId="4EC8B0B4" w14:textId="77777777" w:rsidR="005E055C" w:rsidRPr="006B7DF9" w:rsidRDefault="005E055C" w:rsidP="001A1B63">
            <w:pPr>
              <w:pStyle w:val="Tabletextleft"/>
            </w:pPr>
            <w:r w:rsidRPr="006B7DF9">
              <w:t>Electronic gaming</w:t>
            </w:r>
          </w:p>
        </w:tc>
        <w:tc>
          <w:tcPr>
            <w:tcW w:w="2262" w:type="dxa"/>
            <w:noWrap/>
            <w:hideMark/>
          </w:tcPr>
          <w:p w14:paraId="042FC45C" w14:textId="77777777" w:rsidR="005E055C" w:rsidRPr="003724CE" w:rsidRDefault="005E055C" w:rsidP="001A1B63">
            <w:pPr>
              <w:pStyle w:val="Tabletextcentered"/>
              <w:cnfStyle w:val="000000100000" w:firstRow="0" w:lastRow="0" w:firstColumn="0" w:lastColumn="0" w:oddVBand="0" w:evenVBand="0" w:oddHBand="1" w:evenHBand="0" w:firstRowFirstColumn="0" w:firstRowLastColumn="0" w:lastRowFirstColumn="0" w:lastRowLastColumn="0"/>
            </w:pPr>
            <w:r w:rsidRPr="003724CE">
              <w:t>3,714</w:t>
            </w:r>
          </w:p>
        </w:tc>
      </w:tr>
      <w:tr w:rsidR="005E055C" w:rsidRPr="003724CE" w14:paraId="332C0D67" w14:textId="77777777" w:rsidTr="001A1B63">
        <w:trPr>
          <w:trHeight w:val="290"/>
          <w:jc w:val="center"/>
        </w:trPr>
        <w:tc>
          <w:tcPr>
            <w:cnfStyle w:val="001000000000" w:firstRow="0" w:lastRow="0" w:firstColumn="1" w:lastColumn="0" w:oddVBand="0" w:evenVBand="0" w:oddHBand="0" w:evenHBand="0" w:firstRowFirstColumn="0" w:firstRowLastColumn="0" w:lastRowFirstColumn="0" w:lastRowLastColumn="0"/>
            <w:tcW w:w="5671" w:type="dxa"/>
            <w:noWrap/>
            <w:hideMark/>
          </w:tcPr>
          <w:p w14:paraId="289C998F" w14:textId="77777777" w:rsidR="005E055C" w:rsidRPr="006B7DF9" w:rsidRDefault="005E055C" w:rsidP="001A1B63">
            <w:pPr>
              <w:pStyle w:val="Tabletextleft"/>
            </w:pPr>
            <w:r w:rsidRPr="006B7DF9">
              <w:t>Virtual reality</w:t>
            </w:r>
          </w:p>
        </w:tc>
        <w:tc>
          <w:tcPr>
            <w:tcW w:w="2262" w:type="dxa"/>
            <w:noWrap/>
            <w:hideMark/>
          </w:tcPr>
          <w:p w14:paraId="1ABBD6CC" w14:textId="77777777" w:rsidR="005E055C" w:rsidRPr="003724CE" w:rsidRDefault="005E055C" w:rsidP="001A1B63">
            <w:pPr>
              <w:pStyle w:val="Tabletextcentered"/>
              <w:cnfStyle w:val="000000000000" w:firstRow="0" w:lastRow="0" w:firstColumn="0" w:lastColumn="0" w:oddVBand="0" w:evenVBand="0" w:oddHBand="0" w:evenHBand="0" w:firstRowFirstColumn="0" w:firstRowLastColumn="0" w:lastRowFirstColumn="0" w:lastRowLastColumn="0"/>
            </w:pPr>
            <w:r w:rsidRPr="003724CE">
              <w:t>2,248</w:t>
            </w:r>
          </w:p>
        </w:tc>
      </w:tr>
      <w:tr w:rsidR="005E055C" w:rsidRPr="003724CE" w14:paraId="65858817" w14:textId="77777777" w:rsidTr="001A1B6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5671" w:type="dxa"/>
            <w:noWrap/>
            <w:hideMark/>
          </w:tcPr>
          <w:p w14:paraId="3C0AF239" w14:textId="77777777" w:rsidR="005E055C" w:rsidRPr="006B7DF9" w:rsidRDefault="005E055C" w:rsidP="001A1B63">
            <w:pPr>
              <w:pStyle w:val="Tabletextleft"/>
            </w:pPr>
            <w:r w:rsidRPr="006B7DF9">
              <w:t>Touch screen</w:t>
            </w:r>
          </w:p>
        </w:tc>
        <w:tc>
          <w:tcPr>
            <w:tcW w:w="2262" w:type="dxa"/>
            <w:noWrap/>
            <w:hideMark/>
          </w:tcPr>
          <w:p w14:paraId="0AFB4B54" w14:textId="77777777" w:rsidR="005E055C" w:rsidRPr="003724CE" w:rsidRDefault="005E055C" w:rsidP="001A1B63">
            <w:pPr>
              <w:pStyle w:val="Tabletextcentered"/>
              <w:cnfStyle w:val="000000100000" w:firstRow="0" w:lastRow="0" w:firstColumn="0" w:lastColumn="0" w:oddVBand="0" w:evenVBand="0" w:oddHBand="1" w:evenHBand="0" w:firstRowFirstColumn="0" w:firstRowLastColumn="0" w:lastRowFirstColumn="0" w:lastRowLastColumn="0"/>
            </w:pPr>
            <w:r w:rsidRPr="003724CE">
              <w:t>2,063</w:t>
            </w:r>
          </w:p>
        </w:tc>
      </w:tr>
      <w:tr w:rsidR="005E055C" w:rsidRPr="003724CE" w14:paraId="4E959621" w14:textId="77777777" w:rsidTr="001A1B63">
        <w:trPr>
          <w:trHeight w:val="290"/>
          <w:jc w:val="center"/>
        </w:trPr>
        <w:tc>
          <w:tcPr>
            <w:cnfStyle w:val="001000000000" w:firstRow="0" w:lastRow="0" w:firstColumn="1" w:lastColumn="0" w:oddVBand="0" w:evenVBand="0" w:oddHBand="0" w:evenHBand="0" w:firstRowFirstColumn="0" w:firstRowLastColumn="0" w:lastRowFirstColumn="0" w:lastRowLastColumn="0"/>
            <w:tcW w:w="5671" w:type="dxa"/>
            <w:noWrap/>
            <w:hideMark/>
          </w:tcPr>
          <w:p w14:paraId="4EC2CB7F" w14:textId="77777777" w:rsidR="005E055C" w:rsidRPr="006B7DF9" w:rsidRDefault="005E055C" w:rsidP="001A1B63">
            <w:pPr>
              <w:pStyle w:val="Tabletextleft"/>
            </w:pPr>
            <w:r w:rsidRPr="006B7DF9">
              <w:t>Hybrid vehicle/electric car</w:t>
            </w:r>
          </w:p>
        </w:tc>
        <w:tc>
          <w:tcPr>
            <w:tcW w:w="2262" w:type="dxa"/>
            <w:noWrap/>
            <w:hideMark/>
          </w:tcPr>
          <w:p w14:paraId="2205AB9E" w14:textId="77777777" w:rsidR="005E055C" w:rsidRPr="003724CE" w:rsidRDefault="005E055C" w:rsidP="001A1B63">
            <w:pPr>
              <w:pStyle w:val="Tabletextcentered"/>
              <w:cnfStyle w:val="000000000000" w:firstRow="0" w:lastRow="0" w:firstColumn="0" w:lastColumn="0" w:oddVBand="0" w:evenVBand="0" w:oddHBand="0" w:evenHBand="0" w:firstRowFirstColumn="0" w:firstRowLastColumn="0" w:lastRowFirstColumn="0" w:lastRowLastColumn="0"/>
            </w:pPr>
            <w:r w:rsidRPr="003724CE">
              <w:t>1,868</w:t>
            </w:r>
          </w:p>
        </w:tc>
      </w:tr>
      <w:tr w:rsidR="005E055C" w:rsidRPr="003724CE" w14:paraId="6428C732" w14:textId="77777777" w:rsidTr="001A1B6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5671" w:type="dxa"/>
            <w:noWrap/>
            <w:hideMark/>
          </w:tcPr>
          <w:p w14:paraId="5BAD3FA3" w14:textId="77777777" w:rsidR="005E055C" w:rsidRPr="006B7DF9" w:rsidRDefault="005E055C" w:rsidP="001A1B63">
            <w:pPr>
              <w:pStyle w:val="Tabletextleft"/>
            </w:pPr>
            <w:r w:rsidRPr="006B7DF9">
              <w:t>3d printing</w:t>
            </w:r>
          </w:p>
        </w:tc>
        <w:tc>
          <w:tcPr>
            <w:tcW w:w="2262" w:type="dxa"/>
            <w:noWrap/>
            <w:hideMark/>
          </w:tcPr>
          <w:p w14:paraId="206F2D47" w14:textId="77777777" w:rsidR="005E055C" w:rsidRPr="003724CE" w:rsidRDefault="005E055C" w:rsidP="001A1B63">
            <w:pPr>
              <w:pStyle w:val="Tabletextcentered"/>
              <w:cnfStyle w:val="000000100000" w:firstRow="0" w:lastRow="0" w:firstColumn="0" w:lastColumn="0" w:oddVBand="0" w:evenVBand="0" w:oddHBand="1" w:evenHBand="0" w:firstRowFirstColumn="0" w:firstRowLastColumn="0" w:lastRowFirstColumn="0" w:lastRowLastColumn="0"/>
            </w:pPr>
            <w:r w:rsidRPr="003724CE">
              <w:t>1,800</w:t>
            </w:r>
          </w:p>
        </w:tc>
      </w:tr>
      <w:tr w:rsidR="005E055C" w:rsidRPr="003724CE" w14:paraId="0AC572FF" w14:textId="77777777" w:rsidTr="001A1B63">
        <w:trPr>
          <w:trHeight w:val="290"/>
          <w:jc w:val="center"/>
        </w:trPr>
        <w:tc>
          <w:tcPr>
            <w:cnfStyle w:val="001000000000" w:firstRow="0" w:lastRow="0" w:firstColumn="1" w:lastColumn="0" w:oddVBand="0" w:evenVBand="0" w:oddHBand="0" w:evenHBand="0" w:firstRowFirstColumn="0" w:firstRowLastColumn="0" w:lastRowFirstColumn="0" w:lastRowLastColumn="0"/>
            <w:tcW w:w="5671" w:type="dxa"/>
            <w:noWrap/>
            <w:hideMark/>
          </w:tcPr>
          <w:p w14:paraId="0B6EB12B" w14:textId="77777777" w:rsidR="005E055C" w:rsidRPr="006B7DF9" w:rsidRDefault="005E055C" w:rsidP="001A1B63">
            <w:pPr>
              <w:pStyle w:val="Tabletextleft"/>
            </w:pPr>
            <w:r w:rsidRPr="006B7DF9">
              <w:t>Autonomous cars</w:t>
            </w:r>
          </w:p>
        </w:tc>
        <w:tc>
          <w:tcPr>
            <w:tcW w:w="2262" w:type="dxa"/>
            <w:noWrap/>
            <w:hideMark/>
          </w:tcPr>
          <w:p w14:paraId="308F7698" w14:textId="77777777" w:rsidR="005E055C" w:rsidRPr="003724CE" w:rsidRDefault="005E055C" w:rsidP="001A1B63">
            <w:pPr>
              <w:pStyle w:val="Tabletextcentered"/>
              <w:cnfStyle w:val="000000000000" w:firstRow="0" w:lastRow="0" w:firstColumn="0" w:lastColumn="0" w:oddVBand="0" w:evenVBand="0" w:oddHBand="0" w:evenHBand="0" w:firstRowFirstColumn="0" w:firstRowLastColumn="0" w:lastRowFirstColumn="0" w:lastRowLastColumn="0"/>
            </w:pPr>
            <w:r w:rsidRPr="003724CE">
              <w:t>1,492</w:t>
            </w:r>
          </w:p>
        </w:tc>
      </w:tr>
      <w:tr w:rsidR="005E055C" w:rsidRPr="003724CE" w14:paraId="31AAFE40" w14:textId="77777777" w:rsidTr="001A1B6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5671" w:type="dxa"/>
            <w:noWrap/>
            <w:hideMark/>
          </w:tcPr>
          <w:p w14:paraId="53D968F1" w14:textId="77777777" w:rsidR="005E055C" w:rsidRPr="006B7DF9" w:rsidRDefault="005E055C" w:rsidP="001A1B63">
            <w:pPr>
              <w:pStyle w:val="Tabletextleft"/>
            </w:pPr>
            <w:r w:rsidRPr="006B7DF9">
              <w:t>Computer vision</w:t>
            </w:r>
          </w:p>
        </w:tc>
        <w:tc>
          <w:tcPr>
            <w:tcW w:w="2262" w:type="dxa"/>
            <w:noWrap/>
            <w:hideMark/>
          </w:tcPr>
          <w:p w14:paraId="569BCA41" w14:textId="77777777" w:rsidR="005E055C" w:rsidRPr="003724CE" w:rsidRDefault="005E055C" w:rsidP="001A1B63">
            <w:pPr>
              <w:pStyle w:val="Tabletextcentered"/>
              <w:cnfStyle w:val="000000100000" w:firstRow="0" w:lastRow="0" w:firstColumn="0" w:lastColumn="0" w:oddVBand="0" w:evenVBand="0" w:oddHBand="1" w:evenHBand="0" w:firstRowFirstColumn="0" w:firstRowLastColumn="0" w:lastRowFirstColumn="0" w:lastRowLastColumn="0"/>
            </w:pPr>
            <w:r w:rsidRPr="003724CE">
              <w:t>1,380</w:t>
            </w:r>
          </w:p>
        </w:tc>
      </w:tr>
      <w:tr w:rsidR="005E055C" w:rsidRPr="003724CE" w14:paraId="3F16C7D8" w14:textId="77777777" w:rsidTr="001A1B63">
        <w:trPr>
          <w:trHeight w:val="290"/>
          <w:jc w:val="center"/>
        </w:trPr>
        <w:tc>
          <w:tcPr>
            <w:cnfStyle w:val="001000000000" w:firstRow="0" w:lastRow="0" w:firstColumn="1" w:lastColumn="0" w:oddVBand="0" w:evenVBand="0" w:oddHBand="0" w:evenHBand="0" w:firstRowFirstColumn="0" w:firstRowLastColumn="0" w:lastRowFirstColumn="0" w:lastRowLastColumn="0"/>
            <w:tcW w:w="5671" w:type="dxa"/>
            <w:noWrap/>
            <w:hideMark/>
          </w:tcPr>
          <w:p w14:paraId="07E8A08A" w14:textId="77777777" w:rsidR="005E055C" w:rsidRPr="006B7DF9" w:rsidRDefault="005E055C" w:rsidP="001A1B63">
            <w:pPr>
              <w:pStyle w:val="Tabletextleft"/>
            </w:pPr>
            <w:r w:rsidRPr="006B7DF9">
              <w:t>RFID tags</w:t>
            </w:r>
          </w:p>
        </w:tc>
        <w:tc>
          <w:tcPr>
            <w:tcW w:w="2262" w:type="dxa"/>
            <w:noWrap/>
            <w:hideMark/>
          </w:tcPr>
          <w:p w14:paraId="026385F5" w14:textId="77777777" w:rsidR="005E055C" w:rsidRPr="003724CE" w:rsidRDefault="005E055C" w:rsidP="001A1B63">
            <w:pPr>
              <w:pStyle w:val="Tabletextcentered"/>
              <w:cnfStyle w:val="000000000000" w:firstRow="0" w:lastRow="0" w:firstColumn="0" w:lastColumn="0" w:oddVBand="0" w:evenVBand="0" w:oddHBand="0" w:evenHBand="0" w:firstRowFirstColumn="0" w:firstRowLastColumn="0" w:lastRowFirstColumn="0" w:lastRowLastColumn="0"/>
            </w:pPr>
            <w:r w:rsidRPr="003724CE">
              <w:t>887</w:t>
            </w:r>
          </w:p>
        </w:tc>
      </w:tr>
      <w:tr w:rsidR="005E055C" w:rsidRPr="003724CE" w14:paraId="421A26C2" w14:textId="77777777" w:rsidTr="001A1B6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5671" w:type="dxa"/>
            <w:noWrap/>
            <w:hideMark/>
          </w:tcPr>
          <w:p w14:paraId="67FD7A04" w14:textId="77777777" w:rsidR="005E055C" w:rsidRPr="006B7DF9" w:rsidRDefault="005E055C" w:rsidP="001A1B63">
            <w:pPr>
              <w:pStyle w:val="Tabletextleft"/>
            </w:pPr>
            <w:r w:rsidRPr="006B7DF9">
              <w:t>Mobile payment</w:t>
            </w:r>
          </w:p>
        </w:tc>
        <w:tc>
          <w:tcPr>
            <w:tcW w:w="2262" w:type="dxa"/>
            <w:noWrap/>
            <w:hideMark/>
          </w:tcPr>
          <w:p w14:paraId="023EE66A" w14:textId="77777777" w:rsidR="005E055C" w:rsidRPr="003724CE" w:rsidRDefault="005E055C" w:rsidP="001A1B63">
            <w:pPr>
              <w:pStyle w:val="Tabletextcentered"/>
              <w:cnfStyle w:val="000000100000" w:firstRow="0" w:lastRow="0" w:firstColumn="0" w:lastColumn="0" w:oddVBand="0" w:evenVBand="0" w:oddHBand="1" w:evenHBand="0" w:firstRowFirstColumn="0" w:firstRowLastColumn="0" w:lastRowFirstColumn="0" w:lastRowLastColumn="0"/>
            </w:pPr>
            <w:r w:rsidRPr="003724CE">
              <w:t>875</w:t>
            </w:r>
          </w:p>
        </w:tc>
      </w:tr>
      <w:tr w:rsidR="005E055C" w:rsidRPr="003724CE" w14:paraId="02FADF54" w14:textId="77777777" w:rsidTr="001A1B63">
        <w:trPr>
          <w:trHeight w:val="290"/>
          <w:jc w:val="center"/>
        </w:trPr>
        <w:tc>
          <w:tcPr>
            <w:cnfStyle w:val="001000000000" w:firstRow="0" w:lastRow="0" w:firstColumn="1" w:lastColumn="0" w:oddVBand="0" w:evenVBand="0" w:oddHBand="0" w:evenHBand="0" w:firstRowFirstColumn="0" w:firstRowLastColumn="0" w:lastRowFirstColumn="0" w:lastRowLastColumn="0"/>
            <w:tcW w:w="5671" w:type="dxa"/>
            <w:noWrap/>
            <w:hideMark/>
          </w:tcPr>
          <w:p w14:paraId="004DA771" w14:textId="77777777" w:rsidR="005E055C" w:rsidRPr="006B7DF9" w:rsidRDefault="005E055C" w:rsidP="001A1B63">
            <w:pPr>
              <w:pStyle w:val="Tabletextleft"/>
            </w:pPr>
            <w:r w:rsidRPr="006B7DF9">
              <w:t>Lithium battery</w:t>
            </w:r>
          </w:p>
        </w:tc>
        <w:tc>
          <w:tcPr>
            <w:tcW w:w="2262" w:type="dxa"/>
            <w:noWrap/>
            <w:hideMark/>
          </w:tcPr>
          <w:p w14:paraId="3E1D3EB1" w14:textId="77777777" w:rsidR="005E055C" w:rsidRPr="003724CE" w:rsidRDefault="005E055C" w:rsidP="001A1B63">
            <w:pPr>
              <w:pStyle w:val="Tabletextcentered"/>
              <w:cnfStyle w:val="000000000000" w:firstRow="0" w:lastRow="0" w:firstColumn="0" w:lastColumn="0" w:oddVBand="0" w:evenVBand="0" w:oddHBand="0" w:evenHBand="0" w:firstRowFirstColumn="0" w:firstRowLastColumn="0" w:lastRowFirstColumn="0" w:lastRowLastColumn="0"/>
            </w:pPr>
            <w:r w:rsidRPr="003724CE">
              <w:t>607</w:t>
            </w:r>
          </w:p>
        </w:tc>
      </w:tr>
      <w:tr w:rsidR="005E055C" w:rsidRPr="003724CE" w14:paraId="513AD9F0" w14:textId="77777777" w:rsidTr="001A1B6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5671" w:type="dxa"/>
            <w:noWrap/>
            <w:hideMark/>
          </w:tcPr>
          <w:p w14:paraId="6D563EE7" w14:textId="77777777" w:rsidR="005E055C" w:rsidRPr="006B7DF9" w:rsidRDefault="005E055C" w:rsidP="001A1B63">
            <w:pPr>
              <w:pStyle w:val="Tabletextleft"/>
            </w:pPr>
            <w:r w:rsidRPr="006B7DF9">
              <w:t xml:space="preserve">Fracking </w:t>
            </w:r>
          </w:p>
        </w:tc>
        <w:tc>
          <w:tcPr>
            <w:tcW w:w="2262" w:type="dxa"/>
            <w:noWrap/>
            <w:hideMark/>
          </w:tcPr>
          <w:p w14:paraId="20B81643" w14:textId="77777777" w:rsidR="005E055C" w:rsidRPr="003724CE" w:rsidRDefault="005E055C" w:rsidP="001A1B63">
            <w:pPr>
              <w:pStyle w:val="Tabletextcentered"/>
              <w:cnfStyle w:val="000000100000" w:firstRow="0" w:lastRow="0" w:firstColumn="0" w:lastColumn="0" w:oddVBand="0" w:evenVBand="0" w:oddHBand="1" w:evenHBand="0" w:firstRowFirstColumn="0" w:firstRowLastColumn="0" w:lastRowFirstColumn="0" w:lastRowLastColumn="0"/>
            </w:pPr>
            <w:r w:rsidRPr="003724CE">
              <w:t>241</w:t>
            </w:r>
          </w:p>
        </w:tc>
      </w:tr>
      <w:tr w:rsidR="005E055C" w:rsidRPr="003724CE" w14:paraId="16272032" w14:textId="77777777" w:rsidTr="001A1B63">
        <w:trPr>
          <w:trHeight w:val="290"/>
          <w:jc w:val="center"/>
        </w:trPr>
        <w:tc>
          <w:tcPr>
            <w:cnfStyle w:val="001000000000" w:firstRow="0" w:lastRow="0" w:firstColumn="1" w:lastColumn="0" w:oddVBand="0" w:evenVBand="0" w:oddHBand="0" w:evenHBand="0" w:firstRowFirstColumn="0" w:firstRowLastColumn="0" w:lastRowFirstColumn="0" w:lastRowLastColumn="0"/>
            <w:tcW w:w="5671" w:type="dxa"/>
            <w:noWrap/>
            <w:hideMark/>
          </w:tcPr>
          <w:p w14:paraId="59C79E9B" w14:textId="77777777" w:rsidR="005E055C" w:rsidRPr="006B7DF9" w:rsidRDefault="005E055C" w:rsidP="001A1B63">
            <w:pPr>
              <w:pStyle w:val="Tabletextleft"/>
            </w:pPr>
            <w:r w:rsidRPr="006B7DF9">
              <w:t>Software defined radio</w:t>
            </w:r>
          </w:p>
        </w:tc>
        <w:tc>
          <w:tcPr>
            <w:tcW w:w="2262" w:type="dxa"/>
            <w:noWrap/>
            <w:hideMark/>
          </w:tcPr>
          <w:p w14:paraId="5A1C9904" w14:textId="77777777" w:rsidR="005E055C" w:rsidRPr="003724CE" w:rsidRDefault="005E055C" w:rsidP="001A1B63">
            <w:pPr>
              <w:pStyle w:val="Tabletextcentered"/>
              <w:cnfStyle w:val="000000000000" w:firstRow="0" w:lastRow="0" w:firstColumn="0" w:lastColumn="0" w:oddVBand="0" w:evenVBand="0" w:oddHBand="0" w:evenHBand="0" w:firstRowFirstColumn="0" w:firstRowLastColumn="0" w:lastRowFirstColumn="0" w:lastRowLastColumn="0"/>
            </w:pPr>
            <w:r w:rsidRPr="003724CE">
              <w:t>109</w:t>
            </w:r>
          </w:p>
        </w:tc>
      </w:tr>
      <w:tr w:rsidR="005E055C" w:rsidRPr="003724CE" w14:paraId="3953EDC0" w14:textId="77777777" w:rsidTr="001A1B6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5671" w:type="dxa"/>
            <w:noWrap/>
            <w:hideMark/>
          </w:tcPr>
          <w:p w14:paraId="760AEDA9" w14:textId="77777777" w:rsidR="005E055C" w:rsidRPr="006B7DF9" w:rsidRDefault="005E055C" w:rsidP="001A1B63">
            <w:pPr>
              <w:pStyle w:val="Tabletextleft"/>
            </w:pPr>
            <w:r w:rsidRPr="006B7DF9">
              <w:t>Drug conjugates</w:t>
            </w:r>
          </w:p>
        </w:tc>
        <w:tc>
          <w:tcPr>
            <w:tcW w:w="2262" w:type="dxa"/>
            <w:noWrap/>
            <w:hideMark/>
          </w:tcPr>
          <w:p w14:paraId="1C4C61E2" w14:textId="77777777" w:rsidR="005E055C" w:rsidRPr="003724CE" w:rsidRDefault="005E055C" w:rsidP="001A1B63">
            <w:pPr>
              <w:pStyle w:val="Tabletextcentered"/>
              <w:cnfStyle w:val="000000100000" w:firstRow="0" w:lastRow="0" w:firstColumn="0" w:lastColumn="0" w:oddVBand="0" w:evenVBand="0" w:oddHBand="1" w:evenHBand="0" w:firstRowFirstColumn="0" w:firstRowLastColumn="0" w:lastRowFirstColumn="0" w:lastRowLastColumn="0"/>
            </w:pPr>
            <w:r w:rsidRPr="003724CE">
              <w:t>38</w:t>
            </w:r>
          </w:p>
        </w:tc>
      </w:tr>
      <w:tr w:rsidR="005E055C" w:rsidRPr="003724CE" w14:paraId="7E3238D7" w14:textId="77777777" w:rsidTr="001A1B63">
        <w:trPr>
          <w:trHeight w:val="290"/>
          <w:jc w:val="center"/>
        </w:trPr>
        <w:tc>
          <w:tcPr>
            <w:cnfStyle w:val="001000000000" w:firstRow="0" w:lastRow="0" w:firstColumn="1" w:lastColumn="0" w:oddVBand="0" w:evenVBand="0" w:oddHBand="0" w:evenHBand="0" w:firstRowFirstColumn="0" w:firstRowLastColumn="0" w:lastRowFirstColumn="0" w:lastRowLastColumn="0"/>
            <w:tcW w:w="5671" w:type="dxa"/>
            <w:noWrap/>
            <w:hideMark/>
          </w:tcPr>
          <w:p w14:paraId="63D49FA3" w14:textId="77777777" w:rsidR="005E055C" w:rsidRPr="006B7DF9" w:rsidRDefault="005E055C" w:rsidP="001A1B63">
            <w:pPr>
              <w:pStyle w:val="Tabletextleft"/>
            </w:pPr>
            <w:r w:rsidRPr="006B7DF9">
              <w:t>Stent graft</w:t>
            </w:r>
          </w:p>
        </w:tc>
        <w:tc>
          <w:tcPr>
            <w:tcW w:w="2262" w:type="dxa"/>
            <w:noWrap/>
            <w:hideMark/>
          </w:tcPr>
          <w:p w14:paraId="6EFD1597" w14:textId="77777777" w:rsidR="005E055C" w:rsidRPr="003724CE" w:rsidRDefault="005E055C" w:rsidP="001A1B63">
            <w:pPr>
              <w:pStyle w:val="Tabletextcentered"/>
              <w:cnfStyle w:val="000000000000" w:firstRow="0" w:lastRow="0" w:firstColumn="0" w:lastColumn="0" w:oddVBand="0" w:evenVBand="0" w:oddHBand="0" w:evenHBand="0" w:firstRowFirstColumn="0" w:firstRowLastColumn="0" w:lastRowFirstColumn="0" w:lastRowLastColumn="0"/>
            </w:pPr>
            <w:r w:rsidRPr="003724CE">
              <w:t>25</w:t>
            </w:r>
          </w:p>
        </w:tc>
      </w:tr>
      <w:tr w:rsidR="005E055C" w:rsidRPr="003724CE" w14:paraId="217994D3" w14:textId="77777777" w:rsidTr="001A1B6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5671" w:type="dxa"/>
            <w:noWrap/>
            <w:hideMark/>
          </w:tcPr>
          <w:p w14:paraId="67BB7B07" w14:textId="517CDE75" w:rsidR="005E055C" w:rsidRPr="006B7DF9" w:rsidRDefault="005E055C" w:rsidP="001A1B63">
            <w:pPr>
              <w:pStyle w:val="Tabletextleft"/>
            </w:pPr>
            <w:proofErr w:type="spellStart"/>
            <w:r w:rsidRPr="006B7DF9">
              <w:t>Millimeter</w:t>
            </w:r>
            <w:proofErr w:type="spellEnd"/>
            <w:r w:rsidRPr="006B7DF9">
              <w:t xml:space="preserve"> wave</w:t>
            </w:r>
          </w:p>
        </w:tc>
        <w:tc>
          <w:tcPr>
            <w:tcW w:w="2262" w:type="dxa"/>
            <w:noWrap/>
            <w:hideMark/>
          </w:tcPr>
          <w:p w14:paraId="1E6B9D2D" w14:textId="77777777" w:rsidR="005E055C" w:rsidRPr="003724CE" w:rsidRDefault="005E055C" w:rsidP="001A1B63">
            <w:pPr>
              <w:pStyle w:val="Tabletextcentered"/>
              <w:cnfStyle w:val="000000100000" w:firstRow="0" w:lastRow="0" w:firstColumn="0" w:lastColumn="0" w:oddVBand="0" w:evenVBand="0" w:oddHBand="1" w:evenHBand="0" w:firstRowFirstColumn="0" w:firstRowLastColumn="0" w:lastRowFirstColumn="0" w:lastRowLastColumn="0"/>
            </w:pPr>
            <w:r w:rsidRPr="003724CE">
              <w:t>20</w:t>
            </w:r>
          </w:p>
        </w:tc>
      </w:tr>
      <w:tr w:rsidR="005E055C" w:rsidRPr="003724CE" w14:paraId="7DDB3014" w14:textId="77777777" w:rsidTr="001A1B63">
        <w:trPr>
          <w:trHeight w:val="290"/>
          <w:jc w:val="center"/>
        </w:trPr>
        <w:tc>
          <w:tcPr>
            <w:cnfStyle w:val="001000000000" w:firstRow="0" w:lastRow="0" w:firstColumn="1" w:lastColumn="0" w:oddVBand="0" w:evenVBand="0" w:oddHBand="0" w:evenHBand="0" w:firstRowFirstColumn="0" w:firstRowLastColumn="0" w:lastRowFirstColumn="0" w:lastRowLastColumn="0"/>
            <w:tcW w:w="5671" w:type="dxa"/>
            <w:noWrap/>
            <w:hideMark/>
          </w:tcPr>
          <w:p w14:paraId="504F3573" w14:textId="77777777" w:rsidR="005E055C" w:rsidRPr="006B7DF9" w:rsidRDefault="005E055C" w:rsidP="001A1B63">
            <w:pPr>
              <w:pStyle w:val="Tabletextleft"/>
            </w:pPr>
            <w:r w:rsidRPr="006B7DF9">
              <w:t>Wireless charging</w:t>
            </w:r>
          </w:p>
        </w:tc>
        <w:tc>
          <w:tcPr>
            <w:tcW w:w="2262" w:type="dxa"/>
            <w:noWrap/>
            <w:hideMark/>
          </w:tcPr>
          <w:p w14:paraId="09C24B9B" w14:textId="77777777" w:rsidR="005E055C" w:rsidRPr="003724CE" w:rsidRDefault="005E055C" w:rsidP="001A1B63">
            <w:pPr>
              <w:pStyle w:val="Tabletextcentered"/>
              <w:cnfStyle w:val="000000000000" w:firstRow="0" w:lastRow="0" w:firstColumn="0" w:lastColumn="0" w:oddVBand="0" w:evenVBand="0" w:oddHBand="0" w:evenHBand="0" w:firstRowFirstColumn="0" w:firstRowLastColumn="0" w:lastRowFirstColumn="0" w:lastRowLastColumn="0"/>
            </w:pPr>
            <w:r w:rsidRPr="003724CE">
              <w:t>16</w:t>
            </w:r>
          </w:p>
        </w:tc>
      </w:tr>
      <w:tr w:rsidR="005E055C" w:rsidRPr="003724CE" w14:paraId="6D40AC30" w14:textId="77777777" w:rsidTr="001A1B6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5671" w:type="dxa"/>
            <w:noWrap/>
            <w:hideMark/>
          </w:tcPr>
          <w:p w14:paraId="5CD06700" w14:textId="77777777" w:rsidR="005E055C" w:rsidRPr="006B7DF9" w:rsidRDefault="005E055C" w:rsidP="001A1B63">
            <w:pPr>
              <w:pStyle w:val="Tabletextleft"/>
            </w:pPr>
            <w:r w:rsidRPr="006B7DF9">
              <w:t>Fingerprint sensor</w:t>
            </w:r>
          </w:p>
        </w:tc>
        <w:tc>
          <w:tcPr>
            <w:tcW w:w="2262" w:type="dxa"/>
            <w:noWrap/>
            <w:hideMark/>
          </w:tcPr>
          <w:p w14:paraId="420C4F08" w14:textId="77777777" w:rsidR="005E055C" w:rsidRPr="003724CE" w:rsidRDefault="005E055C" w:rsidP="001A1B63">
            <w:pPr>
              <w:pStyle w:val="Tabletextcentered"/>
              <w:cnfStyle w:val="000000100000" w:firstRow="0" w:lastRow="0" w:firstColumn="0" w:lastColumn="0" w:oddVBand="0" w:evenVBand="0" w:oddHBand="1" w:evenHBand="0" w:firstRowFirstColumn="0" w:firstRowLastColumn="0" w:lastRowFirstColumn="0" w:lastRowLastColumn="0"/>
            </w:pPr>
            <w:r w:rsidRPr="003724CE">
              <w:t>6</w:t>
            </w:r>
          </w:p>
        </w:tc>
      </w:tr>
      <w:tr w:rsidR="005E055C" w:rsidRPr="003724CE" w14:paraId="2FE04D48" w14:textId="77777777" w:rsidTr="001A1B63">
        <w:trPr>
          <w:trHeight w:val="290"/>
          <w:jc w:val="center"/>
        </w:trPr>
        <w:tc>
          <w:tcPr>
            <w:cnfStyle w:val="001000000000" w:firstRow="0" w:lastRow="0" w:firstColumn="1" w:lastColumn="0" w:oddVBand="0" w:evenVBand="0" w:oddHBand="0" w:evenHBand="0" w:firstRowFirstColumn="0" w:firstRowLastColumn="0" w:lastRowFirstColumn="0" w:lastRowLastColumn="0"/>
            <w:tcW w:w="5671" w:type="dxa"/>
            <w:noWrap/>
            <w:hideMark/>
          </w:tcPr>
          <w:p w14:paraId="651A95D0" w14:textId="77777777" w:rsidR="005E055C" w:rsidRPr="006B7DF9" w:rsidRDefault="005E055C" w:rsidP="001A1B63">
            <w:pPr>
              <w:pStyle w:val="Tabletextleft"/>
            </w:pPr>
            <w:r w:rsidRPr="006B7DF9">
              <w:t>Bispecific monoclonal antibody</w:t>
            </w:r>
          </w:p>
        </w:tc>
        <w:tc>
          <w:tcPr>
            <w:tcW w:w="2262" w:type="dxa"/>
            <w:noWrap/>
            <w:hideMark/>
          </w:tcPr>
          <w:p w14:paraId="47F22773" w14:textId="77777777" w:rsidR="005E055C" w:rsidRPr="003724CE" w:rsidRDefault="005E055C" w:rsidP="001A1B63">
            <w:pPr>
              <w:pStyle w:val="Tabletextcentered"/>
              <w:cnfStyle w:val="000000000000" w:firstRow="0" w:lastRow="0" w:firstColumn="0" w:lastColumn="0" w:oddVBand="0" w:evenVBand="0" w:oddHBand="0" w:evenHBand="0" w:firstRowFirstColumn="0" w:firstRowLastColumn="0" w:lastRowFirstColumn="0" w:lastRowLastColumn="0"/>
            </w:pPr>
            <w:r w:rsidRPr="003724CE">
              <w:t>0</w:t>
            </w:r>
          </w:p>
        </w:tc>
      </w:tr>
      <w:tr w:rsidR="005E055C" w:rsidRPr="003724CE" w14:paraId="4FA4E0F4" w14:textId="77777777" w:rsidTr="001A1B63">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5671" w:type="dxa"/>
            <w:noWrap/>
            <w:hideMark/>
          </w:tcPr>
          <w:p w14:paraId="4B018937" w14:textId="77777777" w:rsidR="005E055C" w:rsidRPr="006B7DF9" w:rsidRDefault="005E055C" w:rsidP="001A1B63">
            <w:pPr>
              <w:pStyle w:val="Tabletextleft"/>
            </w:pPr>
            <w:r w:rsidRPr="006B7DF9">
              <w:t>Lane departure warning</w:t>
            </w:r>
          </w:p>
        </w:tc>
        <w:tc>
          <w:tcPr>
            <w:tcW w:w="2262" w:type="dxa"/>
            <w:noWrap/>
            <w:hideMark/>
          </w:tcPr>
          <w:p w14:paraId="14F9D674" w14:textId="77777777" w:rsidR="005E055C" w:rsidRPr="003724CE" w:rsidRDefault="005E055C" w:rsidP="001A1B63">
            <w:pPr>
              <w:pStyle w:val="Tabletextcentered"/>
              <w:cnfStyle w:val="000000100000" w:firstRow="0" w:lastRow="0" w:firstColumn="0" w:lastColumn="0" w:oddVBand="0" w:evenVBand="0" w:oddHBand="1" w:evenHBand="0" w:firstRowFirstColumn="0" w:firstRowLastColumn="0" w:lastRowFirstColumn="0" w:lastRowLastColumn="0"/>
            </w:pPr>
            <w:r w:rsidRPr="003724CE">
              <w:t>0</w:t>
            </w:r>
          </w:p>
        </w:tc>
      </w:tr>
    </w:tbl>
    <w:p w14:paraId="034975BA" w14:textId="7DE6891E" w:rsidR="00BF0CE3" w:rsidRPr="00BF0CE3" w:rsidRDefault="00BF0CE3" w:rsidP="00493506">
      <w:pPr>
        <w:pStyle w:val="Chartsource"/>
      </w:pPr>
      <w:r w:rsidRPr="00BF0CE3">
        <w:t>Notes: Count of jobs postings will not necessarily equal the count of new hires. Each technology is identified by a list of related keywords. For example, Machine Learning/Artificial Intelligence jobs can refer to any of the following keyword pairs: neural network; deep learning; language processing; machine learning; machine intelligence; natural language; artificial intelligence; ai technology; supervised learning; learning algorithms; unsupervised learning; reinforcement learning; ai machine. For a full list of keywords for each technology, see Appendix in Bloom et al</w:t>
      </w:r>
      <w:r w:rsidR="0062320B">
        <w:t>.</w:t>
      </w:r>
      <w:r w:rsidRPr="00BF0CE3">
        <w:t xml:space="preserve"> (2021). </w:t>
      </w:r>
    </w:p>
    <w:p w14:paraId="3436256E" w14:textId="0018DF23" w:rsidR="00BF0CE3" w:rsidRDefault="00BF0CE3" w:rsidP="00493506">
      <w:pPr>
        <w:pStyle w:val="Chartsource"/>
      </w:pPr>
      <w:r w:rsidRPr="00BF0CE3">
        <w:t xml:space="preserve">Source: Treasury analysis of </w:t>
      </w:r>
      <w:proofErr w:type="spellStart"/>
      <w:r w:rsidRPr="00BF0CE3">
        <w:t>Lightcast</w:t>
      </w:r>
      <w:proofErr w:type="spellEnd"/>
      <w:r w:rsidRPr="00BF0CE3">
        <w:t xml:space="preserve"> data for Australia (2012</w:t>
      </w:r>
      <w:r w:rsidR="002B75D0">
        <w:noBreakHyphen/>
      </w:r>
      <w:r w:rsidRPr="00BF0CE3">
        <w:t>2020).</w:t>
      </w:r>
    </w:p>
    <w:p w14:paraId="2F610CFF" w14:textId="0DF87103" w:rsidR="00E80FD6" w:rsidRDefault="00E80FD6" w:rsidP="00DD07B2">
      <w:pPr>
        <w:pStyle w:val="Reporttitle"/>
        <w:sectPr w:rsidR="00E80FD6" w:rsidSect="00DD07B2">
          <w:footnotePr>
            <w:numRestart w:val="eachSect"/>
          </w:footnotePr>
          <w:type w:val="continuous"/>
          <w:pgSz w:w="11906" w:h="16838" w:code="9"/>
          <w:pgMar w:top="1843" w:right="1418" w:bottom="1418" w:left="1418" w:header="567" w:footer="249" w:gutter="0"/>
          <w:cols w:space="340"/>
          <w:docGrid w:linePitch="360"/>
        </w:sectPr>
      </w:pPr>
    </w:p>
    <w:p w14:paraId="18ABD847" w14:textId="07AE6E86" w:rsidR="002D40F0" w:rsidRPr="000E2E34" w:rsidRDefault="00F5093E" w:rsidP="002753DE">
      <w:pPr>
        <w:pStyle w:val="Reporttitle"/>
      </w:pPr>
      <w:bookmarkStart w:id="10" w:name="_Toc115880555"/>
      <w:r>
        <w:lastRenderedPageBreak/>
        <w:t>W</w:t>
      </w:r>
      <w:r w:rsidRPr="00F5093E">
        <w:t xml:space="preserve">hy the real wages of graduates with bachelor’s degrees </w:t>
      </w:r>
      <w:r w:rsidR="00D77C4E">
        <w:t xml:space="preserve">have </w:t>
      </w:r>
      <w:r w:rsidRPr="00F5093E">
        <w:t>fallen</w:t>
      </w:r>
      <w:bookmarkEnd w:id="1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498"/>
      </w:tblGrid>
      <w:tr w:rsidR="002D40F0" w14:paraId="4E39A33D" w14:textId="77777777" w:rsidTr="00D201B6">
        <w:tc>
          <w:tcPr>
            <w:tcW w:w="8498" w:type="dxa"/>
            <w:shd w:val="clear" w:color="auto" w:fill="auto"/>
          </w:tcPr>
          <w:p w14:paraId="1394CAED" w14:textId="7A9193DC" w:rsidR="002D40F0" w:rsidRPr="000E2E34" w:rsidRDefault="002D40F0" w:rsidP="00D201B6">
            <w:pPr>
              <w:pStyle w:val="Authornameunderlined"/>
            </w:pPr>
            <w:r w:rsidRPr="000E2E34">
              <w:t xml:space="preserve">Prepared by </w:t>
            </w:r>
            <w:r>
              <w:t>Patrick Hartigan and Jonathan Hambur</w:t>
            </w:r>
            <w:r w:rsidR="004B3608">
              <w:rPr>
                <w:rStyle w:val="FootnoteReference"/>
              </w:rPr>
              <w:footnoteReference w:customMarkFollows="1" w:id="17"/>
              <w:t>*</w:t>
            </w:r>
          </w:p>
        </w:tc>
      </w:tr>
      <w:tr w:rsidR="002D40F0" w14:paraId="4C980430" w14:textId="77777777" w:rsidTr="00D201B6">
        <w:trPr>
          <w:trHeight w:val="170"/>
        </w:trPr>
        <w:tc>
          <w:tcPr>
            <w:tcW w:w="8498" w:type="dxa"/>
            <w:shd w:val="clear" w:color="auto" w:fill="auto"/>
          </w:tcPr>
          <w:p w14:paraId="14383D65" w14:textId="77777777" w:rsidR="002D40F0" w:rsidRPr="000520F1" w:rsidRDefault="002D40F0" w:rsidP="001D29EB">
            <w:pPr>
              <w:spacing w:before="0" w:after="0" w:line="276" w:lineRule="auto"/>
            </w:pPr>
          </w:p>
        </w:tc>
      </w:tr>
    </w:tbl>
    <w:tbl>
      <w:tblPr>
        <w:tblpPr w:leftFromText="181" w:rightFromText="181" w:vertAnchor="text" w:horzAnchor="margin" w:tblpY="143"/>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0"/>
      </w:tblGrid>
      <w:tr w:rsidR="002D40F0" w14:paraId="0F0E4B88" w14:textId="77777777" w:rsidTr="002236F2">
        <w:tc>
          <w:tcPr>
            <w:tcW w:w="5000" w:type="pct"/>
            <w:shd w:val="clear" w:color="auto" w:fill="FCEEE5" w:themeFill="accent6" w:themeFillTint="33"/>
          </w:tcPr>
          <w:p w14:paraId="45E8CD06" w14:textId="758101C3" w:rsidR="002D40F0" w:rsidRPr="00C96A1F" w:rsidRDefault="008434AC" w:rsidP="002753DE">
            <w:pPr>
              <w:pStyle w:val="Boxbullet"/>
              <w:numPr>
                <w:ilvl w:val="0"/>
                <w:numId w:val="0"/>
              </w:numPr>
              <w:rPr>
                <w:i/>
              </w:rPr>
            </w:pPr>
            <w:r>
              <w:rPr>
                <w:i/>
              </w:rPr>
              <w:t>The</w:t>
            </w:r>
            <w:r w:rsidR="00BE6565" w:rsidRPr="00C96A1F">
              <w:rPr>
                <w:i/>
              </w:rPr>
              <w:t xml:space="preserve"> real average wages </w:t>
            </w:r>
            <w:r>
              <w:rPr>
                <w:i/>
              </w:rPr>
              <w:t>of graduates with bachelor’s degrees have fallen</w:t>
            </w:r>
            <w:r w:rsidRPr="00C96A1F">
              <w:rPr>
                <w:i/>
              </w:rPr>
              <w:t xml:space="preserve"> </w:t>
            </w:r>
            <w:r w:rsidR="00BE6565" w:rsidRPr="00C96A1F">
              <w:rPr>
                <w:i/>
              </w:rPr>
              <w:t xml:space="preserve">over the 2010s. This period also coincided with the </w:t>
            </w:r>
            <w:r w:rsidR="006645C0">
              <w:rPr>
                <w:i/>
              </w:rPr>
              <w:t>‘</w:t>
            </w:r>
            <w:r w:rsidR="00BE6565" w:rsidRPr="00C96A1F">
              <w:rPr>
                <w:i/>
              </w:rPr>
              <w:t>demand</w:t>
            </w:r>
            <w:r w:rsidR="002B75D0">
              <w:rPr>
                <w:i/>
              </w:rPr>
              <w:noBreakHyphen/>
            </w:r>
            <w:r w:rsidR="00BE6565" w:rsidRPr="00C96A1F">
              <w:rPr>
                <w:i/>
              </w:rPr>
              <w:t>driven</w:t>
            </w:r>
            <w:r w:rsidR="006645C0">
              <w:rPr>
                <w:i/>
              </w:rPr>
              <w:t>’</w:t>
            </w:r>
            <w:r w:rsidR="00BE6565" w:rsidRPr="00C96A1F">
              <w:rPr>
                <w:i/>
              </w:rPr>
              <w:t xml:space="preserve"> reforms to higher education funding. We test whether the decline in real average wages was due to changes in the composition of graduates after the reforms. Using causal forests, we adjust for changes to the cohort of bachelor’s graduates after the reforms and find evidence that changes in the demand for, and supply of, graduates accounted for much of the decline. For demand, adjusted graduate wages moved in line with local labour demand. For supply, outcomes were worse in labour markets with the largest increases in the number of graduates post</w:t>
            </w:r>
            <w:r w:rsidR="002B75D0">
              <w:rPr>
                <w:i/>
              </w:rPr>
              <w:noBreakHyphen/>
            </w:r>
            <w:r w:rsidR="00BE6565" w:rsidRPr="00C96A1F">
              <w:rPr>
                <w:i/>
              </w:rPr>
              <w:t xml:space="preserve">reforms. Changes in the </w:t>
            </w:r>
            <w:r w:rsidR="00BE6565" w:rsidRPr="00C96A1F" w:rsidDel="00A02510">
              <w:rPr>
                <w:i/>
              </w:rPr>
              <w:t>characteristics</w:t>
            </w:r>
            <w:r w:rsidR="00A02510">
              <w:rPr>
                <w:i/>
              </w:rPr>
              <w:t xml:space="preserve"> of</w:t>
            </w:r>
            <w:r w:rsidR="00BE6565" w:rsidRPr="00C96A1F">
              <w:rPr>
                <w:i/>
              </w:rPr>
              <w:t xml:space="preserve"> people graduating does not appear to explain the fall in real average wages.</w:t>
            </w:r>
          </w:p>
        </w:tc>
      </w:tr>
    </w:tbl>
    <w:p w14:paraId="2E70D136" w14:textId="77777777" w:rsidR="00BE6565" w:rsidRPr="00E8429F" w:rsidRDefault="00BE6565" w:rsidP="005E055C">
      <w:pPr>
        <w:pStyle w:val="Heading1"/>
      </w:pPr>
      <w:r w:rsidRPr="00E8429F">
        <w:t>Education and training reforms are often proposed to increase productivity growth</w:t>
      </w:r>
    </w:p>
    <w:p w14:paraId="3916D325" w14:textId="77777777" w:rsidR="00BE6565" w:rsidRDefault="00BE6565" w:rsidP="001D29EB">
      <w:pPr>
        <w:rPr>
          <w:rFonts w:asciiTheme="minorHAnsi" w:hAnsiTheme="minorHAnsi" w:cstheme="minorBidi"/>
          <w:szCs w:val="22"/>
        </w:rPr>
      </w:pPr>
      <w:r>
        <w:t>Australian policy makers often propose reforms to education or training to increase labour productivity and, in turn, wage growth. However, research into the impact of previous Australian education and training reforms on labour markets is sparse and has been limited by a lack of appropriate data.</w:t>
      </w:r>
    </w:p>
    <w:p w14:paraId="3BAEF3B4" w14:textId="21A9ABAF" w:rsidR="00BE6565" w:rsidRDefault="00BE6565" w:rsidP="001D29EB">
      <w:r>
        <w:t>In this article, we focus on the shift to demand</w:t>
      </w:r>
      <w:r w:rsidR="002B75D0">
        <w:noBreakHyphen/>
      </w:r>
      <w:r>
        <w:t>driven higher education funding, one of the most significant federal government education reforms in the 2010s. We investigate the relationship between this reform and falling average real wages for bachelor</w:t>
      </w:r>
      <w:r w:rsidR="00850F1B">
        <w:t>’s</w:t>
      </w:r>
      <w:r>
        <w:t xml:space="preserve"> degree graduates over the same period.</w:t>
      </w:r>
      <w:r>
        <w:rPr>
          <w:rStyle w:val="FootnoteReference"/>
        </w:rPr>
        <w:footnoteReference w:id="18"/>
      </w:r>
    </w:p>
    <w:p w14:paraId="09B81826" w14:textId="15FA554F" w:rsidR="002D40F0" w:rsidRDefault="00BE6565" w:rsidP="001D29EB">
      <w:r>
        <w:lastRenderedPageBreak/>
        <w:t>We test whether changes in characteristics of the graduate cohort explain the fall in graduates’ real average wages following the reforms.</w:t>
      </w:r>
      <w:r w:rsidDel="00850F1B">
        <w:t xml:space="preserve"> </w:t>
      </w:r>
      <w:r>
        <w:t>This has implications for the appropriate policy response to the decline in wages for this cohort, and the design of future higher</w:t>
      </w:r>
      <w:r w:rsidR="00850F1B">
        <w:t xml:space="preserve"> </w:t>
      </w:r>
      <w:r>
        <w:t>education funding.</w:t>
      </w:r>
    </w:p>
    <w:p w14:paraId="07A9C68D" w14:textId="0774104C" w:rsidR="00044559" w:rsidRDefault="006376EA" w:rsidP="005E055C">
      <w:pPr>
        <w:pStyle w:val="Heading1"/>
        <w:rPr>
          <w:bCs/>
        </w:rPr>
      </w:pPr>
      <w:r>
        <w:t>Higher</w:t>
      </w:r>
      <w:r w:rsidR="00044559" w:rsidRPr="00E8429F">
        <w:t xml:space="preserve"> education reforms coincided with </w:t>
      </w:r>
      <w:r>
        <w:t xml:space="preserve">a fall in real wages for graduates with </w:t>
      </w:r>
      <w:r w:rsidR="00044559" w:rsidRPr="00E8429F">
        <w:t>bachelo</w:t>
      </w:r>
      <w:r>
        <w:t>r’s degrees</w:t>
      </w:r>
    </w:p>
    <w:p w14:paraId="454C2BEE" w14:textId="081BE91E" w:rsidR="00044559" w:rsidRDefault="00044559" w:rsidP="001D29EB">
      <w:r>
        <w:t>Wage growth for younger workers was weak over the 2010s, with real wages for people aged 18</w:t>
      </w:r>
      <w:r w:rsidR="006376EA">
        <w:t xml:space="preserve"> to </w:t>
      </w:r>
      <w:r>
        <w:t>34 declining between 2008 and 2018 (Productivity Commission</w:t>
      </w:r>
      <w:r w:rsidR="00DD2EB5">
        <w:t xml:space="preserve"> </w:t>
      </w:r>
      <w:r>
        <w:t>2020). The decline in real wages was particularly large for those with a bachelor</w:t>
      </w:r>
      <w:r w:rsidR="006376EA">
        <w:t>’s</w:t>
      </w:r>
      <w:r>
        <w:t xml:space="preserve"> degree. In real terms, </w:t>
      </w:r>
      <w:r w:rsidRPr="00246447">
        <w:t xml:space="preserve">people who graduated in 2009 earned more on average in each of the first </w:t>
      </w:r>
      <w:r w:rsidR="006376EA" w:rsidRPr="00246447">
        <w:t xml:space="preserve">5 </w:t>
      </w:r>
      <w:r w:rsidRPr="00246447">
        <w:t>years post</w:t>
      </w:r>
      <w:r w:rsidR="002B75D0" w:rsidRPr="00D13B54">
        <w:noBreakHyphen/>
      </w:r>
      <w:r w:rsidRPr="00246447">
        <w:t>graduation than those who graduated in 2013</w:t>
      </w:r>
      <w:r>
        <w:t xml:space="preserve"> (Figure 1).</w:t>
      </w:r>
    </w:p>
    <w:tbl>
      <w:tblPr>
        <w:tblStyle w:val="TableGrid"/>
        <w:tblpPr w:leftFromText="180" w:rightFromText="180" w:vertAnchor="text" w:horzAnchor="margin" w:tblpXSpec="center" w:tblpY="46"/>
        <w:tblW w:w="9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6"/>
        <w:gridCol w:w="4747"/>
      </w:tblGrid>
      <w:tr w:rsidR="00580C1D" w14:paraId="1B5B5B68" w14:textId="77777777" w:rsidTr="00D13B54">
        <w:tc>
          <w:tcPr>
            <w:tcW w:w="4463" w:type="dxa"/>
          </w:tcPr>
          <w:p w14:paraId="18FC1D77" w14:textId="77777777" w:rsidR="005E055C" w:rsidRDefault="00580C1D" w:rsidP="005E055C">
            <w:pPr>
              <w:pStyle w:val="Charttitle"/>
            </w:pPr>
            <w:r w:rsidRPr="00246447">
              <w:rPr>
                <w:rFonts w:asciiTheme="minorHAnsi" w:hAnsiTheme="minorHAnsi" w:cstheme="minorHAnsi"/>
              </w:rPr>
              <w:t>Figure 1: Real average wages for bachelor</w:t>
            </w:r>
            <w:r w:rsidR="00602485" w:rsidRPr="00246447">
              <w:rPr>
                <w:rFonts w:asciiTheme="minorHAnsi" w:hAnsiTheme="minorHAnsi" w:cstheme="minorHAnsi"/>
              </w:rPr>
              <w:t>’s</w:t>
            </w:r>
            <w:r w:rsidRPr="00246447">
              <w:rPr>
                <w:rFonts w:asciiTheme="minorHAnsi" w:hAnsiTheme="minorHAnsi" w:cstheme="minorHAnsi"/>
              </w:rPr>
              <w:t xml:space="preserve"> degree graduates</w:t>
            </w:r>
            <w:r w:rsidRPr="004F18C9">
              <w:t xml:space="preserve"> </w:t>
            </w:r>
          </w:p>
          <w:p w14:paraId="3CDEA638" w14:textId="37998E7D" w:rsidR="00916F06" w:rsidRPr="004F18C9" w:rsidRDefault="00A607CA" w:rsidP="00A65D2F">
            <w:pPr>
              <w:pStyle w:val="Charttitle"/>
              <w:spacing w:before="120" w:after="0"/>
            </w:pPr>
            <w:r w:rsidRPr="00790CEC">
              <w:rPr>
                <w:noProof/>
              </w:rPr>
              <w:drawing>
                <wp:inline distT="0" distB="0" distL="0" distR="0" wp14:anchorId="37E40F43" wp14:editId="1E952448">
                  <wp:extent cx="2876261" cy="2877931"/>
                  <wp:effectExtent l="0" t="0" r="635" b="0"/>
                  <wp:docPr id="22" name="Picture 22" descr="This line chart with two lines shows real average wages for bachelor's graduates who graduated in 2009 and 2013, across the first five years post-graduation. Real wages are lower for 2013 graduates than 2009 graduates in every year. Chart contains data from the Higher Education Information Management System (HEIMS) and ATO Personal Income Tax (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This line chart with two lines shows real average wages for bachelor's graduates who graduated in 2009 and 2013, across the first five years post-graduation. Real wages are lower for 2013 graduates than 2009 graduates in every year. Chart contains data from the Higher Education Information Management System (HEIMS) and ATO Personal Income Tax (PIT)."/>
                          <pic:cNvPicPr/>
                        </pic:nvPicPr>
                        <pic:blipFill rotWithShape="1">
                          <a:blip r:embed="rId65" cstate="print">
                            <a:extLst>
                              <a:ext uri="{28A0092B-C50C-407E-A947-70E740481C1C}">
                                <a14:useLocalDpi xmlns:a14="http://schemas.microsoft.com/office/drawing/2010/main" val="0"/>
                              </a:ext>
                            </a:extLst>
                          </a:blip>
                          <a:srcRect t="-725" b="667"/>
                          <a:stretch/>
                        </pic:blipFill>
                        <pic:spPr bwMode="auto">
                          <a:xfrm>
                            <a:off x="0" y="0"/>
                            <a:ext cx="2877318" cy="2878988"/>
                          </a:xfrm>
                          <a:prstGeom prst="rect">
                            <a:avLst/>
                          </a:prstGeom>
                          <a:ln>
                            <a:noFill/>
                          </a:ln>
                          <a:extLst>
                            <a:ext uri="{53640926-AAD7-44D8-BBD7-CCE9431645EC}">
                              <a14:shadowObscured xmlns:a14="http://schemas.microsoft.com/office/drawing/2010/main"/>
                            </a:ext>
                          </a:extLst>
                        </pic:spPr>
                      </pic:pic>
                    </a:graphicData>
                  </a:graphic>
                </wp:inline>
              </w:drawing>
            </w:r>
          </w:p>
        </w:tc>
        <w:tc>
          <w:tcPr>
            <w:tcW w:w="4747" w:type="dxa"/>
          </w:tcPr>
          <w:p w14:paraId="323F0C49" w14:textId="77777777" w:rsidR="005E055C" w:rsidRPr="005E055C" w:rsidRDefault="00580C1D" w:rsidP="005E055C">
            <w:pPr>
              <w:pStyle w:val="Charttitle"/>
              <w:rPr>
                <w:rFonts w:asciiTheme="minorHAnsi" w:hAnsiTheme="minorHAnsi" w:cstheme="minorHAnsi"/>
              </w:rPr>
            </w:pPr>
            <w:r w:rsidRPr="00246447">
              <w:rPr>
                <w:rFonts w:asciiTheme="minorHAnsi" w:hAnsiTheme="minorHAnsi" w:cstheme="minorHAnsi"/>
              </w:rPr>
              <w:t xml:space="preserve">Figure 2: </w:t>
            </w:r>
            <w:r w:rsidR="00146777" w:rsidRPr="00246447">
              <w:rPr>
                <w:rFonts w:asciiTheme="minorHAnsi" w:hAnsiTheme="minorHAnsi" w:cstheme="minorHAnsi"/>
              </w:rPr>
              <w:t>Share of b</w:t>
            </w:r>
            <w:r w:rsidRPr="00246447">
              <w:rPr>
                <w:rFonts w:asciiTheme="minorHAnsi" w:hAnsiTheme="minorHAnsi" w:cstheme="minorHAnsi"/>
              </w:rPr>
              <w:t>achelor</w:t>
            </w:r>
            <w:r w:rsidR="00602485" w:rsidRPr="00246447">
              <w:rPr>
                <w:rFonts w:asciiTheme="minorHAnsi" w:hAnsiTheme="minorHAnsi" w:cstheme="minorHAnsi"/>
              </w:rPr>
              <w:t>’s</w:t>
            </w:r>
            <w:r w:rsidRPr="00246447">
              <w:rPr>
                <w:rFonts w:asciiTheme="minorHAnsi" w:hAnsiTheme="minorHAnsi" w:cstheme="minorHAnsi"/>
              </w:rPr>
              <w:t xml:space="preserve"> graduates with an ATAR equal to or less than 60</w:t>
            </w:r>
            <w:r w:rsidR="00602485">
              <w:rPr>
                <w:rFonts w:asciiTheme="minorHAnsi" w:hAnsiTheme="minorHAnsi" w:cstheme="minorHAnsi"/>
              </w:rPr>
              <w:t xml:space="preserve"> </w:t>
            </w:r>
          </w:p>
          <w:p w14:paraId="449B781A" w14:textId="03280B1D" w:rsidR="00A3443A" w:rsidRPr="004F18C9" w:rsidRDefault="00A607CA" w:rsidP="00DB2AF2">
            <w:pPr>
              <w:pStyle w:val="Charttitle"/>
              <w:spacing w:before="120"/>
            </w:pPr>
            <w:r w:rsidRPr="00790CEC">
              <w:rPr>
                <w:noProof/>
              </w:rPr>
              <w:drawing>
                <wp:inline distT="0" distB="0" distL="0" distR="0" wp14:anchorId="36425732" wp14:editId="784BF2D4">
                  <wp:extent cx="2877185" cy="2885385"/>
                  <wp:effectExtent l="0" t="0" r="0" b="0"/>
                  <wp:docPr id="19" name="Picture 19" descr="This line chart with two lines shows the proportion of bachelor's graduates with an ATAR less than 60, in ten high enrolment, high median ATAR universities, and in all other universities, between 2006 and 2019. The proportion is higher for the latter group and increases sharply from 2010 onwards for both groups. Chart contains data from HEI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This line chart with two lines shows the proportion of bachelor's graduates with an ATAR less than 60, in ten high enrolment, high median ATAR universities, and in all other universities, between 2006 and 2019. The proportion is higher for the latter group and increases sharply from 2010 onwards for both groups. Chart contains data from HEIMS."/>
                          <pic:cNvPicPr/>
                        </pic:nvPicPr>
                        <pic:blipFill rotWithShape="1">
                          <a:blip r:embed="rId66" cstate="print">
                            <a:extLst>
                              <a:ext uri="{28A0092B-C50C-407E-A947-70E740481C1C}">
                                <a14:useLocalDpi xmlns:a14="http://schemas.microsoft.com/office/drawing/2010/main" val="0"/>
                              </a:ext>
                            </a:extLst>
                          </a:blip>
                          <a:srcRect t="-285"/>
                          <a:stretch/>
                        </pic:blipFill>
                        <pic:spPr bwMode="auto">
                          <a:xfrm>
                            <a:off x="0" y="0"/>
                            <a:ext cx="2877185" cy="2885385"/>
                          </a:xfrm>
                          <a:prstGeom prst="rect">
                            <a:avLst/>
                          </a:prstGeom>
                          <a:ln>
                            <a:noFill/>
                          </a:ln>
                          <a:extLst>
                            <a:ext uri="{53640926-AAD7-44D8-BBD7-CCE9431645EC}">
                              <a14:shadowObscured xmlns:a14="http://schemas.microsoft.com/office/drawing/2010/main"/>
                            </a:ext>
                          </a:extLst>
                        </pic:spPr>
                      </pic:pic>
                    </a:graphicData>
                  </a:graphic>
                </wp:inline>
              </w:drawing>
            </w:r>
          </w:p>
        </w:tc>
      </w:tr>
    </w:tbl>
    <w:p w14:paraId="366C8AB4" w14:textId="24813CD5" w:rsidR="00A607CA" w:rsidRDefault="00A607CA" w:rsidP="00A607CA">
      <w:pPr>
        <w:pStyle w:val="Chartsource"/>
        <w:rPr>
          <w:rFonts w:asciiTheme="majorHAnsi" w:hAnsiTheme="majorHAnsi" w:cstheme="majorHAnsi"/>
        </w:rPr>
      </w:pPr>
      <w:r>
        <w:rPr>
          <w:rFonts w:asciiTheme="majorHAnsi" w:hAnsiTheme="majorHAnsi" w:cstheme="majorHAnsi"/>
        </w:rPr>
        <w:t xml:space="preserve">Notes:  Figure 1 is in 2021 AUD. In Figure 2 ten largest universities are </w:t>
      </w:r>
      <w:r w:rsidR="00857C8C">
        <w:rPr>
          <w:rFonts w:asciiTheme="majorHAnsi" w:hAnsiTheme="majorHAnsi" w:cstheme="majorHAnsi"/>
        </w:rPr>
        <w:t xml:space="preserve">10 </w:t>
      </w:r>
      <w:r>
        <w:rPr>
          <w:rFonts w:asciiTheme="majorHAnsi" w:hAnsiTheme="majorHAnsi" w:cstheme="majorHAnsi"/>
        </w:rPr>
        <w:t>universities nationwide with high median ATAR for bachelor’s graduates and large enrolment.</w:t>
      </w:r>
    </w:p>
    <w:p w14:paraId="0664C0C4" w14:textId="53563A49" w:rsidR="00A607CA" w:rsidRPr="00A65D2F" w:rsidRDefault="00A607CA" w:rsidP="00A65D2F">
      <w:pPr>
        <w:pStyle w:val="Chartsource"/>
        <w:rPr>
          <w:rFonts w:asciiTheme="majorHAnsi" w:hAnsiTheme="majorHAnsi" w:cstheme="majorHAnsi"/>
        </w:rPr>
      </w:pPr>
      <w:r w:rsidRPr="00044559">
        <w:rPr>
          <w:rFonts w:asciiTheme="majorHAnsi" w:hAnsiTheme="majorHAnsi" w:cstheme="majorHAnsi"/>
        </w:rPr>
        <w:t>Source: Treasury analysis using the ABS DataLab, including HEIMS data from the Department of Education and personal income tax filings from the Australian Tax Office.</w:t>
      </w:r>
      <w:r>
        <w:rPr>
          <w:rFonts w:asciiTheme="majorHAnsi" w:hAnsiTheme="majorHAnsi" w:cstheme="majorHAnsi"/>
        </w:rPr>
        <w:t xml:space="preserve"> </w:t>
      </w:r>
    </w:p>
    <w:p w14:paraId="7A821B35" w14:textId="6648799A" w:rsidR="00580C1D" w:rsidRDefault="00580C1D" w:rsidP="001D29EB">
      <w:r>
        <w:t>One potential cause of poorer outcomes for graduates is the introduction of a demand</w:t>
      </w:r>
      <w:r w:rsidR="002B75D0">
        <w:noBreakHyphen/>
      </w:r>
      <w:r>
        <w:t>driven model for higher education funding which was phased in from 2010. The reforms led to a substantial increase in bachelor</w:t>
      </w:r>
      <w:r w:rsidR="00602485">
        <w:t>’s</w:t>
      </w:r>
      <w:r>
        <w:t xml:space="preserve"> degree enrolments</w:t>
      </w:r>
      <w:r w:rsidR="00297D81">
        <w:t xml:space="preserve"> </w:t>
      </w:r>
      <w:r w:rsidR="00857C8C">
        <w:sym w:font="Symbol" w:char="F02D"/>
      </w:r>
      <w:r w:rsidR="00857C8C">
        <w:t xml:space="preserve"> </w:t>
      </w:r>
      <w:r>
        <w:t>from around 195,000 in 2009 to 260,000 in 2015</w:t>
      </w:r>
      <w:r w:rsidR="00297D81">
        <w:t xml:space="preserve"> </w:t>
      </w:r>
      <w:r w:rsidR="00857C8C">
        <w:sym w:font="Symbol" w:char="F02D"/>
      </w:r>
      <w:r w:rsidR="00297D81">
        <w:t xml:space="preserve"> </w:t>
      </w:r>
      <w:r>
        <w:t>and improved access for people from under</w:t>
      </w:r>
      <w:r w:rsidR="002B75D0">
        <w:noBreakHyphen/>
      </w:r>
      <w:r>
        <w:t>represented groups.</w:t>
      </w:r>
      <w:r>
        <w:rPr>
          <w:rStyle w:val="FootnoteReference"/>
        </w:rPr>
        <w:footnoteReference w:id="19"/>
      </w:r>
      <w:r>
        <w:t xml:space="preserve"> </w:t>
      </w:r>
    </w:p>
    <w:p w14:paraId="6C5AC6E6" w14:textId="475BF6A7" w:rsidR="00580C1D" w:rsidRDefault="00580C1D" w:rsidP="001D29EB">
      <w:r>
        <w:t xml:space="preserve">The composition of graduates </w:t>
      </w:r>
      <w:r w:rsidR="00297D81">
        <w:t xml:space="preserve">differed </w:t>
      </w:r>
      <w:r>
        <w:t xml:space="preserve">before </w:t>
      </w:r>
      <w:r w:rsidR="00297D81">
        <w:t xml:space="preserve">and after </w:t>
      </w:r>
      <w:r>
        <w:t xml:space="preserve">the reforms. For example, many of the additional graduates who attended university after the reforms had on average lower ATAR scores </w:t>
      </w:r>
      <w:r>
        <w:lastRenderedPageBreak/>
        <w:t>(Productivity Commission 2019</w:t>
      </w:r>
      <w:r w:rsidR="0036495F">
        <w:t>; Figure 2</w:t>
      </w:r>
      <w:r>
        <w:t>). This may reflect a lower earning potential in the types of roles that require bachelor</w:t>
      </w:r>
      <w:r w:rsidR="00297D81">
        <w:t>’s</w:t>
      </w:r>
      <w:r>
        <w:t xml:space="preserve"> degrees. We separate out this effect from other potential explanations by comparing wages for students with similar characteristics before and after the reforms.</w:t>
      </w:r>
    </w:p>
    <w:p w14:paraId="3240B00F" w14:textId="55954A7A" w:rsidR="00580C1D" w:rsidRPr="00E8429F" w:rsidRDefault="00942DC6" w:rsidP="005E055C">
      <w:pPr>
        <w:pStyle w:val="Heading1"/>
      </w:pPr>
      <w:r>
        <w:t>D</w:t>
      </w:r>
      <w:r w:rsidR="00580C1D" w:rsidRPr="00E8429F">
        <w:t>ata on Australian bachelor</w:t>
      </w:r>
      <w:r>
        <w:t>’s degree</w:t>
      </w:r>
      <w:r w:rsidR="00580C1D" w:rsidRPr="00E8429F">
        <w:t xml:space="preserve"> graduates</w:t>
      </w:r>
    </w:p>
    <w:p w14:paraId="76AF0337" w14:textId="5517F23B" w:rsidR="00580C1D" w:rsidRDefault="00580C1D" w:rsidP="001D29EB">
      <w:pPr>
        <w:rPr>
          <w:rFonts w:asciiTheme="minorHAnsi" w:hAnsiTheme="minorHAnsi" w:cstheme="minorBidi"/>
          <w:szCs w:val="22"/>
        </w:rPr>
      </w:pPr>
      <w:r>
        <w:t xml:space="preserve">We use anonymised data on graduates’ characteristics, </w:t>
      </w:r>
      <w:proofErr w:type="gramStart"/>
      <w:r>
        <w:t>incomes</w:t>
      </w:r>
      <w:proofErr w:type="gramEnd"/>
      <w:r>
        <w:t xml:space="preserve"> and locations from the Higher Education Information Management System (HEIMS) accessed via the ABS. This dataset provides detailed information about graduates’ educational characteristics, including </w:t>
      </w:r>
      <w:r w:rsidR="00835993">
        <w:t>tertiary entrance score</w:t>
      </w:r>
      <w:r>
        <w:t xml:space="preserve">, field of study, tertiary education institution, and personal characteristics. We also have information on graduates’ salaries and estimates of their location and commuting zone from the ATO and Bureau of Infrastructure and Transport Research Economics (BITRE). The full list of variables in our models is in Table 1. </w:t>
      </w:r>
    </w:p>
    <w:p w14:paraId="331B5808" w14:textId="1E0CB12E" w:rsidR="00580C1D" w:rsidRDefault="00580C1D" w:rsidP="001D29EB">
      <w:r>
        <w:t xml:space="preserve">We compare wage outcomes for a sample of domestic students who graduated in 2009 and 2013 in our main results, and 2009 and 2014 as a robustness test. Our dataset includes graduates who were </w:t>
      </w:r>
      <w:r w:rsidR="00EB056F">
        <w:t xml:space="preserve">not </w:t>
      </w:r>
      <w:r>
        <w:t>employed (had no wage income on their personal income tax filing or did not file income tax in a year) and who re</w:t>
      </w:r>
      <w:r w:rsidR="002B75D0">
        <w:noBreakHyphen/>
      </w:r>
      <w:r>
        <w:t>enrolled. Given its importance for earnings, we exclude graduates for whom we have no location data.</w:t>
      </w:r>
      <w:r w:rsidDel="00942DC6">
        <w:t xml:space="preserve"> </w:t>
      </w:r>
      <w:r>
        <w:t xml:space="preserve">Our sample includes approximately 75,000 bachelor’s </w:t>
      </w:r>
      <w:r w:rsidR="00942DC6">
        <w:t xml:space="preserve">degree </w:t>
      </w:r>
      <w:r>
        <w:t>graduates from each of the 2009, 2013 and 2014 cohorts, a substantial majority of the graduates in each cohort.</w:t>
      </w:r>
    </w:p>
    <w:p w14:paraId="74CCFA11" w14:textId="38529C69" w:rsidR="00480EB3" w:rsidDel="00806495" w:rsidRDefault="00580C1D" w:rsidP="00463FE3">
      <w:pPr>
        <w:jc w:val="center"/>
        <w:rPr>
          <w:b/>
        </w:rPr>
      </w:pPr>
      <w:r>
        <w:rPr>
          <w:b/>
          <w:bCs/>
        </w:rPr>
        <w:t xml:space="preserve">Table 1: Variables included in model of </w:t>
      </w:r>
      <w:r w:rsidR="00364D5B">
        <w:rPr>
          <w:b/>
          <w:bCs/>
        </w:rPr>
        <w:t>‘</w:t>
      </w:r>
      <w:r>
        <w:rPr>
          <w:b/>
          <w:bCs/>
        </w:rPr>
        <w:t>macro effects</w:t>
      </w:r>
      <w:r w:rsidR="00364D5B">
        <w:rPr>
          <w:b/>
          <w:bCs/>
        </w:rPr>
        <w:t>’</w:t>
      </w:r>
    </w:p>
    <w:tbl>
      <w:tblPr>
        <w:tblStyle w:val="GridTable4-Accent52"/>
        <w:tblW w:w="5956" w:type="dxa"/>
        <w:jc w:val="center"/>
        <w:tblLook w:val="04A0" w:firstRow="1" w:lastRow="0" w:firstColumn="1" w:lastColumn="0" w:noHBand="0" w:noVBand="1"/>
      </w:tblPr>
      <w:tblGrid>
        <w:gridCol w:w="3136"/>
        <w:gridCol w:w="1660"/>
        <w:gridCol w:w="1160"/>
      </w:tblGrid>
      <w:tr w:rsidR="00CC42C8" w:rsidRPr="00480EB3" w14:paraId="2DFB9CB0" w14:textId="77777777" w:rsidTr="00633F63">
        <w:trPr>
          <w:cnfStyle w:val="100000000000" w:firstRow="1" w:lastRow="0" w:firstColumn="0" w:lastColumn="0" w:oddVBand="0" w:evenVBand="0" w:oddHBand="0"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3136" w:type="dxa"/>
            <w:noWrap/>
            <w:hideMark/>
          </w:tcPr>
          <w:p w14:paraId="562D28B3" w14:textId="77777777" w:rsidR="00CC42C8" w:rsidRPr="00480EB3" w:rsidRDefault="00CC42C8" w:rsidP="001A1B63">
            <w:pPr>
              <w:pStyle w:val="Tableheadingcentered"/>
              <w:spacing w:before="0" w:after="0"/>
            </w:pPr>
            <w:r w:rsidRPr="00480EB3">
              <w:t>Variable</w:t>
            </w:r>
          </w:p>
        </w:tc>
        <w:tc>
          <w:tcPr>
            <w:tcW w:w="1660" w:type="dxa"/>
            <w:hideMark/>
          </w:tcPr>
          <w:p w14:paraId="1D7F45A7" w14:textId="77777777" w:rsidR="00CC42C8" w:rsidRPr="00480EB3" w:rsidRDefault="00CC42C8" w:rsidP="001A1B63">
            <w:pPr>
              <w:pStyle w:val="Tableheadingcentered"/>
              <w:spacing w:before="0" w:after="0"/>
              <w:cnfStyle w:val="100000000000" w:firstRow="1" w:lastRow="0" w:firstColumn="0" w:lastColumn="0" w:oddVBand="0" w:evenVBand="0" w:oddHBand="0" w:evenHBand="0" w:firstRowFirstColumn="0" w:firstRowLastColumn="0" w:lastRowFirstColumn="0" w:lastRowLastColumn="0"/>
            </w:pPr>
            <w:r w:rsidRPr="00480EB3">
              <w:t>Selected in final model?</w:t>
            </w:r>
          </w:p>
        </w:tc>
        <w:tc>
          <w:tcPr>
            <w:tcW w:w="1160" w:type="dxa"/>
            <w:hideMark/>
          </w:tcPr>
          <w:p w14:paraId="369FDD5A" w14:textId="77777777" w:rsidR="00CC42C8" w:rsidRPr="00480EB3" w:rsidRDefault="00CC42C8" w:rsidP="001A1B63">
            <w:pPr>
              <w:pStyle w:val="Tableheadingcentered"/>
              <w:spacing w:before="0" w:after="0"/>
              <w:cnfStyle w:val="100000000000" w:firstRow="1" w:lastRow="0" w:firstColumn="0" w:lastColumn="0" w:oddVBand="0" w:evenVBand="0" w:oddHBand="0" w:evenHBand="0" w:firstRowFirstColumn="0" w:firstRowLastColumn="0" w:lastRowFirstColumn="0" w:lastRowLastColumn="0"/>
            </w:pPr>
            <w:r w:rsidRPr="00480EB3">
              <w:t>Source</w:t>
            </w:r>
          </w:p>
        </w:tc>
      </w:tr>
      <w:tr w:rsidR="00CC42C8" w:rsidRPr="00480EB3" w14:paraId="79B1B485" w14:textId="77777777" w:rsidTr="00633F6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136" w:type="dxa"/>
            <w:noWrap/>
            <w:hideMark/>
          </w:tcPr>
          <w:p w14:paraId="28B6E15C" w14:textId="77777777" w:rsidR="00CC42C8" w:rsidRPr="00480EB3" w:rsidRDefault="00CC42C8" w:rsidP="001A1B63">
            <w:pPr>
              <w:pStyle w:val="Tabletextleft"/>
            </w:pPr>
            <w:r w:rsidRPr="00480EB3">
              <w:t>Institution</w:t>
            </w:r>
          </w:p>
        </w:tc>
        <w:tc>
          <w:tcPr>
            <w:tcW w:w="1660" w:type="dxa"/>
            <w:hideMark/>
          </w:tcPr>
          <w:p w14:paraId="0AF03C99" w14:textId="636ED5FA" w:rsidR="00CC42C8" w:rsidRPr="00480EB3" w:rsidRDefault="00246447" w:rsidP="001A1B63">
            <w:pPr>
              <w:pStyle w:val="Tabletextcentered"/>
              <w:cnfStyle w:val="000000100000" w:firstRow="0" w:lastRow="0" w:firstColumn="0" w:lastColumn="0" w:oddVBand="0" w:evenVBand="0" w:oddHBand="1" w:evenHBand="0" w:firstRowFirstColumn="0" w:firstRowLastColumn="0" w:lastRowFirstColumn="0" w:lastRowLastColumn="0"/>
            </w:pPr>
            <w:r>
              <w:t>9</w:t>
            </w:r>
            <w:r w:rsidR="00CC42C8" w:rsidRPr="00480EB3">
              <w:t xml:space="preserve"> institutions</w:t>
            </w:r>
          </w:p>
        </w:tc>
        <w:tc>
          <w:tcPr>
            <w:tcW w:w="1160" w:type="dxa"/>
            <w:hideMark/>
          </w:tcPr>
          <w:p w14:paraId="3D517992" w14:textId="77777777" w:rsidR="00CC42C8" w:rsidRPr="00480EB3" w:rsidRDefault="00CC42C8" w:rsidP="001A1B63">
            <w:pPr>
              <w:pStyle w:val="Tabletextcentered"/>
              <w:cnfStyle w:val="000000100000" w:firstRow="0" w:lastRow="0" w:firstColumn="0" w:lastColumn="0" w:oddVBand="0" w:evenVBand="0" w:oddHBand="1" w:evenHBand="0" w:firstRowFirstColumn="0" w:firstRowLastColumn="0" w:lastRowFirstColumn="0" w:lastRowLastColumn="0"/>
            </w:pPr>
            <w:r w:rsidRPr="00480EB3">
              <w:t>HEIMS</w:t>
            </w:r>
          </w:p>
        </w:tc>
      </w:tr>
      <w:tr w:rsidR="00CC42C8" w:rsidRPr="00480EB3" w14:paraId="17BC9545" w14:textId="77777777" w:rsidTr="00633F63">
        <w:trPr>
          <w:trHeight w:val="510"/>
          <w:jc w:val="center"/>
        </w:trPr>
        <w:tc>
          <w:tcPr>
            <w:cnfStyle w:val="001000000000" w:firstRow="0" w:lastRow="0" w:firstColumn="1" w:lastColumn="0" w:oddVBand="0" w:evenVBand="0" w:oddHBand="0" w:evenHBand="0" w:firstRowFirstColumn="0" w:firstRowLastColumn="0" w:lastRowFirstColumn="0" w:lastRowLastColumn="0"/>
            <w:tcW w:w="3136" w:type="dxa"/>
            <w:hideMark/>
          </w:tcPr>
          <w:p w14:paraId="31675465" w14:textId="77777777" w:rsidR="00CC42C8" w:rsidRPr="00480EB3" w:rsidRDefault="00CC42C8" w:rsidP="001A1B63">
            <w:pPr>
              <w:pStyle w:val="Tabletextleft"/>
            </w:pPr>
            <w:r w:rsidRPr="00480EB3">
              <w:t>Attended one of 10 largest institutions</w:t>
            </w:r>
          </w:p>
        </w:tc>
        <w:tc>
          <w:tcPr>
            <w:tcW w:w="1660" w:type="dxa"/>
            <w:hideMark/>
          </w:tcPr>
          <w:p w14:paraId="641D66C1" w14:textId="77777777" w:rsidR="00CC42C8" w:rsidRPr="00480EB3" w:rsidRDefault="00CC42C8" w:rsidP="001A1B63">
            <w:pPr>
              <w:pStyle w:val="Tabletextcentered"/>
              <w:cnfStyle w:val="000000000000" w:firstRow="0" w:lastRow="0" w:firstColumn="0" w:lastColumn="0" w:oddVBand="0" w:evenVBand="0" w:oddHBand="0" w:evenHBand="0" w:firstRowFirstColumn="0" w:firstRowLastColumn="0" w:lastRowFirstColumn="0" w:lastRowLastColumn="0"/>
            </w:pPr>
            <w:r w:rsidRPr="00480EB3">
              <w:t>Yes</w:t>
            </w:r>
          </w:p>
        </w:tc>
        <w:tc>
          <w:tcPr>
            <w:tcW w:w="1160" w:type="dxa"/>
            <w:hideMark/>
          </w:tcPr>
          <w:p w14:paraId="56FBDF91" w14:textId="77777777" w:rsidR="00CC42C8" w:rsidRPr="00480EB3" w:rsidRDefault="00CC42C8" w:rsidP="001A1B63">
            <w:pPr>
              <w:pStyle w:val="Tabletextcentered"/>
              <w:cnfStyle w:val="000000000000" w:firstRow="0" w:lastRow="0" w:firstColumn="0" w:lastColumn="0" w:oddVBand="0" w:evenVBand="0" w:oddHBand="0" w:evenHBand="0" w:firstRowFirstColumn="0" w:firstRowLastColumn="0" w:lastRowFirstColumn="0" w:lastRowLastColumn="0"/>
            </w:pPr>
            <w:r w:rsidRPr="00480EB3">
              <w:t>HEIMS</w:t>
            </w:r>
          </w:p>
        </w:tc>
      </w:tr>
      <w:tr w:rsidR="00CC42C8" w:rsidRPr="00480EB3" w14:paraId="2DE8E065" w14:textId="77777777" w:rsidTr="00633F6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136" w:type="dxa"/>
            <w:noWrap/>
            <w:hideMark/>
          </w:tcPr>
          <w:p w14:paraId="38B73881" w14:textId="77777777" w:rsidR="00CC42C8" w:rsidRPr="00480EB3" w:rsidRDefault="00CC42C8" w:rsidP="001A1B63">
            <w:pPr>
              <w:pStyle w:val="Tabletextleft"/>
            </w:pPr>
            <w:r>
              <w:t>F</w:t>
            </w:r>
            <w:r w:rsidRPr="00480EB3">
              <w:t>ield of education</w:t>
            </w:r>
          </w:p>
        </w:tc>
        <w:tc>
          <w:tcPr>
            <w:tcW w:w="1660" w:type="dxa"/>
            <w:hideMark/>
          </w:tcPr>
          <w:p w14:paraId="67FF8ECB" w14:textId="77777777" w:rsidR="00CC42C8" w:rsidRPr="00480EB3" w:rsidRDefault="00CC42C8" w:rsidP="001A1B63">
            <w:pPr>
              <w:pStyle w:val="Tabletextcentered"/>
              <w:cnfStyle w:val="000000100000" w:firstRow="0" w:lastRow="0" w:firstColumn="0" w:lastColumn="0" w:oddVBand="0" w:evenVBand="0" w:oddHBand="1" w:evenHBand="0" w:firstRowFirstColumn="0" w:firstRowLastColumn="0" w:lastRowFirstColumn="0" w:lastRowLastColumn="0"/>
            </w:pPr>
            <w:r>
              <w:t>12</w:t>
            </w:r>
            <w:r w:rsidRPr="00480EB3">
              <w:t xml:space="preserve"> fields</w:t>
            </w:r>
          </w:p>
        </w:tc>
        <w:tc>
          <w:tcPr>
            <w:tcW w:w="1160" w:type="dxa"/>
            <w:hideMark/>
          </w:tcPr>
          <w:p w14:paraId="5215EB18" w14:textId="77777777" w:rsidR="00CC42C8" w:rsidRPr="00480EB3" w:rsidRDefault="00CC42C8" w:rsidP="001A1B63">
            <w:pPr>
              <w:pStyle w:val="Tabletextcentered"/>
              <w:cnfStyle w:val="000000100000" w:firstRow="0" w:lastRow="0" w:firstColumn="0" w:lastColumn="0" w:oddVBand="0" w:evenVBand="0" w:oddHBand="1" w:evenHBand="0" w:firstRowFirstColumn="0" w:firstRowLastColumn="0" w:lastRowFirstColumn="0" w:lastRowLastColumn="0"/>
            </w:pPr>
            <w:r w:rsidRPr="00480EB3">
              <w:t>HEIMS</w:t>
            </w:r>
          </w:p>
        </w:tc>
      </w:tr>
      <w:tr w:rsidR="00CC42C8" w:rsidRPr="00480EB3" w14:paraId="497E8081" w14:textId="77777777" w:rsidTr="00633F63">
        <w:trPr>
          <w:trHeight w:val="300"/>
          <w:jc w:val="center"/>
        </w:trPr>
        <w:tc>
          <w:tcPr>
            <w:cnfStyle w:val="001000000000" w:firstRow="0" w:lastRow="0" w:firstColumn="1" w:lastColumn="0" w:oddVBand="0" w:evenVBand="0" w:oddHBand="0" w:evenHBand="0" w:firstRowFirstColumn="0" w:firstRowLastColumn="0" w:lastRowFirstColumn="0" w:lastRowLastColumn="0"/>
            <w:tcW w:w="3136" w:type="dxa"/>
            <w:noWrap/>
            <w:hideMark/>
          </w:tcPr>
          <w:p w14:paraId="59F55303" w14:textId="77777777" w:rsidR="00CC42C8" w:rsidRPr="00480EB3" w:rsidRDefault="00CC42C8" w:rsidP="001A1B63">
            <w:pPr>
              <w:pStyle w:val="Tabletextleft"/>
            </w:pPr>
            <w:r w:rsidRPr="00480EB3">
              <w:t>Gender</w:t>
            </w:r>
          </w:p>
        </w:tc>
        <w:tc>
          <w:tcPr>
            <w:tcW w:w="1660" w:type="dxa"/>
            <w:hideMark/>
          </w:tcPr>
          <w:p w14:paraId="337E8F81" w14:textId="77777777" w:rsidR="00CC42C8" w:rsidRPr="00480EB3" w:rsidRDefault="00CC42C8" w:rsidP="001A1B63">
            <w:pPr>
              <w:pStyle w:val="Tabletextcentered"/>
              <w:cnfStyle w:val="000000000000" w:firstRow="0" w:lastRow="0" w:firstColumn="0" w:lastColumn="0" w:oddVBand="0" w:evenVBand="0" w:oddHBand="0" w:evenHBand="0" w:firstRowFirstColumn="0" w:firstRowLastColumn="0" w:lastRowFirstColumn="0" w:lastRowLastColumn="0"/>
            </w:pPr>
            <w:r w:rsidRPr="00480EB3">
              <w:t>Yes</w:t>
            </w:r>
          </w:p>
        </w:tc>
        <w:tc>
          <w:tcPr>
            <w:tcW w:w="1160" w:type="dxa"/>
            <w:hideMark/>
          </w:tcPr>
          <w:p w14:paraId="1954138B" w14:textId="77777777" w:rsidR="00CC42C8" w:rsidRPr="00480EB3" w:rsidRDefault="00CC42C8" w:rsidP="001A1B63">
            <w:pPr>
              <w:pStyle w:val="Tabletextcentered"/>
              <w:cnfStyle w:val="000000000000" w:firstRow="0" w:lastRow="0" w:firstColumn="0" w:lastColumn="0" w:oddVBand="0" w:evenVBand="0" w:oddHBand="0" w:evenHBand="0" w:firstRowFirstColumn="0" w:firstRowLastColumn="0" w:lastRowFirstColumn="0" w:lastRowLastColumn="0"/>
            </w:pPr>
            <w:r w:rsidRPr="00480EB3">
              <w:t>HEIMS</w:t>
            </w:r>
          </w:p>
        </w:tc>
      </w:tr>
      <w:tr w:rsidR="00CC42C8" w:rsidRPr="00480EB3" w14:paraId="41D7F354" w14:textId="77777777" w:rsidTr="00633F6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136" w:type="dxa"/>
            <w:hideMark/>
          </w:tcPr>
          <w:p w14:paraId="1514B9DF" w14:textId="77777777" w:rsidR="00CC42C8" w:rsidRPr="00480EB3" w:rsidRDefault="00CC42C8" w:rsidP="001A1B63">
            <w:pPr>
              <w:pStyle w:val="Tabletextleft"/>
            </w:pPr>
            <w:r w:rsidRPr="00480EB3">
              <w:t>LOTE</w:t>
            </w:r>
          </w:p>
        </w:tc>
        <w:tc>
          <w:tcPr>
            <w:tcW w:w="1660" w:type="dxa"/>
            <w:hideMark/>
          </w:tcPr>
          <w:p w14:paraId="572B4DCB" w14:textId="77777777" w:rsidR="00CC42C8" w:rsidRPr="00480EB3" w:rsidRDefault="00CC42C8" w:rsidP="001A1B63">
            <w:pPr>
              <w:pStyle w:val="Tabletextcentered"/>
              <w:cnfStyle w:val="000000100000" w:firstRow="0" w:lastRow="0" w:firstColumn="0" w:lastColumn="0" w:oddVBand="0" w:evenVBand="0" w:oddHBand="1" w:evenHBand="0" w:firstRowFirstColumn="0" w:firstRowLastColumn="0" w:lastRowFirstColumn="0" w:lastRowLastColumn="0"/>
            </w:pPr>
            <w:r w:rsidRPr="00480EB3">
              <w:t>Yes</w:t>
            </w:r>
          </w:p>
        </w:tc>
        <w:tc>
          <w:tcPr>
            <w:tcW w:w="1160" w:type="dxa"/>
            <w:hideMark/>
          </w:tcPr>
          <w:p w14:paraId="33543DE9" w14:textId="77777777" w:rsidR="00CC42C8" w:rsidRPr="00480EB3" w:rsidRDefault="00CC42C8" w:rsidP="001A1B63">
            <w:pPr>
              <w:pStyle w:val="Tabletextcentered"/>
              <w:cnfStyle w:val="000000100000" w:firstRow="0" w:lastRow="0" w:firstColumn="0" w:lastColumn="0" w:oddVBand="0" w:evenVBand="0" w:oddHBand="1" w:evenHBand="0" w:firstRowFirstColumn="0" w:firstRowLastColumn="0" w:lastRowFirstColumn="0" w:lastRowLastColumn="0"/>
            </w:pPr>
            <w:r w:rsidRPr="00480EB3">
              <w:t>HEIMS</w:t>
            </w:r>
          </w:p>
        </w:tc>
      </w:tr>
      <w:tr w:rsidR="00CC42C8" w:rsidRPr="00480EB3" w14:paraId="54ABB3B7" w14:textId="77777777" w:rsidTr="00633F63">
        <w:trPr>
          <w:trHeight w:val="300"/>
          <w:jc w:val="center"/>
        </w:trPr>
        <w:tc>
          <w:tcPr>
            <w:cnfStyle w:val="001000000000" w:firstRow="0" w:lastRow="0" w:firstColumn="1" w:lastColumn="0" w:oddVBand="0" w:evenVBand="0" w:oddHBand="0" w:evenHBand="0" w:firstRowFirstColumn="0" w:firstRowLastColumn="0" w:lastRowFirstColumn="0" w:lastRowLastColumn="0"/>
            <w:tcW w:w="3136" w:type="dxa"/>
            <w:hideMark/>
          </w:tcPr>
          <w:p w14:paraId="149EB5A2" w14:textId="77777777" w:rsidR="00CC42C8" w:rsidRPr="00480EB3" w:rsidRDefault="00CC42C8" w:rsidP="001A1B63">
            <w:pPr>
              <w:pStyle w:val="Tabletextleft"/>
            </w:pPr>
            <w:r w:rsidRPr="00480EB3">
              <w:t>Born overseas</w:t>
            </w:r>
          </w:p>
        </w:tc>
        <w:tc>
          <w:tcPr>
            <w:tcW w:w="1660" w:type="dxa"/>
            <w:hideMark/>
          </w:tcPr>
          <w:p w14:paraId="27AAD2B5" w14:textId="77777777" w:rsidR="00CC42C8" w:rsidRPr="00480EB3" w:rsidRDefault="00CC42C8" w:rsidP="001A1B63">
            <w:pPr>
              <w:pStyle w:val="Tabletextcentered"/>
              <w:cnfStyle w:val="000000000000" w:firstRow="0" w:lastRow="0" w:firstColumn="0" w:lastColumn="0" w:oddVBand="0" w:evenVBand="0" w:oddHBand="0" w:evenHBand="0" w:firstRowFirstColumn="0" w:firstRowLastColumn="0" w:lastRowFirstColumn="0" w:lastRowLastColumn="0"/>
            </w:pPr>
            <w:r w:rsidRPr="00480EB3">
              <w:t>Yes</w:t>
            </w:r>
          </w:p>
        </w:tc>
        <w:tc>
          <w:tcPr>
            <w:tcW w:w="1160" w:type="dxa"/>
            <w:hideMark/>
          </w:tcPr>
          <w:p w14:paraId="5F622ED6" w14:textId="77777777" w:rsidR="00CC42C8" w:rsidRPr="00480EB3" w:rsidRDefault="00CC42C8" w:rsidP="001A1B63">
            <w:pPr>
              <w:pStyle w:val="Tabletextcentered"/>
              <w:cnfStyle w:val="000000000000" w:firstRow="0" w:lastRow="0" w:firstColumn="0" w:lastColumn="0" w:oddVBand="0" w:evenVBand="0" w:oddHBand="0" w:evenHBand="0" w:firstRowFirstColumn="0" w:firstRowLastColumn="0" w:lastRowFirstColumn="0" w:lastRowLastColumn="0"/>
            </w:pPr>
            <w:r w:rsidRPr="00480EB3">
              <w:t>HEIMS</w:t>
            </w:r>
          </w:p>
        </w:tc>
      </w:tr>
      <w:tr w:rsidR="00CC42C8" w:rsidRPr="00480EB3" w14:paraId="07A1C3A5" w14:textId="77777777" w:rsidTr="00633F6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136" w:type="dxa"/>
            <w:hideMark/>
          </w:tcPr>
          <w:p w14:paraId="5A1A4381" w14:textId="77777777" w:rsidR="00CC42C8" w:rsidRPr="00480EB3" w:rsidRDefault="00CC42C8" w:rsidP="001A1B63">
            <w:pPr>
              <w:pStyle w:val="Tabletextleft"/>
            </w:pPr>
            <w:r w:rsidRPr="00480EB3">
              <w:t>Self</w:t>
            </w:r>
            <w:r>
              <w:noBreakHyphen/>
            </w:r>
            <w:r w:rsidRPr="00480EB3">
              <w:t>identified disability status</w:t>
            </w:r>
          </w:p>
        </w:tc>
        <w:tc>
          <w:tcPr>
            <w:tcW w:w="1660" w:type="dxa"/>
            <w:hideMark/>
          </w:tcPr>
          <w:p w14:paraId="3C9C8567" w14:textId="77777777" w:rsidR="00CC42C8" w:rsidRPr="00480EB3" w:rsidRDefault="00CC42C8" w:rsidP="001A1B63">
            <w:pPr>
              <w:pStyle w:val="Tabletextcentered"/>
              <w:cnfStyle w:val="000000100000" w:firstRow="0" w:lastRow="0" w:firstColumn="0" w:lastColumn="0" w:oddVBand="0" w:evenVBand="0" w:oddHBand="1" w:evenHBand="0" w:firstRowFirstColumn="0" w:firstRowLastColumn="0" w:lastRowFirstColumn="0" w:lastRowLastColumn="0"/>
            </w:pPr>
            <w:r w:rsidRPr="00480EB3">
              <w:t>Yes</w:t>
            </w:r>
          </w:p>
        </w:tc>
        <w:tc>
          <w:tcPr>
            <w:tcW w:w="1160" w:type="dxa"/>
            <w:hideMark/>
          </w:tcPr>
          <w:p w14:paraId="5BB69C94" w14:textId="77777777" w:rsidR="00CC42C8" w:rsidRPr="00480EB3" w:rsidRDefault="00CC42C8" w:rsidP="001A1B63">
            <w:pPr>
              <w:pStyle w:val="Tabletextcentered"/>
              <w:cnfStyle w:val="000000100000" w:firstRow="0" w:lastRow="0" w:firstColumn="0" w:lastColumn="0" w:oddVBand="0" w:evenVBand="0" w:oddHBand="1" w:evenHBand="0" w:firstRowFirstColumn="0" w:firstRowLastColumn="0" w:lastRowFirstColumn="0" w:lastRowLastColumn="0"/>
            </w:pPr>
            <w:r w:rsidRPr="00480EB3">
              <w:t>HEIMS</w:t>
            </w:r>
          </w:p>
        </w:tc>
      </w:tr>
      <w:tr w:rsidR="00CC42C8" w:rsidRPr="00480EB3" w14:paraId="3DEF565B" w14:textId="77777777" w:rsidTr="00633F63">
        <w:trPr>
          <w:trHeight w:val="300"/>
          <w:jc w:val="center"/>
        </w:trPr>
        <w:tc>
          <w:tcPr>
            <w:cnfStyle w:val="001000000000" w:firstRow="0" w:lastRow="0" w:firstColumn="1" w:lastColumn="0" w:oddVBand="0" w:evenVBand="0" w:oddHBand="0" w:evenHBand="0" w:firstRowFirstColumn="0" w:firstRowLastColumn="0" w:lastRowFirstColumn="0" w:lastRowLastColumn="0"/>
            <w:tcW w:w="3136" w:type="dxa"/>
            <w:hideMark/>
          </w:tcPr>
          <w:p w14:paraId="63DB374E" w14:textId="77777777" w:rsidR="00CC42C8" w:rsidRPr="00480EB3" w:rsidRDefault="00CC42C8" w:rsidP="001A1B63">
            <w:pPr>
              <w:pStyle w:val="Tabletextleft"/>
            </w:pPr>
            <w:r w:rsidRPr="00480EB3">
              <w:t>ATAR score</w:t>
            </w:r>
          </w:p>
        </w:tc>
        <w:tc>
          <w:tcPr>
            <w:tcW w:w="1660" w:type="dxa"/>
            <w:hideMark/>
          </w:tcPr>
          <w:p w14:paraId="6BE5852C" w14:textId="77777777" w:rsidR="00CC42C8" w:rsidRPr="00480EB3" w:rsidRDefault="00CC42C8" w:rsidP="001A1B63">
            <w:pPr>
              <w:pStyle w:val="Tabletextcentered"/>
              <w:cnfStyle w:val="000000000000" w:firstRow="0" w:lastRow="0" w:firstColumn="0" w:lastColumn="0" w:oddVBand="0" w:evenVBand="0" w:oddHBand="0" w:evenHBand="0" w:firstRowFirstColumn="0" w:firstRowLastColumn="0" w:lastRowFirstColumn="0" w:lastRowLastColumn="0"/>
            </w:pPr>
            <w:r w:rsidRPr="00480EB3">
              <w:t>Yes</w:t>
            </w:r>
          </w:p>
        </w:tc>
        <w:tc>
          <w:tcPr>
            <w:tcW w:w="1160" w:type="dxa"/>
            <w:hideMark/>
          </w:tcPr>
          <w:p w14:paraId="5F32E105" w14:textId="77777777" w:rsidR="00CC42C8" w:rsidRPr="00480EB3" w:rsidRDefault="00CC42C8" w:rsidP="001A1B63">
            <w:pPr>
              <w:pStyle w:val="Tabletextcentered"/>
              <w:cnfStyle w:val="000000000000" w:firstRow="0" w:lastRow="0" w:firstColumn="0" w:lastColumn="0" w:oddVBand="0" w:evenVBand="0" w:oddHBand="0" w:evenHBand="0" w:firstRowFirstColumn="0" w:firstRowLastColumn="0" w:lastRowFirstColumn="0" w:lastRowLastColumn="0"/>
            </w:pPr>
            <w:r w:rsidRPr="00480EB3">
              <w:t>HEIMS</w:t>
            </w:r>
          </w:p>
        </w:tc>
      </w:tr>
      <w:tr w:rsidR="00CC42C8" w:rsidRPr="00480EB3" w14:paraId="4B144861" w14:textId="77777777" w:rsidTr="00633F6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136" w:type="dxa"/>
            <w:hideMark/>
          </w:tcPr>
          <w:p w14:paraId="21D0BD39" w14:textId="77777777" w:rsidR="00CC42C8" w:rsidRPr="00480EB3" w:rsidRDefault="00CC42C8" w:rsidP="001A1B63">
            <w:pPr>
              <w:pStyle w:val="Tabletextleft"/>
            </w:pPr>
            <w:r w:rsidRPr="00480EB3">
              <w:t>State</w:t>
            </w:r>
            <w:r>
              <w:t>/Territory</w:t>
            </w:r>
          </w:p>
        </w:tc>
        <w:tc>
          <w:tcPr>
            <w:tcW w:w="1660" w:type="dxa"/>
            <w:hideMark/>
          </w:tcPr>
          <w:p w14:paraId="5FF7F737" w14:textId="77777777" w:rsidR="00CC42C8" w:rsidRPr="00480EB3" w:rsidRDefault="00CC42C8" w:rsidP="001A1B63">
            <w:pPr>
              <w:pStyle w:val="Tabletextcentered"/>
              <w:cnfStyle w:val="000000100000" w:firstRow="0" w:lastRow="0" w:firstColumn="0" w:lastColumn="0" w:oddVBand="0" w:evenVBand="0" w:oddHBand="1" w:evenHBand="0" w:firstRowFirstColumn="0" w:firstRowLastColumn="0" w:lastRowFirstColumn="0" w:lastRowLastColumn="0"/>
            </w:pPr>
            <w:r>
              <w:t>Yes</w:t>
            </w:r>
          </w:p>
        </w:tc>
        <w:tc>
          <w:tcPr>
            <w:tcW w:w="1160" w:type="dxa"/>
            <w:hideMark/>
          </w:tcPr>
          <w:p w14:paraId="46D3EC12" w14:textId="77777777" w:rsidR="00CC42C8" w:rsidRPr="00480EB3" w:rsidRDefault="00CC42C8" w:rsidP="001A1B63">
            <w:pPr>
              <w:pStyle w:val="Tabletextcentered"/>
              <w:cnfStyle w:val="000000100000" w:firstRow="0" w:lastRow="0" w:firstColumn="0" w:lastColumn="0" w:oddVBand="0" w:evenVBand="0" w:oddHBand="1" w:evenHBand="0" w:firstRowFirstColumn="0" w:firstRowLastColumn="0" w:lastRowFirstColumn="0" w:lastRowLastColumn="0"/>
            </w:pPr>
            <w:r w:rsidRPr="00480EB3">
              <w:t>ATO</w:t>
            </w:r>
          </w:p>
        </w:tc>
      </w:tr>
      <w:tr w:rsidR="00CC42C8" w:rsidRPr="00480EB3" w14:paraId="69A26CE3" w14:textId="77777777" w:rsidTr="00633F63">
        <w:trPr>
          <w:trHeight w:val="510"/>
          <w:jc w:val="center"/>
        </w:trPr>
        <w:tc>
          <w:tcPr>
            <w:cnfStyle w:val="001000000000" w:firstRow="0" w:lastRow="0" w:firstColumn="1" w:lastColumn="0" w:oddVBand="0" w:evenVBand="0" w:oddHBand="0" w:evenHBand="0" w:firstRowFirstColumn="0" w:firstRowLastColumn="0" w:lastRowFirstColumn="0" w:lastRowLastColumn="0"/>
            <w:tcW w:w="3136" w:type="dxa"/>
            <w:hideMark/>
          </w:tcPr>
          <w:p w14:paraId="642982E9" w14:textId="77777777" w:rsidR="00CC42C8" w:rsidRPr="00480EB3" w:rsidRDefault="00CC42C8" w:rsidP="001A1B63">
            <w:pPr>
              <w:pStyle w:val="Tabletextleft"/>
            </w:pPr>
            <w:r w:rsidRPr="00480EB3">
              <w:t>Commuting zone</w:t>
            </w:r>
          </w:p>
        </w:tc>
        <w:tc>
          <w:tcPr>
            <w:tcW w:w="1660" w:type="dxa"/>
            <w:hideMark/>
          </w:tcPr>
          <w:p w14:paraId="278FFE09" w14:textId="77777777" w:rsidR="00CC42C8" w:rsidRPr="00480EB3" w:rsidRDefault="00CC42C8" w:rsidP="001A1B63">
            <w:pPr>
              <w:pStyle w:val="Tabletextcentered"/>
              <w:cnfStyle w:val="000000000000" w:firstRow="0" w:lastRow="0" w:firstColumn="0" w:lastColumn="0" w:oddVBand="0" w:evenVBand="0" w:oddHBand="0" w:evenHBand="0" w:firstRowFirstColumn="0" w:firstRowLastColumn="0" w:lastRowFirstColumn="0" w:lastRowLastColumn="0"/>
            </w:pPr>
            <w:r w:rsidRPr="00480EB3">
              <w:t>6 commuting zones</w:t>
            </w:r>
          </w:p>
        </w:tc>
        <w:tc>
          <w:tcPr>
            <w:tcW w:w="1160" w:type="dxa"/>
            <w:hideMark/>
          </w:tcPr>
          <w:p w14:paraId="5A116D7E" w14:textId="77777777" w:rsidR="00CC42C8" w:rsidRPr="00480EB3" w:rsidRDefault="00CC42C8" w:rsidP="001A1B63">
            <w:pPr>
              <w:pStyle w:val="Tabletextcentered"/>
              <w:cnfStyle w:val="000000000000" w:firstRow="0" w:lastRow="0" w:firstColumn="0" w:lastColumn="0" w:oddVBand="0" w:evenVBand="0" w:oddHBand="0" w:evenHBand="0" w:firstRowFirstColumn="0" w:firstRowLastColumn="0" w:lastRowFirstColumn="0" w:lastRowLastColumn="0"/>
            </w:pPr>
            <w:r w:rsidRPr="00480EB3">
              <w:t>ATO and BITRE</w:t>
            </w:r>
          </w:p>
        </w:tc>
      </w:tr>
      <w:tr w:rsidR="00CC42C8" w:rsidRPr="00480EB3" w14:paraId="2B97216E" w14:textId="77777777" w:rsidTr="00633F6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136" w:type="dxa"/>
            <w:noWrap/>
            <w:hideMark/>
          </w:tcPr>
          <w:p w14:paraId="173832CF" w14:textId="77777777" w:rsidR="00CC42C8" w:rsidRPr="00480EB3" w:rsidRDefault="00CC42C8" w:rsidP="001A1B63">
            <w:pPr>
              <w:pStyle w:val="Tabletextleft"/>
            </w:pPr>
            <w:r w:rsidRPr="00480EB3">
              <w:t>Lives outside a capital city</w:t>
            </w:r>
          </w:p>
        </w:tc>
        <w:tc>
          <w:tcPr>
            <w:tcW w:w="1660" w:type="dxa"/>
            <w:hideMark/>
          </w:tcPr>
          <w:p w14:paraId="6201E9B7" w14:textId="77777777" w:rsidR="00CC42C8" w:rsidRPr="00480EB3" w:rsidRDefault="00CC42C8" w:rsidP="001A1B63">
            <w:pPr>
              <w:pStyle w:val="Tabletextcentered"/>
              <w:cnfStyle w:val="000000100000" w:firstRow="0" w:lastRow="0" w:firstColumn="0" w:lastColumn="0" w:oddVBand="0" w:evenVBand="0" w:oddHBand="1" w:evenHBand="0" w:firstRowFirstColumn="0" w:firstRowLastColumn="0" w:lastRowFirstColumn="0" w:lastRowLastColumn="0"/>
            </w:pPr>
            <w:r w:rsidRPr="00480EB3">
              <w:t>Yes</w:t>
            </w:r>
          </w:p>
        </w:tc>
        <w:tc>
          <w:tcPr>
            <w:tcW w:w="1160" w:type="dxa"/>
            <w:hideMark/>
          </w:tcPr>
          <w:p w14:paraId="7E700C5C" w14:textId="77777777" w:rsidR="00CC42C8" w:rsidRPr="00480EB3" w:rsidRDefault="00CC42C8" w:rsidP="001A1B63">
            <w:pPr>
              <w:pStyle w:val="Tabletextcentered"/>
              <w:cnfStyle w:val="000000100000" w:firstRow="0" w:lastRow="0" w:firstColumn="0" w:lastColumn="0" w:oddVBand="0" w:evenVBand="0" w:oddHBand="1" w:evenHBand="0" w:firstRowFirstColumn="0" w:firstRowLastColumn="0" w:lastRowFirstColumn="0" w:lastRowLastColumn="0"/>
            </w:pPr>
            <w:r w:rsidRPr="00480EB3">
              <w:t>ATO</w:t>
            </w:r>
          </w:p>
        </w:tc>
      </w:tr>
      <w:tr w:rsidR="00CC42C8" w:rsidRPr="00480EB3" w14:paraId="1AFA99DD" w14:textId="77777777" w:rsidTr="00633F63">
        <w:trPr>
          <w:trHeight w:val="510"/>
          <w:jc w:val="center"/>
        </w:trPr>
        <w:tc>
          <w:tcPr>
            <w:cnfStyle w:val="001000000000" w:firstRow="0" w:lastRow="0" w:firstColumn="1" w:lastColumn="0" w:oddVBand="0" w:evenVBand="0" w:oddHBand="0" w:evenHBand="0" w:firstRowFirstColumn="0" w:firstRowLastColumn="0" w:lastRowFirstColumn="0" w:lastRowLastColumn="0"/>
            <w:tcW w:w="3136" w:type="dxa"/>
            <w:hideMark/>
          </w:tcPr>
          <w:p w14:paraId="5FEA441D" w14:textId="77777777" w:rsidR="00CC42C8" w:rsidRPr="00480EB3" w:rsidRDefault="00CC42C8" w:rsidP="001A1B63">
            <w:pPr>
              <w:pStyle w:val="Tabletextleft"/>
            </w:pPr>
            <w:r w:rsidRPr="00480EB3">
              <w:t>Lives in one of 10 fastest growing labour markets</w:t>
            </w:r>
          </w:p>
        </w:tc>
        <w:tc>
          <w:tcPr>
            <w:tcW w:w="1660" w:type="dxa"/>
            <w:hideMark/>
          </w:tcPr>
          <w:p w14:paraId="3943ED7E" w14:textId="77777777" w:rsidR="00CC42C8" w:rsidRPr="00480EB3" w:rsidRDefault="00CC42C8" w:rsidP="001A1B63">
            <w:pPr>
              <w:pStyle w:val="Tabletextcentered"/>
              <w:cnfStyle w:val="000000000000" w:firstRow="0" w:lastRow="0" w:firstColumn="0" w:lastColumn="0" w:oddVBand="0" w:evenVBand="0" w:oddHBand="0" w:evenHBand="0" w:firstRowFirstColumn="0" w:firstRowLastColumn="0" w:lastRowFirstColumn="0" w:lastRowLastColumn="0"/>
            </w:pPr>
            <w:r w:rsidRPr="00480EB3">
              <w:t>Yes</w:t>
            </w:r>
          </w:p>
        </w:tc>
        <w:tc>
          <w:tcPr>
            <w:tcW w:w="1160" w:type="dxa"/>
            <w:hideMark/>
          </w:tcPr>
          <w:p w14:paraId="7DFAD642" w14:textId="77777777" w:rsidR="00CC42C8" w:rsidRPr="00480EB3" w:rsidRDefault="00CC42C8" w:rsidP="001A1B63">
            <w:pPr>
              <w:pStyle w:val="Tabletextcentered"/>
              <w:cnfStyle w:val="000000000000" w:firstRow="0" w:lastRow="0" w:firstColumn="0" w:lastColumn="0" w:oddVBand="0" w:evenVBand="0" w:oddHBand="0" w:evenHBand="0" w:firstRowFirstColumn="0" w:firstRowLastColumn="0" w:lastRowFirstColumn="0" w:lastRowLastColumn="0"/>
            </w:pPr>
            <w:r w:rsidRPr="00480EB3">
              <w:t>ATO</w:t>
            </w:r>
          </w:p>
        </w:tc>
      </w:tr>
      <w:tr w:rsidR="00CC42C8" w:rsidRPr="00480EB3" w14:paraId="4B35D64B" w14:textId="77777777" w:rsidTr="00633F63">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3136" w:type="dxa"/>
            <w:hideMark/>
          </w:tcPr>
          <w:p w14:paraId="1AED7EBE" w14:textId="77777777" w:rsidR="00CC42C8" w:rsidRPr="00480EB3" w:rsidRDefault="00CC42C8" w:rsidP="001A1B63">
            <w:pPr>
              <w:pStyle w:val="Tabletextleft"/>
            </w:pPr>
            <w:r w:rsidRPr="00480EB3">
              <w:t>Lives in one of 50 fastest growing labour markets</w:t>
            </w:r>
          </w:p>
        </w:tc>
        <w:tc>
          <w:tcPr>
            <w:tcW w:w="1660" w:type="dxa"/>
            <w:hideMark/>
          </w:tcPr>
          <w:p w14:paraId="2423EF21" w14:textId="77777777" w:rsidR="00CC42C8" w:rsidRPr="00480EB3" w:rsidRDefault="00CC42C8" w:rsidP="001A1B63">
            <w:pPr>
              <w:pStyle w:val="Tabletextcentered"/>
              <w:cnfStyle w:val="000000100000" w:firstRow="0" w:lastRow="0" w:firstColumn="0" w:lastColumn="0" w:oddVBand="0" w:evenVBand="0" w:oddHBand="1" w:evenHBand="0" w:firstRowFirstColumn="0" w:firstRowLastColumn="0" w:lastRowFirstColumn="0" w:lastRowLastColumn="0"/>
            </w:pPr>
            <w:r w:rsidRPr="00480EB3">
              <w:t>Yes</w:t>
            </w:r>
          </w:p>
        </w:tc>
        <w:tc>
          <w:tcPr>
            <w:tcW w:w="1160" w:type="dxa"/>
            <w:hideMark/>
          </w:tcPr>
          <w:p w14:paraId="11998FFF" w14:textId="77777777" w:rsidR="00CC42C8" w:rsidRPr="00480EB3" w:rsidRDefault="00CC42C8" w:rsidP="001A1B63">
            <w:pPr>
              <w:pStyle w:val="Tabletextcentered"/>
              <w:cnfStyle w:val="000000100000" w:firstRow="0" w:lastRow="0" w:firstColumn="0" w:lastColumn="0" w:oddVBand="0" w:evenVBand="0" w:oddHBand="1" w:evenHBand="0" w:firstRowFirstColumn="0" w:firstRowLastColumn="0" w:lastRowFirstColumn="0" w:lastRowLastColumn="0"/>
            </w:pPr>
            <w:r w:rsidRPr="00480EB3">
              <w:t>ATO</w:t>
            </w:r>
          </w:p>
        </w:tc>
      </w:tr>
      <w:tr w:rsidR="00CC42C8" w:rsidRPr="00480EB3" w14:paraId="423DAF9D" w14:textId="77777777" w:rsidTr="00633F63">
        <w:trPr>
          <w:trHeight w:val="300"/>
          <w:jc w:val="center"/>
        </w:trPr>
        <w:tc>
          <w:tcPr>
            <w:cnfStyle w:val="001000000000" w:firstRow="0" w:lastRow="0" w:firstColumn="1" w:lastColumn="0" w:oddVBand="0" w:evenVBand="0" w:oddHBand="0" w:evenHBand="0" w:firstRowFirstColumn="0" w:firstRowLastColumn="0" w:lastRowFirstColumn="0" w:lastRowLastColumn="0"/>
            <w:tcW w:w="3136" w:type="dxa"/>
            <w:hideMark/>
          </w:tcPr>
          <w:p w14:paraId="6B6ADEF9" w14:textId="77777777" w:rsidR="00CC42C8" w:rsidRPr="00480EB3" w:rsidRDefault="00CC42C8" w:rsidP="001A1B63">
            <w:pPr>
              <w:pStyle w:val="Tabletextleft"/>
            </w:pPr>
            <w:r w:rsidRPr="00480EB3">
              <w:t>Whether graduate re</w:t>
            </w:r>
            <w:r>
              <w:noBreakHyphen/>
            </w:r>
            <w:r w:rsidRPr="00480EB3">
              <w:t>enrolled</w:t>
            </w:r>
          </w:p>
        </w:tc>
        <w:tc>
          <w:tcPr>
            <w:tcW w:w="1660" w:type="dxa"/>
            <w:hideMark/>
          </w:tcPr>
          <w:p w14:paraId="7DF8ED97" w14:textId="77777777" w:rsidR="00CC42C8" w:rsidRPr="00480EB3" w:rsidRDefault="00CC42C8" w:rsidP="001A1B63">
            <w:pPr>
              <w:pStyle w:val="Tabletextcentered"/>
              <w:cnfStyle w:val="000000000000" w:firstRow="0" w:lastRow="0" w:firstColumn="0" w:lastColumn="0" w:oddVBand="0" w:evenVBand="0" w:oddHBand="0" w:evenHBand="0" w:firstRowFirstColumn="0" w:firstRowLastColumn="0" w:lastRowFirstColumn="0" w:lastRowLastColumn="0"/>
            </w:pPr>
            <w:r w:rsidRPr="00480EB3">
              <w:t>Yes</w:t>
            </w:r>
          </w:p>
        </w:tc>
        <w:tc>
          <w:tcPr>
            <w:tcW w:w="1160" w:type="dxa"/>
            <w:hideMark/>
          </w:tcPr>
          <w:p w14:paraId="51BFB2DD" w14:textId="77777777" w:rsidR="00CC42C8" w:rsidRPr="00480EB3" w:rsidRDefault="00CC42C8" w:rsidP="001A1B63">
            <w:pPr>
              <w:pStyle w:val="Tabletextcentered"/>
              <w:cnfStyle w:val="000000000000" w:firstRow="0" w:lastRow="0" w:firstColumn="0" w:lastColumn="0" w:oddVBand="0" w:evenVBand="0" w:oddHBand="0" w:evenHBand="0" w:firstRowFirstColumn="0" w:firstRowLastColumn="0" w:lastRowFirstColumn="0" w:lastRowLastColumn="0"/>
            </w:pPr>
            <w:r w:rsidRPr="00480EB3">
              <w:t>HEIMS</w:t>
            </w:r>
          </w:p>
        </w:tc>
      </w:tr>
    </w:tbl>
    <w:p w14:paraId="6CDBB6F9" w14:textId="77777777" w:rsidR="00580C1D" w:rsidRDefault="00580C1D" w:rsidP="001D29EB">
      <w:pPr>
        <w:pStyle w:val="Chartsource"/>
      </w:pPr>
      <w:r>
        <w:t xml:space="preserve">Notes: Variables selected by model of macro effects. Institution, field of education and location (commuting zone) are converted into dummy variables. The model has selected only some institutions and commuting zones. Models estimated as per Wager and </w:t>
      </w:r>
      <w:proofErr w:type="spellStart"/>
      <w:r>
        <w:t>Athey</w:t>
      </w:r>
      <w:proofErr w:type="spellEnd"/>
      <w:r>
        <w:t xml:space="preserve"> (2021).</w:t>
      </w:r>
    </w:p>
    <w:p w14:paraId="44076106" w14:textId="77777777" w:rsidR="00580C1D" w:rsidRDefault="00580C1D" w:rsidP="001D29EB">
      <w:pPr>
        <w:pStyle w:val="Chartsource"/>
      </w:pPr>
      <w:r>
        <w:t>Source: Treasury analysis using the ABS DataLab.</w:t>
      </w:r>
    </w:p>
    <w:p w14:paraId="7F158701" w14:textId="3C0D11A4" w:rsidR="00463FE3" w:rsidRDefault="00463FE3" w:rsidP="00463FE3">
      <w:bookmarkStart w:id="11" w:name="_Ref91691445"/>
    </w:p>
    <w:p w14:paraId="5C6AA37B" w14:textId="77777777" w:rsidR="00463FE3" w:rsidRDefault="00463FE3" w:rsidP="00463FE3"/>
    <w:p w14:paraId="76B44F38" w14:textId="798E5191" w:rsidR="002C0111" w:rsidRPr="00E8429F" w:rsidRDefault="002C0111" w:rsidP="00223E12">
      <w:pPr>
        <w:pStyle w:val="Heading1"/>
      </w:pPr>
      <w:r w:rsidRPr="00E8429F">
        <w:lastRenderedPageBreak/>
        <w:t>We use machine learning to control for compositional changes and isolate the demand and supply</w:t>
      </w:r>
      <w:r>
        <w:rPr>
          <w:bCs/>
        </w:rPr>
        <w:t xml:space="preserve"> </w:t>
      </w:r>
      <w:r w:rsidRPr="00E8429F">
        <w:t>impacts on wages</w:t>
      </w:r>
    </w:p>
    <w:p w14:paraId="7E500B08" w14:textId="2F7C1365" w:rsidR="002C0111" w:rsidRDefault="002C0111" w:rsidP="001D29EB">
      <w:pPr>
        <w:rPr>
          <w:rFonts w:asciiTheme="minorHAnsi" w:hAnsiTheme="minorHAnsi" w:cstheme="minorBidi"/>
          <w:szCs w:val="22"/>
        </w:rPr>
      </w:pPr>
      <w:r>
        <w:t>We compare outcomes for 2013 graduates (post</w:t>
      </w:r>
      <w:r w:rsidR="002B75D0">
        <w:noBreakHyphen/>
      </w:r>
      <w:r>
        <w:t>reform) who have very similar educational and personal characteristics to 2009 graduates (pre</w:t>
      </w:r>
      <w:r w:rsidR="002B75D0">
        <w:noBreakHyphen/>
      </w:r>
      <w:r>
        <w:t xml:space="preserve">reform) for the first </w:t>
      </w:r>
      <w:r w:rsidR="00942DC6">
        <w:t xml:space="preserve">5 </w:t>
      </w:r>
      <w:r>
        <w:t>years following graduation. This provides us with an estimate of how wages would have changed if the characteristics of the graduate cohort had remained the same. We can then separate observed wage changes due to changing graduate characteristics (</w:t>
      </w:r>
      <w:r w:rsidR="009658B5">
        <w:t>c</w:t>
      </w:r>
      <w:r w:rsidRPr="000F20D3">
        <w:t>ohort characteristics effects)</w:t>
      </w:r>
      <w:r>
        <w:t xml:space="preserve"> from those that reflect change in the supply of or demand for graduates (</w:t>
      </w:r>
      <w:r w:rsidR="009658B5">
        <w:t>m</w:t>
      </w:r>
      <w:r w:rsidRPr="000F20D3">
        <w:t>acro effects</w:t>
      </w:r>
      <w:r>
        <w:t>).</w:t>
      </w:r>
      <w:r>
        <w:rPr>
          <w:rStyle w:val="FootnoteReference"/>
        </w:rPr>
        <w:footnoteReference w:id="20"/>
      </w:r>
      <w:r>
        <w:t xml:space="preserve"> </w:t>
      </w:r>
    </w:p>
    <w:p w14:paraId="5FC41D21" w14:textId="7FFA4F22" w:rsidR="002C0111" w:rsidRDefault="002C0111" w:rsidP="001D29EB">
      <w:r>
        <w:t>The macro effects can also be thought of as the extent to which the same person at the same point in their career would be paid differently pre</w:t>
      </w:r>
      <w:r w:rsidR="002B75D0">
        <w:noBreakHyphen/>
      </w:r>
      <w:r>
        <w:t xml:space="preserve"> and post</w:t>
      </w:r>
      <w:r w:rsidR="002B75D0">
        <w:noBreakHyphen/>
      </w:r>
      <w:r>
        <w:t>reform. Someone who studied quantitative finance, for example, would have likely earned more in their first job if they graduated before the GFC than if they graduated immediately after it.</w:t>
      </w:r>
    </w:p>
    <w:p w14:paraId="019E5222" w14:textId="11534698" w:rsidR="002C0111" w:rsidRDefault="002C0111" w:rsidP="001D29EB">
      <w:r>
        <w:t xml:space="preserve">Our main results use a machine learning technique known as </w:t>
      </w:r>
      <w:r w:rsidRPr="000F20D3">
        <w:t>causal forests</w:t>
      </w:r>
      <w:r>
        <w:t>. Calculating the degree of similarity between students is difficult with so many variables on students’ educational and personal backgrounds. Causal forests are a data</w:t>
      </w:r>
      <w:r w:rsidR="002B75D0">
        <w:noBreakHyphen/>
      </w:r>
      <w:r>
        <w:t>driven way of identifying similar students from before and after the reforms. The approach helps identify which of the more than 700 variables available (including interactions) that could drive wage outcomes are most important for identifying students that are similar pre</w:t>
      </w:r>
      <w:r w:rsidR="002B75D0">
        <w:noBreakHyphen/>
      </w:r>
      <w:r>
        <w:t xml:space="preserve"> and post</w:t>
      </w:r>
      <w:r w:rsidR="002B75D0">
        <w:noBreakHyphen/>
      </w:r>
      <w:r>
        <w:t>reform (Table 1). In this way, the causal forests technique has the advantage of not needing to pre</w:t>
      </w:r>
      <w:r w:rsidR="002B75D0">
        <w:noBreakHyphen/>
      </w:r>
      <w:r>
        <w:t>judge which of the variables to include.</w:t>
      </w:r>
      <w:r>
        <w:rPr>
          <w:rStyle w:val="FootnoteReference"/>
        </w:rPr>
        <w:footnoteReference w:id="21"/>
      </w:r>
    </w:p>
    <w:p w14:paraId="31C19F58" w14:textId="4E773022" w:rsidR="002C0111" w:rsidRPr="00E8429F" w:rsidRDefault="002C0111" w:rsidP="00C53DFF">
      <w:pPr>
        <w:pStyle w:val="Heading1"/>
      </w:pPr>
      <w:r w:rsidRPr="00E8429F">
        <w:t>Macro effects account for most of the decline in real wages</w:t>
      </w:r>
    </w:p>
    <w:bookmarkEnd w:id="11"/>
    <w:p w14:paraId="6C0AC743" w14:textId="0414D8D5" w:rsidR="002C0111" w:rsidRDefault="002C0111" w:rsidP="001D29EB">
      <w:r>
        <w:t>Average real wages for the 2013 cohort were on average 3.</w:t>
      </w:r>
      <w:r w:rsidR="00246447">
        <w:t>5</w:t>
      </w:r>
      <w:r>
        <w:t xml:space="preserve"> per cent below real wages for 2009 graduates over the first </w:t>
      </w:r>
      <w:r w:rsidR="005C39E4">
        <w:t xml:space="preserve">5 </w:t>
      </w:r>
      <w:r>
        <w:t>years post</w:t>
      </w:r>
      <w:r w:rsidR="002B75D0">
        <w:noBreakHyphen/>
      </w:r>
      <w:r>
        <w:t>graduation. In the first</w:t>
      </w:r>
      <w:r w:rsidR="005C39E4">
        <w:t xml:space="preserve"> </w:t>
      </w:r>
      <w:r>
        <w:t>year</w:t>
      </w:r>
      <w:r w:rsidR="0012729F">
        <w:t>,</w:t>
      </w:r>
      <w:r>
        <w:t xml:space="preserve"> post</w:t>
      </w:r>
      <w:r w:rsidR="002B75D0">
        <w:noBreakHyphen/>
      </w:r>
      <w:r>
        <w:t>graduation</w:t>
      </w:r>
      <w:r w:rsidDel="0012729F">
        <w:t>,</w:t>
      </w:r>
      <w:r>
        <w:t xml:space="preserve"> around one</w:t>
      </w:r>
      <w:r w:rsidR="002B75D0">
        <w:noBreakHyphen/>
      </w:r>
      <w:r>
        <w:t xml:space="preserve">fifth of this was due to the changing characteristics of graduates (cohort characteristics effects), as shown by relative sizes of the </w:t>
      </w:r>
      <w:r w:rsidR="007513B9">
        <w:t>dark and light</w:t>
      </w:r>
      <w:r>
        <w:t xml:space="preserve"> blue bars in year 1 (Figure 3). The remaining four</w:t>
      </w:r>
      <w:r w:rsidR="00767AC4">
        <w:t>-</w:t>
      </w:r>
      <w:r>
        <w:t xml:space="preserve">fifths reflect macro effects: changes in supply of and demand for graduate labour. In the following years, the cohort effects are small and statistically insignificant, while macro effects continue to weigh on graduate wages. </w:t>
      </w:r>
    </w:p>
    <w:p w14:paraId="748B47F1" w14:textId="44E26D82" w:rsidR="002C0111" w:rsidRDefault="002C0111" w:rsidP="001D29EB">
      <w:r>
        <w:t>These results are robust to changes in model choice, for example using a propensity score matching model</w:t>
      </w:r>
      <w:r w:rsidR="008D6A39">
        <w:t xml:space="preserve"> with variables selected via an elastic net</w:t>
      </w:r>
      <w:r>
        <w:t>. The results also hold if we use 2014 graduates instead of 2013 graduates as the post</w:t>
      </w:r>
      <w:r w:rsidR="002B75D0">
        <w:noBreakHyphen/>
      </w:r>
      <w:r>
        <w:t>reform cohort</w:t>
      </w:r>
      <w:r w:rsidR="008D6A39">
        <w:t>.</w:t>
      </w:r>
    </w:p>
    <w:p w14:paraId="5A6C35AF" w14:textId="137A6F9C" w:rsidR="002C0111" w:rsidRDefault="002C0111" w:rsidP="00D76C81">
      <w:pPr>
        <w:pStyle w:val="Charttitle"/>
        <w:rPr>
          <w:i/>
          <w:iCs/>
        </w:rPr>
      </w:pPr>
      <w:r>
        <w:lastRenderedPageBreak/>
        <w:t>Figure 3: Decline in graduates’ real wages due to macro and cohort characteristic effects, 2013 versus 2009 graduates</w:t>
      </w:r>
      <w:r>
        <w:rPr>
          <w:rStyle w:val="FootnoteReference"/>
          <w:bCs/>
          <w:szCs w:val="22"/>
        </w:rPr>
        <w:footnoteReference w:id="22"/>
      </w:r>
    </w:p>
    <w:p w14:paraId="04546726" w14:textId="4E3F8D34" w:rsidR="002C0111" w:rsidRDefault="00937D7F" w:rsidP="002C0111">
      <w:pPr>
        <w:jc w:val="center"/>
        <w:rPr>
          <w:szCs w:val="22"/>
        </w:rPr>
      </w:pPr>
      <w:r>
        <w:rPr>
          <w:noProof/>
          <w:szCs w:val="22"/>
        </w:rPr>
        <w:drawing>
          <wp:inline distT="0" distB="0" distL="0" distR="0" wp14:anchorId="7ED1C866" wp14:editId="0429B642">
            <wp:extent cx="4056896" cy="2877318"/>
            <wp:effectExtent l="0" t="0" r="1270" b="0"/>
            <wp:docPr id="60" name="Picture 60" descr="The bar chart shows our estimates of macro effects, calculated by our causal forest models, and our estimates of cohort characteristic effects, plus 95% CI for each effect type. We show estimates for the first five years post-graduation, comparing the 2013 cohort with the 2009 cohort. Our results show that macro effects accounted for the majority of the decline in real wages. Chart contains data from HEIMS, ATO PIT, ATO customer locations, and BITRE commuting z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descr="The bar chart shows our estimates of macro effects, calculated by our causal forest models, and our estimates of cohort characteristic effects, plus 95% CI for each effect type. We show estimates for the first five years post-graduation, comparing the 2013 cohort with the 2009 cohort. Our results show that macro effects accounted for the majority of the decline in real wages. Chart contains data from HEIMS, ATO PIT, ATO customer locations, and BITRE commuting zones."/>
                    <pic:cNvPicPr/>
                  </pic:nvPicPr>
                  <pic:blipFill>
                    <a:blip r:embed="rId67" cstate="print">
                      <a:extLst>
                        <a:ext uri="{28A0092B-C50C-407E-A947-70E740481C1C}">
                          <a14:useLocalDpi xmlns:a14="http://schemas.microsoft.com/office/drawing/2010/main" val="0"/>
                        </a:ext>
                      </a:extLst>
                    </a:blip>
                    <a:stretch>
                      <a:fillRect/>
                    </a:stretch>
                  </pic:blipFill>
                  <pic:spPr>
                    <a:xfrm>
                      <a:off x="0" y="0"/>
                      <a:ext cx="4056896" cy="2877318"/>
                    </a:xfrm>
                    <a:prstGeom prst="rect">
                      <a:avLst/>
                    </a:prstGeom>
                  </pic:spPr>
                </pic:pic>
              </a:graphicData>
            </a:graphic>
          </wp:inline>
        </w:drawing>
      </w:r>
    </w:p>
    <w:p w14:paraId="3505D7D9" w14:textId="509F6A23" w:rsidR="002C0111" w:rsidRDefault="002C0111" w:rsidP="001D29EB">
      <w:pPr>
        <w:pStyle w:val="Chartsource"/>
      </w:pPr>
      <w:bookmarkStart w:id="12" w:name="_Hlk111108024"/>
      <w:r>
        <w:t xml:space="preserve">Notes: </w:t>
      </w:r>
      <w:r w:rsidR="007513B9">
        <w:t>Dark b</w:t>
      </w:r>
      <w:r>
        <w:t xml:space="preserve">lue bars and black error bars show mean estimate of macro effects on real wages and 95% confidence interval, respectively, for all graduates, 2013 versus 2009. </w:t>
      </w:r>
      <w:r w:rsidR="007513B9">
        <w:t xml:space="preserve">Light blue </w:t>
      </w:r>
      <w:r>
        <w:t>bars and black error bars show estimated cohort effects, calculated as (unconditional) total effect minus estimated macro effect, and 95% confidence intervals, 2013 versus 2009.</w:t>
      </w:r>
    </w:p>
    <w:p w14:paraId="3C367EC4" w14:textId="77777777" w:rsidR="002C0111" w:rsidRPr="00DC62DE" w:rsidRDefault="002C0111" w:rsidP="001D29EB">
      <w:pPr>
        <w:pStyle w:val="Chartsource"/>
      </w:pPr>
      <w:r>
        <w:t>Source: Treasury analysis using the Labour Market Tracker, including HEIMS data from DESE and personal income tax filings from the ATO.</w:t>
      </w:r>
      <w:bookmarkEnd w:id="12"/>
    </w:p>
    <w:p w14:paraId="67B10194" w14:textId="1F7088CD" w:rsidR="002C0111" w:rsidRPr="00E8429F" w:rsidRDefault="002C0111" w:rsidP="00633F63">
      <w:pPr>
        <w:pStyle w:val="Heading1"/>
      </w:pPr>
      <w:r>
        <w:t>Greater</w:t>
      </w:r>
      <w:r w:rsidRPr="00E8429F">
        <w:t xml:space="preserve"> supply of graduates </w:t>
      </w:r>
      <w:r w:rsidR="007513B9">
        <w:t xml:space="preserve">is </w:t>
      </w:r>
      <w:r w:rsidRPr="00E8429F">
        <w:t>correlated with lower adjusted graduate wages in local labour markets</w:t>
      </w:r>
    </w:p>
    <w:p w14:paraId="0C967398" w14:textId="77777777" w:rsidR="002C0111" w:rsidRDefault="002C0111" w:rsidP="001D29EB">
      <w:pPr>
        <w:rPr>
          <w:rFonts w:cstheme="minorBidi"/>
        </w:rPr>
      </w:pPr>
      <w:r>
        <w:t xml:space="preserve">We now turn to exploring whether demand or supply factors are driving the macro effects identified above. </w:t>
      </w:r>
    </w:p>
    <w:p w14:paraId="663FD1F2" w14:textId="628B4FA5" w:rsidR="002C0111" w:rsidRDefault="002C0111" w:rsidP="001D29EB">
      <w:r>
        <w:t xml:space="preserve">If the increase in supply of graduates </w:t>
      </w:r>
      <w:r w:rsidR="00957672">
        <w:t xml:space="preserve">was </w:t>
      </w:r>
      <w:r>
        <w:t xml:space="preserve">a key factor, we would expect to see greater real wage declines in locations and fields with the greatest increase in graduates. As such, we identify the </w:t>
      </w:r>
      <w:r w:rsidR="00957672">
        <w:t>50</w:t>
      </w:r>
      <w:r w:rsidR="00633F63">
        <w:t> </w:t>
      </w:r>
      <w:r>
        <w:t xml:space="preserve">fastest growing local labour markets </w:t>
      </w:r>
      <w:r w:rsidR="00131B31">
        <w:sym w:font="Symbol" w:char="F02D"/>
      </w:r>
      <w:r w:rsidR="00957672">
        <w:t xml:space="preserve"> </w:t>
      </w:r>
      <w:r>
        <w:t xml:space="preserve">the commuting zones and academic fields with the highest growth in graduates by 2018 </w:t>
      </w:r>
      <w:r w:rsidR="00131B31">
        <w:sym w:font="Symbol" w:char="F02D"/>
      </w:r>
      <w:r w:rsidR="00957672">
        <w:t xml:space="preserve"> </w:t>
      </w:r>
      <w:r>
        <w:t>and estimate whether the compositionally</w:t>
      </w:r>
      <w:r w:rsidR="00957672">
        <w:t xml:space="preserve"> </w:t>
      </w:r>
      <w:r>
        <w:t>adjusted wage declines (macro effects) were more pronounced.</w:t>
      </w:r>
      <w:r>
        <w:rPr>
          <w:rStyle w:val="FootnoteReference"/>
        </w:rPr>
        <w:footnoteReference w:id="23"/>
      </w:r>
      <w:r>
        <w:t xml:space="preserve"> Local labour markets that grew the fastest had larger</w:t>
      </w:r>
      <w:r w:rsidRPr="002C0111">
        <w:t xml:space="preserve"> </w:t>
      </w:r>
      <w:r>
        <w:t xml:space="preserve">adjusted graduate real wage declines in the first </w:t>
      </w:r>
      <w:r w:rsidR="00957672">
        <w:t xml:space="preserve">2 </w:t>
      </w:r>
      <w:r>
        <w:t xml:space="preserve">years (green error bars, Figure </w:t>
      </w:r>
      <w:r w:rsidR="00572F5B">
        <w:t>4</w:t>
      </w:r>
      <w:r>
        <w:t>), although this had dissipated by the third year.</w:t>
      </w:r>
      <w:r>
        <w:rPr>
          <w:rStyle w:val="FootnoteReference"/>
        </w:rPr>
        <w:footnoteReference w:id="24"/>
      </w:r>
    </w:p>
    <w:p w14:paraId="3966274D" w14:textId="1F882623" w:rsidR="002C0111" w:rsidRDefault="002C0111" w:rsidP="001D29EB">
      <w:r>
        <w:lastRenderedPageBreak/>
        <w:t>The short</w:t>
      </w:r>
      <w:r w:rsidR="002B75D0">
        <w:noBreakHyphen/>
      </w:r>
      <w:r>
        <w:t>lived nature of the decline suggests that the increased supply of graduates may have lowered wages by making it more difficult for graduates to match with roles that suit their interests and skills. Over time this effect dissipates as graduates move to better</w:t>
      </w:r>
      <w:r w:rsidR="00131B31">
        <w:t>-</w:t>
      </w:r>
      <w:r>
        <w:t>suited jobs.</w:t>
      </w:r>
    </w:p>
    <w:p w14:paraId="44FF5091" w14:textId="714C08CE" w:rsidR="002C0111" w:rsidRDefault="002C0111" w:rsidP="00957672">
      <w:pPr>
        <w:pStyle w:val="Charttitle"/>
      </w:pPr>
      <w:r>
        <w:t xml:space="preserve">Figure 4: Macro effects on real graduate wages, </w:t>
      </w:r>
      <w:r w:rsidR="00131B31">
        <w:t xml:space="preserve">50 </w:t>
      </w:r>
      <w:r>
        <w:t>fastest growing local labour markets compared with everywhere else, 2013 versus 2009 cohorts</w:t>
      </w:r>
    </w:p>
    <w:p w14:paraId="11C2A4D1" w14:textId="42A08EBE" w:rsidR="002C0111" w:rsidRDefault="00CF7319" w:rsidP="00633F63">
      <w:pPr>
        <w:pStyle w:val="Chart"/>
      </w:pPr>
      <w:r>
        <w:drawing>
          <wp:inline distT="0" distB="0" distL="0" distR="0" wp14:anchorId="2490E32B" wp14:editId="31B5ABCA">
            <wp:extent cx="4056896" cy="2877318"/>
            <wp:effectExtent l="0" t="0" r="1270" b="0"/>
            <wp:docPr id="61" name="Picture 61" descr="Line chart with error bars showing our estimates of the macro effect on wages, 2013 cohort versus 2009 cohort, for the graduates who lived in one of the fifty fastest growing labour markets, versus those who lived outside these markets. The chart shows that the decline in real wages due to macro effects is worse for graduates in these labour markets compared with those outside them for the first two years post-graduation. Chart contains data from HEIMS, ATO PIT, ATO customer locations, and BITRE commuting z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Line chart with error bars showing our estimates of the macro effect on wages, 2013 cohort versus 2009 cohort, for the graduates who lived in one of the fifty fastest growing labour markets, versus those who lived outside these markets. The chart shows that the decline in real wages due to macro effects is worse for graduates in these labour markets compared with those outside them for the first two years post-graduation. Chart contains data from HEIMS, ATO PIT, ATO customer locations, and BITRE commuting zones."/>
                    <pic:cNvPicPr/>
                  </pic:nvPicPr>
                  <pic:blipFill>
                    <a:blip r:embed="rId68" cstate="print">
                      <a:extLst>
                        <a:ext uri="{28A0092B-C50C-407E-A947-70E740481C1C}">
                          <a14:useLocalDpi xmlns:a14="http://schemas.microsoft.com/office/drawing/2010/main" val="0"/>
                        </a:ext>
                      </a:extLst>
                    </a:blip>
                    <a:stretch>
                      <a:fillRect/>
                    </a:stretch>
                  </pic:blipFill>
                  <pic:spPr>
                    <a:xfrm>
                      <a:off x="0" y="0"/>
                      <a:ext cx="4056896" cy="2877318"/>
                    </a:xfrm>
                    <a:prstGeom prst="rect">
                      <a:avLst/>
                    </a:prstGeom>
                  </pic:spPr>
                </pic:pic>
              </a:graphicData>
            </a:graphic>
          </wp:inline>
        </w:drawing>
      </w:r>
    </w:p>
    <w:p w14:paraId="7339AD1B" w14:textId="77CB068D" w:rsidR="002C0111" w:rsidRDefault="002C0111" w:rsidP="00F2679A">
      <w:pPr>
        <w:pStyle w:val="Chartsource"/>
      </w:pPr>
      <w:r>
        <w:t xml:space="preserve">Notes: Green dots and error bars show coefficient estimate and 95% </w:t>
      </w:r>
      <w:r w:rsidR="00AB0935">
        <w:t xml:space="preserve">confidence interval </w:t>
      </w:r>
      <w:r>
        <w:t xml:space="preserve">from regression of estimated macro effects for the fifty fastest growing labour markets, 2013 versus 2009 graduates. </w:t>
      </w:r>
    </w:p>
    <w:p w14:paraId="06B2D415" w14:textId="77777777" w:rsidR="002C0111" w:rsidRDefault="002C0111" w:rsidP="00F2679A">
      <w:pPr>
        <w:pStyle w:val="Chartsource"/>
      </w:pPr>
      <w:r>
        <w:t>Source: Treasury analysis using the Labour Market Tracker, including HEIMS data from DESE and personal income tax filings from the ATO.</w:t>
      </w:r>
    </w:p>
    <w:p w14:paraId="5737DEE9" w14:textId="77777777" w:rsidR="002C0111" w:rsidRPr="00E8429F" w:rsidRDefault="002C0111" w:rsidP="00633F63">
      <w:pPr>
        <w:pStyle w:val="Heading1"/>
        <w:rPr>
          <w:szCs w:val="32"/>
        </w:rPr>
      </w:pPr>
      <w:r w:rsidRPr="00E8429F">
        <w:t>Adjusted graduate wages appear to have moved in line with broader labour demand</w:t>
      </w:r>
    </w:p>
    <w:p w14:paraId="0536CAA3" w14:textId="7E790F53" w:rsidR="00FA6CD8" w:rsidRDefault="002C0111" w:rsidP="00D13B54">
      <w:r>
        <w:t>There is also evidence that demand played a role in graduates’ real wage outcomes. For example, compositionally adjusted real wages declined in regions where labour markets were weakening, like Western Australia, as the mining</w:t>
      </w:r>
      <w:r w:rsidR="002B75D0">
        <w:noBreakHyphen/>
      </w:r>
      <w:r>
        <w:t xml:space="preserve">construction boom ended (Figures 5 </w:t>
      </w:r>
      <w:r w:rsidR="0012729F">
        <w:t xml:space="preserve">and </w:t>
      </w:r>
      <w:r>
        <w:t xml:space="preserve">6). In Victoria, where labour markets were strengthening, the macro effect real wage penalty for men disappeared. </w:t>
      </w:r>
      <w:r w:rsidR="00C2017F">
        <w:t>This evidence suggests that after</w:t>
      </w:r>
      <w:r w:rsidDel="00C2017F">
        <w:t xml:space="preserve"> </w:t>
      </w:r>
      <w:r w:rsidR="00C2017F">
        <w:t xml:space="preserve">controlling for cohort characteristic effects, the decline in graduate wages was </w:t>
      </w:r>
      <w:r w:rsidR="000121DD">
        <w:t>associated</w:t>
      </w:r>
      <w:r w:rsidR="00BF2483">
        <w:t xml:space="preserve"> with</w:t>
      </w:r>
      <w:r w:rsidR="00C2017F">
        <w:t xml:space="preserve"> </w:t>
      </w:r>
      <w:r w:rsidR="00AF5C68">
        <w:t>the</w:t>
      </w:r>
      <w:r w:rsidR="00C2017F">
        <w:t xml:space="preserve"> broader</w:t>
      </w:r>
      <w:r w:rsidR="003869EB">
        <w:t xml:space="preserve"> weakness in labour demand.</w:t>
      </w:r>
    </w:p>
    <w:tbl>
      <w:tblPr>
        <w:tblStyle w:val="TableGrid"/>
        <w:tblW w:w="1049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245"/>
      </w:tblGrid>
      <w:tr w:rsidR="00230487" w14:paraId="65212A46" w14:textId="77777777" w:rsidTr="00A65D2F">
        <w:tc>
          <w:tcPr>
            <w:tcW w:w="5245" w:type="dxa"/>
          </w:tcPr>
          <w:p w14:paraId="72C70A48" w14:textId="77777777" w:rsidR="00FA6CD8" w:rsidRDefault="00FA6CD8" w:rsidP="00FA6CD8">
            <w:pPr>
              <w:pStyle w:val="Charttitle"/>
              <w:spacing w:before="120"/>
              <w:rPr>
                <w:rFonts w:asciiTheme="minorHAnsi" w:hAnsiTheme="minorHAnsi" w:cstheme="minorHAnsi"/>
              </w:rPr>
            </w:pPr>
            <w:r w:rsidRPr="00A65D2F">
              <w:rPr>
                <w:rFonts w:asciiTheme="minorHAnsi" w:hAnsiTheme="minorHAnsi" w:cstheme="minorHAnsi"/>
              </w:rPr>
              <w:lastRenderedPageBreak/>
              <w:t>Figure 5: Macro effects on male real graduate wages in Victoria and Western Australia, 2013 versus 2009 cohorts</w:t>
            </w:r>
          </w:p>
          <w:p w14:paraId="5CAB401B" w14:textId="76C0F988" w:rsidR="00FA6CD8" w:rsidRPr="00A65D2F" w:rsidRDefault="00FA6CD8" w:rsidP="00633F63">
            <w:pPr>
              <w:pStyle w:val="Chart"/>
            </w:pPr>
            <w:r>
              <w:drawing>
                <wp:inline distT="0" distB="0" distL="0" distR="0" wp14:anchorId="6431C8E5" wp14:editId="4A147A48">
                  <wp:extent cx="3009520" cy="2880000"/>
                  <wp:effectExtent l="0" t="0" r="635" b="0"/>
                  <wp:docPr id="27" name="Picture 27" descr="Line chart with error bars showing our estimates of the macro effect on wages, 2013 cohort versus 2009 cohort, for male graduates in WA versus VIC, over the first five years post-graduation. The chart shows that the decline in real wages due to macro effects was initially worse for graduates in VIC compared with WA. Over the following five years the macro effect wage penalty for VIC graduates reduced to 0, whereas the penalty for WA graduates increased to -10%. This evidence is considered in conjunction with the trends in Figure 6. Chart contains data from HEIMS, ATO PIT, ATO customer locations, and BITRE commuting z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Line chart with error bars showing our estimates of the macro effect on wages, 2013 cohort versus 2009 cohort, for male graduates in WA versus VIC, over the first five years post-graduation. The chart shows that the decline in real wages due to macro effects was initially worse for graduates in VIC compared with WA. Over the following five years the macro effect wage penalty for VIC graduates reduced to 0, whereas the penalty for WA graduates increased to -10%. This evidence is considered in conjunction with the trends in Figure 6. Chart contains data from HEIMS, ATO PIT, ATO customer locations, and BITRE commuting zones."/>
                          <pic:cNvPicPr/>
                        </pic:nvPicPr>
                        <pic:blipFill rotWithShape="1">
                          <a:blip r:embed="rId69" cstate="print">
                            <a:extLst>
                              <a:ext uri="{28A0092B-C50C-407E-A947-70E740481C1C}">
                                <a14:useLocalDpi xmlns:a14="http://schemas.microsoft.com/office/drawing/2010/main" val="0"/>
                              </a:ext>
                            </a:extLst>
                          </a:blip>
                          <a:srcRect t="4304"/>
                          <a:stretch/>
                        </pic:blipFill>
                        <pic:spPr bwMode="auto">
                          <a:xfrm>
                            <a:off x="0" y="0"/>
                            <a:ext cx="3009520" cy="2880000"/>
                          </a:xfrm>
                          <a:prstGeom prst="rect">
                            <a:avLst/>
                          </a:prstGeom>
                          <a:ln>
                            <a:noFill/>
                          </a:ln>
                          <a:extLst>
                            <a:ext uri="{53640926-AAD7-44D8-BBD7-CCE9431645EC}">
                              <a14:shadowObscured xmlns:a14="http://schemas.microsoft.com/office/drawing/2010/main"/>
                            </a:ext>
                          </a:extLst>
                        </pic:spPr>
                      </pic:pic>
                    </a:graphicData>
                  </a:graphic>
                </wp:inline>
              </w:drawing>
            </w:r>
          </w:p>
        </w:tc>
        <w:tc>
          <w:tcPr>
            <w:tcW w:w="5245" w:type="dxa"/>
          </w:tcPr>
          <w:p w14:paraId="703E824B" w14:textId="111AA0B6" w:rsidR="00FA6CD8" w:rsidRDefault="00FA6CD8" w:rsidP="00FA6CD8">
            <w:pPr>
              <w:pStyle w:val="Charttitle"/>
              <w:spacing w:before="120"/>
              <w:rPr>
                <w:rFonts w:asciiTheme="minorHAnsi" w:hAnsiTheme="minorHAnsi" w:cstheme="minorHAnsi"/>
              </w:rPr>
            </w:pPr>
            <w:r w:rsidRPr="008A5496">
              <w:rPr>
                <w:rFonts w:asciiTheme="minorHAnsi" w:hAnsiTheme="minorHAnsi" w:cstheme="minorHAnsi"/>
              </w:rPr>
              <w:t>Figure 6: Employment to population ratio</w:t>
            </w:r>
            <w:r>
              <w:rPr>
                <w:rFonts w:asciiTheme="minorHAnsi" w:hAnsiTheme="minorHAnsi" w:cstheme="minorHAnsi"/>
              </w:rPr>
              <w:t xml:space="preserve"> – </w:t>
            </w:r>
            <w:r w:rsidR="00414813">
              <w:rPr>
                <w:rFonts w:asciiTheme="minorHAnsi" w:hAnsiTheme="minorHAnsi" w:cstheme="minorHAnsi"/>
              </w:rPr>
              <w:t>Victoria and Western Australia</w:t>
            </w:r>
          </w:p>
          <w:p w14:paraId="25AC525A" w14:textId="77777777" w:rsidR="00FA6CD8" w:rsidRDefault="00FA6CD8" w:rsidP="00FA6CD8">
            <w:pPr>
              <w:pStyle w:val="Charttitle"/>
              <w:spacing w:before="120"/>
              <w:rPr>
                <w:rFonts w:asciiTheme="minorHAnsi" w:hAnsiTheme="minorHAnsi" w:cstheme="minorHAnsi"/>
              </w:rPr>
            </w:pPr>
          </w:p>
          <w:p w14:paraId="30C733F6" w14:textId="2461FE19" w:rsidR="00FA6CD8" w:rsidRPr="00A65D2F" w:rsidRDefault="00FA6CD8" w:rsidP="00633F63">
            <w:pPr>
              <w:pStyle w:val="Chart"/>
            </w:pPr>
            <w:r>
              <w:drawing>
                <wp:inline distT="0" distB="0" distL="0" distR="0" wp14:anchorId="317FE6D1" wp14:editId="393A7EB5">
                  <wp:extent cx="3051750" cy="2880000"/>
                  <wp:effectExtent l="0" t="0" r="0" b="0"/>
                  <wp:docPr id="30" name="Picture 30" descr="Line chart with two lines showing the employment to population ratio for people aged 18-24, 2014 - 2019. The chart shows that the ratio, which take as a proxy for labour demand, declined over the period in WA and rose in VIC. This evidence is considered in conjunction with the trends in Figure 5. Chart contains data from HEIMS, ATO PIT, ATO customer locations, and BITRE commuting zon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Picture 207" descr="Line chart with two lines showing the employment to population ratio for people aged 18-24, 2014 - 2019. The chart shows that the ratio, which take as a proxy for labour demand, declined over the period in WA and rose in VIC. This evidence is considered in conjunction with the trends in Figure 5. Chart contains data from HEIMS, ATO PIT, ATO customer locations, and BITRE commuting zones.&#10;"/>
                          <pic:cNvPicPr/>
                        </pic:nvPicPr>
                        <pic:blipFill rotWithShape="1">
                          <a:blip r:embed="rId70" cstate="print">
                            <a:extLst>
                              <a:ext uri="{28A0092B-C50C-407E-A947-70E740481C1C}">
                                <a14:useLocalDpi xmlns:a14="http://schemas.microsoft.com/office/drawing/2010/main" val="0"/>
                              </a:ext>
                            </a:extLst>
                          </a:blip>
                          <a:srcRect t="5628"/>
                          <a:stretch/>
                        </pic:blipFill>
                        <pic:spPr bwMode="auto">
                          <a:xfrm>
                            <a:off x="0" y="0"/>
                            <a:ext cx="3051750" cy="2880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44213D06" w14:textId="18EACEDE" w:rsidR="00FA6CD8" w:rsidRPr="004F18C9" w:rsidRDefault="00FA6CD8" w:rsidP="00FA6CD8">
      <w:pPr>
        <w:pStyle w:val="Chartsource"/>
        <w:rPr>
          <w:rFonts w:asciiTheme="minorHAnsi" w:hAnsiTheme="minorHAnsi" w:cstheme="minorHAnsi"/>
        </w:rPr>
      </w:pPr>
      <w:r w:rsidRPr="004F18C9">
        <w:rPr>
          <w:rFonts w:asciiTheme="minorHAnsi" w:hAnsiTheme="minorHAnsi" w:cstheme="minorHAnsi"/>
        </w:rPr>
        <w:t>Notes: Green dots and shaded areas in Figure 5 show average real wage macro effects and 95% CI for men in WA and VIC, 2013 versus 2009 graduates.</w:t>
      </w:r>
    </w:p>
    <w:p w14:paraId="564A8FF1" w14:textId="0861E045" w:rsidR="00FA6CD8" w:rsidRPr="00A65D2F" w:rsidRDefault="00FA6CD8" w:rsidP="00A65D2F">
      <w:pPr>
        <w:pStyle w:val="Chartsource"/>
        <w:rPr>
          <w:rFonts w:asciiTheme="minorHAnsi" w:hAnsiTheme="minorHAnsi" w:cstheme="minorHAnsi"/>
        </w:rPr>
      </w:pPr>
      <w:r w:rsidRPr="004F18C9">
        <w:rPr>
          <w:rFonts w:asciiTheme="minorHAnsi" w:hAnsiTheme="minorHAnsi" w:cstheme="minorHAnsi"/>
        </w:rPr>
        <w:t>Source: Treasury analysis using the Labour Market Tracker, including HEIMS data from DESE and personal income tax filings from the ATO.</w:t>
      </w:r>
    </w:p>
    <w:p w14:paraId="396E4D98" w14:textId="08163060" w:rsidR="004F18C9" w:rsidRPr="00E8429F" w:rsidRDefault="004F18C9" w:rsidP="00633F63">
      <w:pPr>
        <w:pStyle w:val="Heading1"/>
      </w:pPr>
      <w:r w:rsidRPr="00E8429F">
        <w:t>Conclusion</w:t>
      </w:r>
    </w:p>
    <w:p w14:paraId="6A27CA59" w14:textId="34E032B7" w:rsidR="00A02510" w:rsidRDefault="00A02510" w:rsidP="00F2679A">
      <w:r>
        <w:t>W</w:t>
      </w:r>
      <w:r w:rsidR="004F18C9">
        <w:t>e find that the decline in real average wages for bachelor</w:t>
      </w:r>
      <w:r>
        <w:t>’s</w:t>
      </w:r>
      <w:r w:rsidR="004F18C9">
        <w:t xml:space="preserve"> </w:t>
      </w:r>
      <w:r w:rsidR="00957672">
        <w:t xml:space="preserve">degree </w:t>
      </w:r>
      <w:r w:rsidR="004F18C9">
        <w:t xml:space="preserve">graduates over the 2010s is largely explained by macro factors, rather than changing characteristics of students. </w:t>
      </w:r>
      <w:r>
        <w:t>With respect to the demand for bachelor</w:t>
      </w:r>
      <w:r w:rsidR="00957672">
        <w:t>’s</w:t>
      </w:r>
      <w:r>
        <w:t xml:space="preserve"> </w:t>
      </w:r>
      <w:r w:rsidR="00957672">
        <w:t xml:space="preserve">degree </w:t>
      </w:r>
      <w:r>
        <w:t>graduates’ labour</w:t>
      </w:r>
      <w:r w:rsidR="004F18C9">
        <w:t>, our results are consistent with earlier Treasury working papers which show th</w:t>
      </w:r>
      <w:r>
        <w:t xml:space="preserve">e sensitivity of graduates’ labour market outcomes to broader labour market conditions </w:t>
      </w:r>
      <w:r w:rsidR="004F18C9">
        <w:t>(Andrews et al. 2020). Both pieces add to evidence</w:t>
      </w:r>
      <w:r w:rsidR="004F18C9" w:rsidDel="00957672">
        <w:t xml:space="preserve"> </w:t>
      </w:r>
      <w:r w:rsidR="00957672">
        <w:t xml:space="preserve">of </w:t>
      </w:r>
      <w:r w:rsidR="004F18C9">
        <w:t>the importance of macro stabilisation policies given the potential for long</w:t>
      </w:r>
      <w:r w:rsidR="002B75D0">
        <w:noBreakHyphen/>
      </w:r>
      <w:r w:rsidR="004F18C9">
        <w:t xml:space="preserve">run labour market scarring for young workers entering a weak labour market. </w:t>
      </w:r>
    </w:p>
    <w:p w14:paraId="7C219011" w14:textId="604A03F3" w:rsidR="00FE5CB4" w:rsidRDefault="004F18C9" w:rsidP="00F2679A">
      <w:r>
        <w:t>On the supply side, our findings are consistent with the hypothesis that increases in the number of university graduates increased competition for skilled jobs and</w:t>
      </w:r>
      <w:r w:rsidR="003D3FD0">
        <w:t>,</w:t>
      </w:r>
      <w:r>
        <w:t xml:space="preserve"> in turn</w:t>
      </w:r>
      <w:r w:rsidR="003D3FD0">
        <w:t>,</w:t>
      </w:r>
      <w:r>
        <w:t xml:space="preserve"> were partly responsible for young people’s falling wages (Productivity Commission 2020). This highlights the importance of ensuring </w:t>
      </w:r>
      <w:r w:rsidR="00626C33">
        <w:t xml:space="preserve">any </w:t>
      </w:r>
      <w:r>
        <w:t xml:space="preserve">future skills and </w:t>
      </w:r>
      <w:r w:rsidR="00775543">
        <w:t xml:space="preserve">higher </w:t>
      </w:r>
      <w:r>
        <w:t>education</w:t>
      </w:r>
      <w:r w:rsidR="00376D5B">
        <w:t xml:space="preserve"> policy</w:t>
      </w:r>
      <w:r>
        <w:t xml:space="preserve"> </w:t>
      </w:r>
      <w:r w:rsidR="00775543">
        <w:t>interventions</w:t>
      </w:r>
      <w:r w:rsidR="00626C33">
        <w:t xml:space="preserve"> that go beyond supporting informed student choices</w:t>
      </w:r>
      <w:r>
        <w:t xml:space="preserve"> </w:t>
      </w:r>
      <w:r w:rsidR="00FE7CF0">
        <w:t>are</w:t>
      </w:r>
      <w:r>
        <w:t xml:space="preserve"> well</w:t>
      </w:r>
      <w:r w:rsidR="0012729F">
        <w:t xml:space="preserve"> </w:t>
      </w:r>
      <w:r>
        <w:t>targeted towards sectors with growing demand for skills</w:t>
      </w:r>
      <w:r w:rsidR="0012729F">
        <w:t>;</w:t>
      </w:r>
      <w:r>
        <w:t xml:space="preserve"> for </w:t>
      </w:r>
      <w:proofErr w:type="gramStart"/>
      <w:r>
        <w:t>example</w:t>
      </w:r>
      <w:proofErr w:type="gramEnd"/>
      <w:r>
        <w:t xml:space="preserve"> </w:t>
      </w:r>
      <w:r w:rsidR="007434C7">
        <w:t xml:space="preserve">by </w:t>
      </w:r>
      <w:r>
        <w:t>using the National Skills Commission’s Skills Tracker.</w:t>
      </w:r>
      <w:r w:rsidR="00A02510">
        <w:t xml:space="preserve"> In neither case, however, did changes in the </w:t>
      </w:r>
      <w:r w:rsidR="007129A0">
        <w:rPr>
          <w:i/>
          <w:iCs/>
        </w:rPr>
        <w:t>characteristics</w:t>
      </w:r>
      <w:r w:rsidR="00A02510">
        <w:rPr>
          <w:i/>
          <w:iCs/>
        </w:rPr>
        <w:t xml:space="preserve"> </w:t>
      </w:r>
      <w:r w:rsidR="00A02510">
        <w:t>of people graduating drive the fall in real wages.</w:t>
      </w:r>
      <w:r w:rsidR="00FE5CB4">
        <w:br w:type="page"/>
      </w:r>
    </w:p>
    <w:p w14:paraId="106850D2" w14:textId="77574DE2" w:rsidR="00FE5CB4" w:rsidRPr="00FE5CB4" w:rsidRDefault="00FE5CB4" w:rsidP="00057683">
      <w:pPr>
        <w:pStyle w:val="Heading1"/>
      </w:pPr>
      <w:r w:rsidRPr="00FE5CB4">
        <w:lastRenderedPageBreak/>
        <w:t>References</w:t>
      </w:r>
    </w:p>
    <w:p w14:paraId="6C73C6DB" w14:textId="3C22933F" w:rsidR="00F87BD0" w:rsidRDefault="00F87BD0" w:rsidP="00F2679A">
      <w:pPr>
        <w:spacing w:after="0"/>
        <w:textAlignment w:val="center"/>
      </w:pPr>
      <w:proofErr w:type="spellStart"/>
      <w:r>
        <w:t>Chernozhukov</w:t>
      </w:r>
      <w:proofErr w:type="spellEnd"/>
      <w:r>
        <w:t xml:space="preserve"> </w:t>
      </w:r>
      <w:r w:rsidR="00580819">
        <w:t>V,</w:t>
      </w:r>
      <w:r>
        <w:t xml:space="preserve"> </w:t>
      </w:r>
      <w:proofErr w:type="spellStart"/>
      <w:r>
        <w:t>Demirer</w:t>
      </w:r>
      <w:proofErr w:type="spellEnd"/>
      <w:r w:rsidR="008F51C0" w:rsidRPr="008F51C0">
        <w:t xml:space="preserve"> </w:t>
      </w:r>
      <w:r w:rsidR="008F51C0">
        <w:t>M</w:t>
      </w:r>
      <w:r>
        <w:t xml:space="preserve">, </w:t>
      </w:r>
      <w:proofErr w:type="spellStart"/>
      <w:r>
        <w:t>Duflo</w:t>
      </w:r>
      <w:proofErr w:type="spellEnd"/>
      <w:r w:rsidR="008F51C0" w:rsidRPr="008F51C0">
        <w:t xml:space="preserve"> </w:t>
      </w:r>
      <w:r w:rsidR="008F51C0">
        <w:t>E</w:t>
      </w:r>
      <w:r>
        <w:t>, and Fernandez</w:t>
      </w:r>
      <w:r w:rsidR="002B75D0">
        <w:noBreakHyphen/>
      </w:r>
      <w:r>
        <w:t>Val</w:t>
      </w:r>
      <w:r w:rsidR="008F51C0" w:rsidRPr="008F51C0">
        <w:t xml:space="preserve"> </w:t>
      </w:r>
      <w:r w:rsidR="008F51C0">
        <w:t>I</w:t>
      </w:r>
      <w:r w:rsidR="00DE55ED">
        <w:t xml:space="preserve"> (2018)</w:t>
      </w:r>
      <w:r>
        <w:t xml:space="preserve"> </w:t>
      </w:r>
      <w:r w:rsidR="002916A2">
        <w:t>‘</w:t>
      </w:r>
      <w:hyperlink r:id="rId71" w:history="1">
        <w:r w:rsidRPr="00F376E1">
          <w:rPr>
            <w:rStyle w:val="Hyperlink"/>
          </w:rPr>
          <w:t>Generic machine learning inference on heterogenous treatment effects in randomized experiments</w:t>
        </w:r>
      </w:hyperlink>
      <w:r>
        <w:t>.</w:t>
      </w:r>
      <w:r w:rsidR="002916A2">
        <w:t>’</w:t>
      </w:r>
      <w:r>
        <w:t xml:space="preserve"> Technical report, </w:t>
      </w:r>
      <w:r w:rsidRPr="00C76318">
        <w:rPr>
          <w:i/>
          <w:iCs/>
        </w:rPr>
        <w:t>National Bureau of Economic Research</w:t>
      </w:r>
      <w:r>
        <w:t>.</w:t>
      </w:r>
    </w:p>
    <w:p w14:paraId="0CF145BC" w14:textId="09F6C639" w:rsidR="00FE5CB4" w:rsidRPr="00DC62DE" w:rsidRDefault="00FE5CB4" w:rsidP="00F2679A">
      <w:pPr>
        <w:spacing w:after="0"/>
        <w:textAlignment w:val="center"/>
        <w:rPr>
          <w:rFonts w:asciiTheme="minorHAnsi" w:eastAsiaTheme="minorHAnsi" w:hAnsiTheme="minorHAnsi" w:cstheme="minorBidi"/>
        </w:rPr>
      </w:pPr>
      <w:r>
        <w:t xml:space="preserve">Andrews, </w:t>
      </w:r>
      <w:r w:rsidR="00FF0DB3">
        <w:t>D</w:t>
      </w:r>
      <w:r>
        <w:t>, Deutscher</w:t>
      </w:r>
      <w:r w:rsidR="008F51C0" w:rsidRPr="008F51C0">
        <w:t xml:space="preserve"> </w:t>
      </w:r>
      <w:r w:rsidR="008F51C0">
        <w:t>N</w:t>
      </w:r>
      <w:r>
        <w:t>, Hambur</w:t>
      </w:r>
      <w:r w:rsidR="008F51C0">
        <w:t xml:space="preserve"> J</w:t>
      </w:r>
      <w:r w:rsidR="00FF0DB3">
        <w:t>,</w:t>
      </w:r>
      <w:r>
        <w:t xml:space="preserve"> Hansell</w:t>
      </w:r>
      <w:r w:rsidR="008F51C0">
        <w:t xml:space="preserve"> D</w:t>
      </w:r>
      <w:r>
        <w:t xml:space="preserve"> (2020) </w:t>
      </w:r>
      <w:r w:rsidR="002916A2">
        <w:t>‘</w:t>
      </w:r>
      <w:hyperlink r:id="rId72" w:history="1">
        <w:r w:rsidRPr="00F376E1">
          <w:rPr>
            <w:rStyle w:val="Hyperlink"/>
          </w:rPr>
          <w:t>The career effects of labour market conditions at entry</w:t>
        </w:r>
      </w:hyperlink>
      <w:r w:rsidR="002916A2">
        <w:t>’</w:t>
      </w:r>
      <w:r>
        <w:t xml:space="preserve">, </w:t>
      </w:r>
      <w:r>
        <w:rPr>
          <w:i/>
          <w:iCs/>
        </w:rPr>
        <w:t>Treasury Working Paper</w:t>
      </w:r>
      <w:r>
        <w:t>.</w:t>
      </w:r>
    </w:p>
    <w:p w14:paraId="1F0CEEAD" w14:textId="29487439" w:rsidR="00FE5CB4" w:rsidRDefault="00FE5CB4" w:rsidP="00F2679A">
      <w:pPr>
        <w:autoSpaceDE w:val="0"/>
        <w:autoSpaceDN w:val="0"/>
        <w:spacing w:after="0"/>
        <w:rPr>
          <w:rFonts w:cstheme="minorHAnsi"/>
        </w:rPr>
      </w:pPr>
      <w:r>
        <w:rPr>
          <w:rFonts w:cstheme="minorHAnsi"/>
        </w:rPr>
        <w:t xml:space="preserve">Productivity Commission (2020) </w:t>
      </w:r>
      <w:hyperlink r:id="rId73" w:history="1">
        <w:r w:rsidRPr="00F376E1">
          <w:rPr>
            <w:rStyle w:val="Hyperlink"/>
            <w:rFonts w:cstheme="minorHAnsi"/>
            <w:i/>
            <w:iCs/>
          </w:rPr>
          <w:t>Why did young people’s incomes decline?,</w:t>
        </w:r>
      </w:hyperlink>
      <w:r>
        <w:rPr>
          <w:rFonts w:cstheme="minorHAnsi"/>
        </w:rPr>
        <w:t xml:space="preserve"> Commission Research Paper, Canberra.</w:t>
      </w:r>
    </w:p>
    <w:p w14:paraId="4E2D3139" w14:textId="2766527E" w:rsidR="00FE5CB4" w:rsidRDefault="00FE5CB4" w:rsidP="00F2679A">
      <w:pPr>
        <w:autoSpaceDE w:val="0"/>
        <w:autoSpaceDN w:val="0"/>
        <w:spacing w:after="0"/>
        <w:rPr>
          <w:rFonts w:cstheme="minorHAnsi"/>
        </w:rPr>
      </w:pPr>
      <w:r>
        <w:rPr>
          <w:rFonts w:cstheme="minorHAnsi"/>
        </w:rPr>
        <w:t xml:space="preserve">Productivity Commission (2019) </w:t>
      </w:r>
      <w:hyperlink r:id="rId74" w:history="1">
        <w:r w:rsidRPr="00F376E1">
          <w:rPr>
            <w:rStyle w:val="Hyperlink"/>
            <w:rFonts w:cstheme="minorHAnsi"/>
            <w:i/>
            <w:iCs/>
          </w:rPr>
          <w:t>The Demand Driven University System: A Mixed Report Card</w:t>
        </w:r>
      </w:hyperlink>
      <w:r>
        <w:rPr>
          <w:rFonts w:cstheme="minorHAnsi"/>
        </w:rPr>
        <w:t>, Commission Research Paper, Canberra.</w:t>
      </w:r>
    </w:p>
    <w:p w14:paraId="36C63166" w14:textId="51BA200F" w:rsidR="00FE5CB4" w:rsidRDefault="00FF0DB3" w:rsidP="00F2679A">
      <w:pPr>
        <w:autoSpaceDE w:val="0"/>
        <w:autoSpaceDN w:val="0"/>
        <w:spacing w:after="0"/>
        <w:rPr>
          <w:rFonts w:cstheme="minorHAnsi"/>
        </w:rPr>
      </w:pPr>
      <w:r>
        <w:rPr>
          <w:rFonts w:cstheme="minorHAnsi"/>
        </w:rPr>
        <w:t>Wagner S,</w:t>
      </w:r>
      <w:r w:rsidR="00007417">
        <w:rPr>
          <w:rFonts w:cstheme="minorHAnsi"/>
        </w:rPr>
        <w:t xml:space="preserve"> </w:t>
      </w:r>
      <w:proofErr w:type="spellStart"/>
      <w:r w:rsidR="00FE5CB4">
        <w:rPr>
          <w:rFonts w:cstheme="minorHAnsi"/>
        </w:rPr>
        <w:t>Athey</w:t>
      </w:r>
      <w:proofErr w:type="spellEnd"/>
      <w:r w:rsidR="00FE5CB4">
        <w:rPr>
          <w:rFonts w:cstheme="minorHAnsi"/>
        </w:rPr>
        <w:t xml:space="preserve"> </w:t>
      </w:r>
      <w:r w:rsidR="00007417">
        <w:rPr>
          <w:rFonts w:cstheme="minorHAnsi"/>
        </w:rPr>
        <w:t xml:space="preserve">S </w:t>
      </w:r>
      <w:r w:rsidR="00FE5CB4">
        <w:rPr>
          <w:rFonts w:cstheme="minorHAnsi"/>
        </w:rPr>
        <w:t xml:space="preserve">(2018) </w:t>
      </w:r>
      <w:r w:rsidR="002916A2">
        <w:rPr>
          <w:rFonts w:cstheme="minorHAnsi"/>
        </w:rPr>
        <w:t>‘</w:t>
      </w:r>
      <w:hyperlink r:id="rId75" w:history="1">
        <w:r w:rsidR="00FE5CB4" w:rsidRPr="00F376E1">
          <w:rPr>
            <w:rStyle w:val="Hyperlink"/>
            <w:rFonts w:cstheme="minorHAnsi"/>
          </w:rPr>
          <w:t>Estimation and Inference of Heterogeneous Treatment Effects using Random Forests</w:t>
        </w:r>
      </w:hyperlink>
      <w:r w:rsidR="002916A2">
        <w:rPr>
          <w:rFonts w:cstheme="minorHAnsi"/>
        </w:rPr>
        <w:t>’</w:t>
      </w:r>
      <w:r w:rsidR="00FE5CB4">
        <w:rPr>
          <w:rFonts w:cstheme="minorHAnsi"/>
        </w:rPr>
        <w:t xml:space="preserve">, </w:t>
      </w:r>
      <w:r w:rsidR="00FE5CB4" w:rsidRPr="00601D1F">
        <w:rPr>
          <w:rFonts w:cstheme="minorHAnsi"/>
          <w:i/>
        </w:rPr>
        <w:t>Journal of the American Statistical Association</w:t>
      </w:r>
      <w:r w:rsidR="00FE5CB4">
        <w:rPr>
          <w:rFonts w:cstheme="minorHAnsi"/>
        </w:rPr>
        <w:t>, 113:523, 1228</w:t>
      </w:r>
      <w:r w:rsidR="002B75D0">
        <w:rPr>
          <w:rFonts w:cstheme="minorHAnsi"/>
        </w:rPr>
        <w:noBreakHyphen/>
      </w:r>
      <w:r w:rsidR="00FE5CB4">
        <w:rPr>
          <w:rFonts w:cstheme="minorHAnsi"/>
        </w:rPr>
        <w:t>1242, DOI: 10.1080/01621459.2017.1319839</w:t>
      </w:r>
    </w:p>
    <w:p w14:paraId="6C61D9CA" w14:textId="7D95E402" w:rsidR="00FE5CB4" w:rsidRDefault="00FF0DB3" w:rsidP="00F2679A">
      <w:pPr>
        <w:autoSpaceDE w:val="0"/>
        <w:autoSpaceDN w:val="0"/>
        <w:spacing w:after="0"/>
        <w:rPr>
          <w:rFonts w:cstheme="minorHAnsi"/>
        </w:rPr>
      </w:pPr>
      <w:r>
        <w:rPr>
          <w:rFonts w:cstheme="minorHAnsi"/>
        </w:rPr>
        <w:t xml:space="preserve">Wagner S, </w:t>
      </w:r>
      <w:proofErr w:type="spellStart"/>
      <w:r w:rsidR="00FE5CB4">
        <w:rPr>
          <w:rFonts w:cstheme="minorHAnsi"/>
        </w:rPr>
        <w:t>Athey</w:t>
      </w:r>
      <w:proofErr w:type="spellEnd"/>
      <w:r w:rsidR="00007417">
        <w:rPr>
          <w:rFonts w:cstheme="minorHAnsi"/>
        </w:rPr>
        <w:t xml:space="preserve"> S</w:t>
      </w:r>
      <w:r w:rsidR="00FE5CB4">
        <w:rPr>
          <w:rFonts w:cstheme="minorHAnsi"/>
        </w:rPr>
        <w:t xml:space="preserve"> (2021) </w:t>
      </w:r>
      <w:r w:rsidR="002916A2">
        <w:rPr>
          <w:rFonts w:cstheme="minorHAnsi"/>
        </w:rPr>
        <w:t>‘</w:t>
      </w:r>
      <w:hyperlink r:id="rId76" w:history="1">
        <w:r w:rsidR="00FE5CB4" w:rsidRPr="00007417">
          <w:rPr>
            <w:rStyle w:val="Hyperlink"/>
            <w:rFonts w:cstheme="minorHAnsi"/>
          </w:rPr>
          <w:t>Estimating Treatment Effects with Causal Forests: An Application</w:t>
        </w:r>
      </w:hyperlink>
      <w:r w:rsidR="002916A2">
        <w:rPr>
          <w:rFonts w:cstheme="minorHAnsi"/>
        </w:rPr>
        <w:t>’</w:t>
      </w:r>
      <w:r w:rsidR="00FE5CB4">
        <w:rPr>
          <w:rFonts w:cstheme="minorHAnsi"/>
        </w:rPr>
        <w:t xml:space="preserve">, </w:t>
      </w:r>
      <w:r w:rsidR="00FE5CB4" w:rsidRPr="00601D1F">
        <w:rPr>
          <w:rFonts w:cstheme="minorHAnsi"/>
          <w:i/>
        </w:rPr>
        <w:t>Stanford University Business School Working Paper</w:t>
      </w:r>
      <w:r w:rsidR="00FE5CB4">
        <w:rPr>
          <w:rFonts w:cstheme="minorHAnsi"/>
        </w:rPr>
        <w:t>, California.</w:t>
      </w:r>
    </w:p>
    <w:p w14:paraId="38F46E25" w14:textId="77777777" w:rsidR="00044559" w:rsidRDefault="00044559" w:rsidP="002D40F0">
      <w:pPr>
        <w:spacing w:before="0" w:after="0"/>
        <w:sectPr w:rsidR="00044559" w:rsidSect="00BB18A1">
          <w:footnotePr>
            <w:numRestart w:val="eachSect"/>
          </w:footnotePr>
          <w:pgSz w:w="11906" w:h="16838" w:code="9"/>
          <w:pgMar w:top="1843" w:right="1418" w:bottom="1418" w:left="1418" w:header="567" w:footer="249" w:gutter="0"/>
          <w:cols w:space="340"/>
          <w:docGrid w:linePitch="360"/>
        </w:sectPr>
      </w:pPr>
    </w:p>
    <w:p w14:paraId="67FEAED3" w14:textId="0CA18A54" w:rsidR="002D40F0" w:rsidRPr="000E2E34" w:rsidRDefault="002D40F0" w:rsidP="00DA14B0">
      <w:pPr>
        <w:pStyle w:val="Reporttitle"/>
      </w:pPr>
      <w:bookmarkStart w:id="13" w:name="_Toc115880556"/>
      <w:r w:rsidRPr="002D40F0">
        <w:lastRenderedPageBreak/>
        <w:t xml:space="preserve">Children and the </w:t>
      </w:r>
      <w:r w:rsidR="00A8141F">
        <w:t>g</w:t>
      </w:r>
      <w:r w:rsidRPr="002D40F0">
        <w:t xml:space="preserve">ender </w:t>
      </w:r>
      <w:r w:rsidR="00A8141F">
        <w:t>e</w:t>
      </w:r>
      <w:r w:rsidRPr="002D40F0">
        <w:t xml:space="preserve">arnings </w:t>
      </w:r>
      <w:r w:rsidR="00A8141F">
        <w:t>g</w:t>
      </w:r>
      <w:r w:rsidRPr="002D40F0">
        <w:t>ap</w:t>
      </w:r>
      <w:bookmarkEnd w:id="1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498"/>
      </w:tblGrid>
      <w:tr w:rsidR="002D40F0" w14:paraId="179FFA1D" w14:textId="77777777" w:rsidTr="00E526E9">
        <w:tc>
          <w:tcPr>
            <w:tcW w:w="8498" w:type="dxa"/>
            <w:shd w:val="clear" w:color="auto" w:fill="auto"/>
          </w:tcPr>
          <w:p w14:paraId="3085C9EB" w14:textId="492B54DC" w:rsidR="002D40F0" w:rsidRPr="000E2E34" w:rsidRDefault="002D40F0" w:rsidP="00057683">
            <w:pPr>
              <w:pStyle w:val="Authornameunderlined"/>
            </w:pPr>
            <w:r w:rsidRPr="000E2E34">
              <w:t xml:space="preserve">Prepared by </w:t>
            </w:r>
            <w:r w:rsidR="00B90FCD" w:rsidRPr="00B90FCD">
              <w:t>Elif Bahar, Natasha Bradshaw</w:t>
            </w:r>
            <w:r w:rsidR="00D91707">
              <w:t xml:space="preserve">, </w:t>
            </w:r>
            <w:r w:rsidR="00D91707" w:rsidRPr="00B90FCD">
              <w:t xml:space="preserve">Nathan </w:t>
            </w:r>
            <w:proofErr w:type="gramStart"/>
            <w:r w:rsidR="00D91707" w:rsidRPr="00B90FCD">
              <w:t>Deutscher</w:t>
            </w:r>
            <w:proofErr w:type="gramEnd"/>
            <w:r w:rsidR="00B90FCD" w:rsidRPr="00B90FCD">
              <w:t xml:space="preserve"> and Maxine Montaigne</w:t>
            </w:r>
            <w:r w:rsidR="006B6F4C">
              <w:rPr>
                <w:rStyle w:val="FootnoteReference"/>
              </w:rPr>
              <w:footnoteReference w:customMarkFollows="1" w:id="25"/>
              <w:t>*</w:t>
            </w:r>
          </w:p>
        </w:tc>
      </w:tr>
      <w:tr w:rsidR="002D40F0" w14:paraId="2A10BE46" w14:textId="77777777" w:rsidTr="00E526E9">
        <w:trPr>
          <w:trHeight w:val="170"/>
        </w:trPr>
        <w:tc>
          <w:tcPr>
            <w:tcW w:w="8498" w:type="dxa"/>
            <w:shd w:val="clear" w:color="auto" w:fill="auto"/>
          </w:tcPr>
          <w:p w14:paraId="6F4AF7C9" w14:textId="77777777" w:rsidR="002D40F0" w:rsidRPr="000520F1" w:rsidRDefault="002D40F0" w:rsidP="001F1F0E">
            <w:pPr>
              <w:spacing w:before="0" w:after="0" w:line="276" w:lineRule="auto"/>
            </w:pPr>
          </w:p>
        </w:tc>
      </w:tr>
    </w:tbl>
    <w:tbl>
      <w:tblPr>
        <w:tblpPr w:leftFromText="181" w:rightFromText="181" w:vertAnchor="text" w:horzAnchor="margin" w:tblpY="143"/>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0"/>
      </w:tblGrid>
      <w:tr w:rsidR="002D40F0" w14:paraId="59C23A00" w14:textId="77777777" w:rsidTr="002236F2">
        <w:tc>
          <w:tcPr>
            <w:tcW w:w="5000" w:type="pct"/>
            <w:shd w:val="clear" w:color="auto" w:fill="FCEEE5" w:themeFill="accent6" w:themeFillTint="33"/>
          </w:tcPr>
          <w:p w14:paraId="6A54FEDC" w14:textId="498996C9" w:rsidR="002D40F0" w:rsidRPr="00BA123B" w:rsidRDefault="006B6F4C" w:rsidP="00DA14B0">
            <w:pPr>
              <w:pStyle w:val="Boxbullet"/>
              <w:numPr>
                <w:ilvl w:val="0"/>
                <w:numId w:val="0"/>
              </w:numPr>
              <w:ind w:left="170"/>
            </w:pPr>
            <w:r w:rsidRPr="00856C43">
              <w:rPr>
                <w:i/>
              </w:rPr>
              <w:t>The arrival of children creates a large and persistent increase in the gender earnings gap</w:t>
            </w:r>
            <w:r w:rsidR="00A8141F">
              <w:rPr>
                <w:i/>
              </w:rPr>
              <w:t>.</w:t>
            </w:r>
            <w:r w:rsidR="00A8141F" w:rsidRPr="00856C43">
              <w:rPr>
                <w:i/>
              </w:rPr>
              <w:t xml:space="preserve"> </w:t>
            </w:r>
            <w:r w:rsidRPr="00856C43">
              <w:rPr>
                <w:i/>
              </w:rPr>
              <w:t xml:space="preserve"> </w:t>
            </w:r>
            <w:r w:rsidR="00A8141F">
              <w:rPr>
                <w:i/>
              </w:rPr>
              <w:t>W</w:t>
            </w:r>
            <w:r w:rsidRPr="00856C43">
              <w:rPr>
                <w:i/>
              </w:rPr>
              <w:t xml:space="preserve">omen’s earnings </w:t>
            </w:r>
            <w:r w:rsidR="00A8141F">
              <w:rPr>
                <w:i/>
              </w:rPr>
              <w:t xml:space="preserve">are reduced </w:t>
            </w:r>
            <w:r w:rsidRPr="00856C43">
              <w:rPr>
                <w:i/>
              </w:rPr>
              <w:t xml:space="preserve">by an average of 55 per cent in the first </w:t>
            </w:r>
            <w:r w:rsidR="00844ACC">
              <w:rPr>
                <w:i/>
              </w:rPr>
              <w:t>5</w:t>
            </w:r>
            <w:r w:rsidR="00844ACC" w:rsidRPr="00856C43" w:rsidDel="00A8141F">
              <w:rPr>
                <w:i/>
              </w:rPr>
              <w:t xml:space="preserve"> </w:t>
            </w:r>
            <w:r w:rsidRPr="00856C43">
              <w:rPr>
                <w:i/>
              </w:rPr>
              <w:t xml:space="preserve">years </w:t>
            </w:r>
            <w:r w:rsidR="00A8141F">
              <w:rPr>
                <w:i/>
              </w:rPr>
              <w:t>of</w:t>
            </w:r>
            <w:r w:rsidR="00A8141F" w:rsidRPr="00856C43">
              <w:rPr>
                <w:i/>
              </w:rPr>
              <w:t xml:space="preserve"> </w:t>
            </w:r>
            <w:r w:rsidRPr="00856C43">
              <w:rPr>
                <w:i/>
              </w:rPr>
              <w:t xml:space="preserve">parenthood. The gap in earnings </w:t>
            </w:r>
            <w:r w:rsidR="00844ACC">
              <w:rPr>
                <w:i/>
              </w:rPr>
              <w:sym w:font="Symbol" w:char="F02D"/>
            </w:r>
            <w:r w:rsidR="00844ACC">
              <w:rPr>
                <w:i/>
              </w:rPr>
              <w:t xml:space="preserve"> </w:t>
            </w:r>
            <w:r w:rsidRPr="00856C43">
              <w:rPr>
                <w:i/>
              </w:rPr>
              <w:t xml:space="preserve">termed the </w:t>
            </w:r>
            <w:r w:rsidR="00844ACC">
              <w:rPr>
                <w:i/>
              </w:rPr>
              <w:t>‘</w:t>
            </w:r>
            <w:r w:rsidRPr="00856C43">
              <w:rPr>
                <w:i/>
              </w:rPr>
              <w:t>motherhood penalty</w:t>
            </w:r>
            <w:r w:rsidR="00844ACC">
              <w:rPr>
                <w:i/>
              </w:rPr>
              <w:t>’</w:t>
            </w:r>
            <w:r w:rsidRPr="00856C43">
              <w:rPr>
                <w:i/>
              </w:rPr>
              <w:t xml:space="preserve"> </w:t>
            </w:r>
            <w:r w:rsidR="00844ACC">
              <w:rPr>
                <w:i/>
              </w:rPr>
              <w:sym w:font="Symbol" w:char="F02D"/>
            </w:r>
            <w:r w:rsidR="00A8141F">
              <w:rPr>
                <w:i/>
              </w:rPr>
              <w:t xml:space="preserve"> </w:t>
            </w:r>
            <w:r w:rsidRPr="00856C43">
              <w:rPr>
                <w:i/>
              </w:rPr>
              <w:t xml:space="preserve">remains significant a decade </w:t>
            </w:r>
            <w:r w:rsidR="00FC3438">
              <w:rPr>
                <w:i/>
              </w:rPr>
              <w:t>into parenthood</w:t>
            </w:r>
            <w:r w:rsidRPr="00856C43">
              <w:rPr>
                <w:i/>
              </w:rPr>
              <w:t xml:space="preserve">. We find the motherhood penalty is </w:t>
            </w:r>
            <w:bookmarkStart w:id="14" w:name="_Hlk113276147"/>
            <w:r w:rsidRPr="00856C43">
              <w:rPr>
                <w:i/>
              </w:rPr>
              <w:t xml:space="preserve">due to a combination of lower participation rates and reduced working hours and, to a lesser extent, a reduced hourly wage. </w:t>
            </w:r>
            <w:bookmarkStart w:id="15" w:name="_Hlk113276208"/>
            <w:bookmarkEnd w:id="14"/>
            <w:r w:rsidRPr="00856C43">
              <w:rPr>
                <w:i/>
              </w:rPr>
              <w:t>We show the decline in women’s earnings is similar regardless of their</w:t>
            </w:r>
            <w:r w:rsidR="00A8141F">
              <w:rPr>
                <w:i/>
              </w:rPr>
              <w:t xml:space="preserve"> household</w:t>
            </w:r>
            <w:r w:rsidR="00A8141F" w:rsidDel="00FC3438">
              <w:rPr>
                <w:i/>
              </w:rPr>
              <w:t xml:space="preserve"> </w:t>
            </w:r>
            <w:r w:rsidRPr="00856C43">
              <w:rPr>
                <w:i/>
              </w:rPr>
              <w:t xml:space="preserve">breadwinner status, implying that relative earnings prior to children </w:t>
            </w:r>
            <w:r w:rsidR="00844ACC">
              <w:rPr>
                <w:i/>
              </w:rPr>
              <w:t>have</w:t>
            </w:r>
            <w:r w:rsidR="00844ACC" w:rsidRPr="00856C43">
              <w:rPr>
                <w:i/>
              </w:rPr>
              <w:t xml:space="preserve"> </w:t>
            </w:r>
            <w:r w:rsidRPr="00856C43">
              <w:rPr>
                <w:i/>
              </w:rPr>
              <w:t xml:space="preserve">little influence </w:t>
            </w:r>
            <w:r w:rsidR="00A8141F">
              <w:rPr>
                <w:i/>
              </w:rPr>
              <w:t>over</w:t>
            </w:r>
            <w:r w:rsidR="00A8141F" w:rsidRPr="00856C43">
              <w:rPr>
                <w:i/>
              </w:rPr>
              <w:t xml:space="preserve"> </w:t>
            </w:r>
            <w:r w:rsidRPr="00856C43">
              <w:rPr>
                <w:i/>
              </w:rPr>
              <w:t>the</w:t>
            </w:r>
            <w:r w:rsidR="00844ACC">
              <w:rPr>
                <w:i/>
              </w:rPr>
              <w:t xml:space="preserve"> </w:t>
            </w:r>
            <w:r w:rsidR="009A3CB2">
              <w:rPr>
                <w:i/>
              </w:rPr>
              <w:t>intra</w:t>
            </w:r>
            <w:r w:rsidRPr="00856C43">
              <w:rPr>
                <w:i/>
              </w:rPr>
              <w:t xml:space="preserve">household allocation of paid work following children. </w:t>
            </w:r>
            <w:bookmarkEnd w:id="15"/>
            <w:r w:rsidRPr="00856C43">
              <w:rPr>
                <w:i/>
              </w:rPr>
              <w:t xml:space="preserve">Along with broader gender norms, workplace settings may also explain the penalty, with greater access to flexible working conditions increasing the </w:t>
            </w:r>
            <w:r w:rsidR="00A8141F">
              <w:rPr>
                <w:i/>
              </w:rPr>
              <w:t>likelihood</w:t>
            </w:r>
            <w:r w:rsidR="00A8141F" w:rsidRPr="00856C43">
              <w:rPr>
                <w:i/>
              </w:rPr>
              <w:t xml:space="preserve"> </w:t>
            </w:r>
            <w:r w:rsidRPr="00856C43">
              <w:rPr>
                <w:i/>
              </w:rPr>
              <w:t xml:space="preserve">a woman remains employed after having children. Addressing Australia’s persistent motherhood penalty and boosting women’s labour force participation after </w:t>
            </w:r>
            <w:r w:rsidR="00A8141F">
              <w:rPr>
                <w:i/>
              </w:rPr>
              <w:t>having</w:t>
            </w:r>
            <w:r w:rsidRPr="00856C43">
              <w:rPr>
                <w:i/>
              </w:rPr>
              <w:t xml:space="preserve"> children could help support improved productivity growth.</w:t>
            </w:r>
          </w:p>
        </w:tc>
      </w:tr>
    </w:tbl>
    <w:p w14:paraId="506ABB26" w14:textId="723A68ED" w:rsidR="00020051" w:rsidRDefault="00020051" w:rsidP="00D13B54">
      <w:pPr>
        <w:pStyle w:val="Heading1"/>
        <w:spacing w:before="360"/>
      </w:pPr>
      <w:r>
        <w:t>The gender earning</w:t>
      </w:r>
      <w:r w:rsidR="00767C3A">
        <w:t>s</w:t>
      </w:r>
      <w:r>
        <w:t xml:space="preserve"> gap and productivity</w:t>
      </w:r>
    </w:p>
    <w:p w14:paraId="6763A682" w14:textId="1BCC8E88" w:rsidR="009B32D2" w:rsidRDefault="009B32D2" w:rsidP="00DA14B0">
      <w:r>
        <w:t xml:space="preserve">Despite a considerable reduction in gender inequality over recent decades, there remains a significant gender earnings gap in Australia, as in other advanced economies. A gender earnings gap presents a challenge for aggregate output and productivity </w:t>
      </w:r>
      <w:r w:rsidR="00483AB6">
        <w:sym w:font="Symbol" w:char="F02D"/>
      </w:r>
      <w:r w:rsidR="00483AB6">
        <w:t xml:space="preserve"> </w:t>
      </w:r>
      <w:r>
        <w:t xml:space="preserve">it typically represents significant untapped potential in the labour market. </w:t>
      </w:r>
    </w:p>
    <w:p w14:paraId="74F7CA66" w14:textId="739E56A7" w:rsidR="009B32D2" w:rsidRDefault="009B32D2" w:rsidP="00DA14B0">
      <w:r>
        <w:t xml:space="preserve">Greater female labour force participation could boost aggregate output and productivity through </w:t>
      </w:r>
      <w:r w:rsidR="00FB4193">
        <w:t>several</w:t>
      </w:r>
      <w:r>
        <w:t xml:space="preserve"> channels.</w:t>
      </w:r>
      <w:r w:rsidDel="00FB4193">
        <w:t xml:space="preserve"> </w:t>
      </w:r>
      <w:r w:rsidR="00FB4193">
        <w:t>W</w:t>
      </w:r>
      <w:r>
        <w:t>omen represent an under</w:t>
      </w:r>
      <w:r w:rsidR="00483AB6">
        <w:t>-</w:t>
      </w:r>
      <w:r>
        <w:t>utilised labour cohort</w:t>
      </w:r>
      <w:r w:rsidR="00FF4AEA">
        <w:t xml:space="preserve">. This is </w:t>
      </w:r>
      <w:r>
        <w:t>especially important in a tight labour marke</w:t>
      </w:r>
      <w:r w:rsidR="00110CA0">
        <w:t>t where labour supply is a constraint</w:t>
      </w:r>
      <w:r>
        <w:t xml:space="preserve">. </w:t>
      </w:r>
      <w:r w:rsidR="00110CA0">
        <w:t>In the long</w:t>
      </w:r>
      <w:r w:rsidR="00C026BA">
        <w:t xml:space="preserve"> </w:t>
      </w:r>
      <w:r w:rsidR="00110CA0">
        <w:t xml:space="preserve">run, </w:t>
      </w:r>
      <w:r w:rsidDel="00110CA0">
        <w:t xml:space="preserve">removing barriers to women’s participation </w:t>
      </w:r>
      <w:r w:rsidR="00FB4193">
        <w:t>also</w:t>
      </w:r>
      <w:r>
        <w:t xml:space="preserve"> allows better matching between jobs and those best able to perform them. The improved allocation of talent that occurs when women are no longer restricted to certain kinds of work can substantially lift productivity growth (Hsieh et al</w:t>
      </w:r>
      <w:r w:rsidR="002F6DCF">
        <w:t>.</w:t>
      </w:r>
      <w:r>
        <w:t xml:space="preserve"> 2019).</w:t>
      </w:r>
      <w:r w:rsidDel="00FB4193">
        <w:t xml:space="preserve"> </w:t>
      </w:r>
      <w:r w:rsidR="00110CA0">
        <w:t>T</w:t>
      </w:r>
      <w:r>
        <w:t>here are</w:t>
      </w:r>
      <w:r w:rsidR="00110CA0">
        <w:t xml:space="preserve"> also</w:t>
      </w:r>
      <w:r>
        <w:t xml:space="preserve"> potential </w:t>
      </w:r>
      <w:r>
        <w:lastRenderedPageBreak/>
        <w:t xml:space="preserve">productivity gains from diversifying the workforce within firms and sectors </w:t>
      </w:r>
      <w:r w:rsidRPr="00136454">
        <w:t>(</w:t>
      </w:r>
      <w:proofErr w:type="spellStart"/>
      <w:r w:rsidRPr="001076C3">
        <w:t>Criscuolo</w:t>
      </w:r>
      <w:proofErr w:type="spellEnd"/>
      <w:r>
        <w:t xml:space="preserve"> et al</w:t>
      </w:r>
      <w:r w:rsidR="002F6DCF">
        <w:t>.</w:t>
      </w:r>
      <w:r>
        <w:t xml:space="preserve"> 2021; </w:t>
      </w:r>
      <w:proofErr w:type="spellStart"/>
      <w:r>
        <w:t>Ostry</w:t>
      </w:r>
      <w:proofErr w:type="spellEnd"/>
      <w:r>
        <w:t xml:space="preserve"> et al</w:t>
      </w:r>
      <w:r w:rsidR="002F6DCF">
        <w:t>.</w:t>
      </w:r>
      <w:r>
        <w:t xml:space="preserve"> 2018</w:t>
      </w:r>
      <w:r w:rsidRPr="00136454">
        <w:t xml:space="preserve">).  </w:t>
      </w:r>
    </w:p>
    <w:p w14:paraId="7D5E8A4F" w14:textId="14160DFB" w:rsidR="00790909" w:rsidRDefault="00790909">
      <w:r>
        <w:t xml:space="preserve">This article explores the role of children in labour market participation and earnings for women. We estimate the motherhood penalty by examining the differential impact of children on men’s and women’s earnings in Australia in the years following the arrival of their first child. </w:t>
      </w:r>
    </w:p>
    <w:p w14:paraId="47FD555C" w14:textId="77777777" w:rsidR="00020051" w:rsidRDefault="00020051" w:rsidP="00D13B54">
      <w:pPr>
        <w:pStyle w:val="Heading1"/>
        <w:spacing w:before="360"/>
        <w:rPr>
          <w:sz w:val="22"/>
        </w:rPr>
      </w:pPr>
      <w:r>
        <w:t>The motherhood penalty</w:t>
      </w:r>
    </w:p>
    <w:p w14:paraId="5CC09079" w14:textId="2833F08C" w:rsidR="00020051" w:rsidRDefault="00020051" w:rsidP="00020051">
      <w:pPr>
        <w:spacing w:before="0"/>
      </w:pPr>
      <w:r>
        <w:t xml:space="preserve">We follow </w:t>
      </w:r>
      <w:proofErr w:type="spellStart"/>
      <w:r w:rsidRPr="00EB1C47">
        <w:t>Kleven</w:t>
      </w:r>
      <w:proofErr w:type="spellEnd"/>
      <w:r>
        <w:t xml:space="preserve"> et al</w:t>
      </w:r>
      <w:r w:rsidR="002F6DCF">
        <w:t>.</w:t>
      </w:r>
      <w:r w:rsidRPr="00EB1C47">
        <w:t xml:space="preserve"> (2019</w:t>
      </w:r>
      <w:r>
        <w:t>b</w:t>
      </w:r>
      <w:r w:rsidRPr="00EB1C47">
        <w:t>)</w:t>
      </w:r>
      <w:r>
        <w:t xml:space="preserve"> and run an </w:t>
      </w:r>
      <w:r w:rsidR="00483AB6">
        <w:t>‘</w:t>
      </w:r>
      <w:r>
        <w:t>event study</w:t>
      </w:r>
      <w:r w:rsidR="00483AB6">
        <w:t>’</w:t>
      </w:r>
      <w:r w:rsidR="00B2043A">
        <w:t xml:space="preserve"> which</w:t>
      </w:r>
      <w:r>
        <w:t xml:space="preserve"> examin</w:t>
      </w:r>
      <w:r w:rsidR="00B2043A">
        <w:t>es how earnings evolve for men and women in the lead</w:t>
      </w:r>
      <w:r w:rsidR="002B75D0">
        <w:noBreakHyphen/>
      </w:r>
      <w:r w:rsidR="00B2043A">
        <w:t>up to and in the years immediately after</w:t>
      </w:r>
      <w:r>
        <w:t xml:space="preserve"> the arrival of the</w:t>
      </w:r>
      <w:r w:rsidR="00B2043A">
        <w:t>ir</w:t>
      </w:r>
      <w:r>
        <w:t xml:space="preserve"> first child. We use the </w:t>
      </w:r>
      <w:r w:rsidRPr="00EB1C47">
        <w:t>Household, Income and Labour Dynamics in Australia (HILDA) survey</w:t>
      </w:r>
      <w:r>
        <w:t xml:space="preserve"> to analyse the impact of children up to 5 years after the arrival of the first child and extend our analysis up to 10</w:t>
      </w:r>
      <w:r w:rsidR="00057683">
        <w:t> </w:t>
      </w:r>
      <w:r>
        <w:t xml:space="preserve">years using administrative tax data </w:t>
      </w:r>
      <w:r w:rsidR="00AD67BC">
        <w:t>from</w:t>
      </w:r>
      <w:r>
        <w:t xml:space="preserve"> the </w:t>
      </w:r>
      <w:r w:rsidRPr="00EB1C47">
        <w:t>Australian Taxation Office (ATO)</w:t>
      </w:r>
      <w:r w:rsidR="00AD67BC">
        <w:t xml:space="preserve"> (Carter et al</w:t>
      </w:r>
      <w:r w:rsidR="002F6DCF">
        <w:t>.</w:t>
      </w:r>
      <w:r w:rsidR="00AD67BC">
        <w:t xml:space="preserve"> 2021)</w:t>
      </w:r>
      <w:r>
        <w:t>. A full discussion of the data and empirical framework can be found in a forthcoming Working Paper (Bahar et al</w:t>
      </w:r>
      <w:r w:rsidR="002F6DCF">
        <w:t>.</w:t>
      </w:r>
      <w:r>
        <w:t xml:space="preserve"> forthcoming). </w:t>
      </w:r>
    </w:p>
    <w:p w14:paraId="6196FF48" w14:textId="2D230FE1" w:rsidR="00020051" w:rsidRDefault="00020051" w:rsidP="00020051">
      <w:pPr>
        <w:spacing w:before="0"/>
      </w:pPr>
      <w:r>
        <w:t xml:space="preserve">Men’s and women’s earnings follow similar paths until </w:t>
      </w:r>
      <w:r w:rsidR="00110CA0">
        <w:t>parenthood</w:t>
      </w:r>
      <w:r>
        <w:t>, at which point their earnings begin to diverge. The arrival of children reduces women’s earnings by an average of 55</w:t>
      </w:r>
      <w:r w:rsidR="00B2043A">
        <w:t> </w:t>
      </w:r>
      <w:r>
        <w:t>per</w:t>
      </w:r>
      <w:r w:rsidR="00B2043A">
        <w:t> </w:t>
      </w:r>
      <w:r>
        <w:t>cent across the first 5 years of parenthood (</w:t>
      </w:r>
      <w:r w:rsidR="005E70A1">
        <w:t xml:space="preserve">Figure </w:t>
      </w:r>
      <w:r>
        <w:t xml:space="preserve">1 Panel A). Men’s earnings are unaffected by entry into parenthood. Moreover, the motherhood penalty remains persistent for at least a decade </w:t>
      </w:r>
      <w:r w:rsidR="00110CA0">
        <w:t>into parenthood</w:t>
      </w:r>
      <w:r>
        <w:t>, though there is a slight recovery in the later years (</w:t>
      </w:r>
      <w:r w:rsidR="005E70A1">
        <w:t xml:space="preserve">Figure </w:t>
      </w:r>
      <w:r>
        <w:t xml:space="preserve">1 Panel B). </w:t>
      </w:r>
    </w:p>
    <w:p w14:paraId="6AD8B96C" w14:textId="3524FF55" w:rsidR="000B5EDA" w:rsidRDefault="00020051" w:rsidP="00205E7C">
      <w:r w:rsidRPr="005507DB">
        <w:t>Our</w:t>
      </w:r>
      <w:r w:rsidR="00D471F4">
        <w:t xml:space="preserve"> </w:t>
      </w:r>
      <w:r w:rsidRPr="005507DB">
        <w:t>results will include effects not only from the first child, but any additional children born during the observation window.</w:t>
      </w:r>
      <w:r>
        <w:t xml:space="preserve"> We find that </w:t>
      </w:r>
      <w:r w:rsidRPr="005507DB">
        <w:t xml:space="preserve">the motherhood penalty for women </w:t>
      </w:r>
      <w:r>
        <w:t xml:space="preserve">who have </w:t>
      </w:r>
      <w:r w:rsidR="00483AB6">
        <w:t xml:space="preserve">only </w:t>
      </w:r>
      <w:r>
        <w:t>o</w:t>
      </w:r>
      <w:r w:rsidRPr="005507DB">
        <w:t xml:space="preserve">ne child is smaller than the penalty estimated for multiple children but </w:t>
      </w:r>
      <w:r>
        <w:t>remains</w:t>
      </w:r>
      <w:r w:rsidRPr="005507DB">
        <w:t xml:space="preserve"> </w:t>
      </w:r>
      <w:r>
        <w:t xml:space="preserve">persistent. </w:t>
      </w:r>
      <w:r w:rsidRPr="005507DB">
        <w:t xml:space="preserve">Importantly, for women </w:t>
      </w:r>
      <w:r>
        <w:t>with</w:t>
      </w:r>
      <w:r w:rsidRPr="005507DB">
        <w:t xml:space="preserve"> one child, there is no significant recovery in earnings at year </w:t>
      </w:r>
      <w:r>
        <w:t>5</w:t>
      </w:r>
      <w:r w:rsidRPr="005507DB">
        <w:t xml:space="preserve"> </w:t>
      </w:r>
      <w:r>
        <w:t>when</w:t>
      </w:r>
      <w:r w:rsidRPr="005507DB">
        <w:t xml:space="preserve"> children generally </w:t>
      </w:r>
      <w:r>
        <w:t>start school.</w:t>
      </w:r>
      <w:r w:rsidR="00205E7C" w:rsidRPr="00205E7C">
        <w:t xml:space="preserve"> </w:t>
      </w:r>
    </w:p>
    <w:p w14:paraId="38174EF7" w14:textId="341BBBAA" w:rsidR="007510BC" w:rsidRDefault="005E70A1" w:rsidP="007510BC">
      <w:pPr>
        <w:pStyle w:val="Charttitle"/>
        <w:spacing w:before="120"/>
      </w:pPr>
      <w:r>
        <w:t xml:space="preserve">Figure </w:t>
      </w:r>
      <w:r w:rsidR="007510BC">
        <w:t>1: Impact of children on earnings, by sex</w:t>
      </w:r>
    </w:p>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2"/>
        <w:gridCol w:w="5033"/>
      </w:tblGrid>
      <w:tr w:rsidR="00230487" w14:paraId="1F928017" w14:textId="77777777" w:rsidTr="00BB40D5">
        <w:tc>
          <w:tcPr>
            <w:tcW w:w="5032" w:type="dxa"/>
          </w:tcPr>
          <w:p w14:paraId="713D2B1A" w14:textId="77777777" w:rsidR="007510BC" w:rsidRDefault="007510BC" w:rsidP="00D13B54">
            <w:pPr>
              <w:pStyle w:val="Charttitle"/>
              <w:spacing w:before="0"/>
              <w:rPr>
                <w:rFonts w:asciiTheme="minorHAnsi" w:hAnsiTheme="minorHAnsi" w:cstheme="minorHAnsi"/>
                <w:sz w:val="20"/>
                <w:szCs w:val="18"/>
              </w:rPr>
            </w:pPr>
            <w:r w:rsidRPr="00C0455D">
              <w:rPr>
                <w:rFonts w:asciiTheme="minorHAnsi" w:hAnsiTheme="minorHAnsi" w:cstheme="minorHAnsi"/>
                <w:sz w:val="20"/>
                <w:szCs w:val="18"/>
              </w:rPr>
              <w:t>Panel A: Short run motherhood penalty (HILDA)</w:t>
            </w:r>
          </w:p>
          <w:p w14:paraId="52AB6853" w14:textId="03225BBA" w:rsidR="007510BC" w:rsidRPr="00C0455D" w:rsidRDefault="007510BC" w:rsidP="00057683">
            <w:pPr>
              <w:pStyle w:val="Chart"/>
            </w:pPr>
            <w:r>
              <w:drawing>
                <wp:inline distT="0" distB="0" distL="0" distR="0" wp14:anchorId="1EE0B43F" wp14:editId="47CED8D2">
                  <wp:extent cx="2877185" cy="2734310"/>
                  <wp:effectExtent l="0" t="0" r="0" b="8890"/>
                  <wp:docPr id="3" name="Picture 3" descr="This line chart shows changes in earnings by gender from 3 years before parenthood to 5 years after.  Female earnings drop around 60 percent in the first year of parenthood and remain around that level for the time period shown on chart. Male earnings remain broadly steady through the whole period. The graph uses HILDA survey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is line chart shows changes in earnings by gender from 3 years before parenthood to 5 years after.  Female earnings drop around 60 percent in the first year of parenthood and remain around that level for the time period shown on chart. Male earnings remain broadly steady through the whole period. The graph uses HILDA survey data."/>
                          <pic:cNvPicPr/>
                        </pic:nvPicPr>
                        <pic:blipFill rotWithShape="1">
                          <a:blip r:embed="rId77" cstate="print">
                            <a:extLst>
                              <a:ext uri="{28A0092B-C50C-407E-A947-70E740481C1C}">
                                <a14:useLocalDpi xmlns:a14="http://schemas.microsoft.com/office/drawing/2010/main" val="0"/>
                              </a:ext>
                            </a:extLst>
                          </a:blip>
                          <a:srcRect t="4966"/>
                          <a:stretch/>
                        </pic:blipFill>
                        <pic:spPr bwMode="auto">
                          <a:xfrm>
                            <a:off x="0" y="0"/>
                            <a:ext cx="2877318" cy="2734436"/>
                          </a:xfrm>
                          <a:prstGeom prst="rect">
                            <a:avLst/>
                          </a:prstGeom>
                          <a:ln>
                            <a:noFill/>
                          </a:ln>
                          <a:extLst>
                            <a:ext uri="{53640926-AAD7-44D8-BBD7-CCE9431645EC}">
                              <a14:shadowObscured xmlns:a14="http://schemas.microsoft.com/office/drawing/2010/main"/>
                            </a:ext>
                          </a:extLst>
                        </pic:spPr>
                      </pic:pic>
                    </a:graphicData>
                  </a:graphic>
                </wp:inline>
              </w:drawing>
            </w:r>
          </w:p>
        </w:tc>
        <w:tc>
          <w:tcPr>
            <w:tcW w:w="5033" w:type="dxa"/>
          </w:tcPr>
          <w:p w14:paraId="14CE16F1" w14:textId="77777777" w:rsidR="007510BC" w:rsidRDefault="007510BC" w:rsidP="00D13B54">
            <w:pPr>
              <w:pStyle w:val="Charttitle"/>
              <w:spacing w:before="0"/>
              <w:rPr>
                <w:rFonts w:asciiTheme="minorHAnsi" w:hAnsiTheme="minorHAnsi" w:cstheme="minorHAnsi"/>
                <w:sz w:val="20"/>
                <w:szCs w:val="18"/>
              </w:rPr>
            </w:pPr>
            <w:r w:rsidRPr="00C0455D">
              <w:rPr>
                <w:rFonts w:asciiTheme="minorHAnsi" w:hAnsiTheme="minorHAnsi" w:cstheme="minorHAnsi"/>
                <w:sz w:val="20"/>
                <w:szCs w:val="18"/>
              </w:rPr>
              <w:t>Panel B: Long run motherhood penalty (</w:t>
            </w:r>
            <w:proofErr w:type="spellStart"/>
            <w:r w:rsidRPr="00C0455D">
              <w:rPr>
                <w:rFonts w:asciiTheme="minorHAnsi" w:hAnsiTheme="minorHAnsi" w:cstheme="minorHAnsi"/>
                <w:sz w:val="20"/>
                <w:szCs w:val="18"/>
              </w:rPr>
              <w:t>ALife</w:t>
            </w:r>
            <w:proofErr w:type="spellEnd"/>
            <w:r w:rsidRPr="00C0455D">
              <w:rPr>
                <w:rFonts w:asciiTheme="minorHAnsi" w:hAnsiTheme="minorHAnsi" w:cstheme="minorHAnsi"/>
                <w:sz w:val="20"/>
                <w:szCs w:val="18"/>
              </w:rPr>
              <w:t xml:space="preserve"> tax data)</w:t>
            </w:r>
          </w:p>
          <w:p w14:paraId="4152C669" w14:textId="77777777" w:rsidR="007510BC" w:rsidRPr="00C0455D" w:rsidRDefault="007510BC" w:rsidP="00057683">
            <w:pPr>
              <w:pStyle w:val="Chart"/>
            </w:pPr>
            <w:r>
              <w:drawing>
                <wp:inline distT="0" distB="0" distL="0" distR="0" wp14:anchorId="2E13A3D3" wp14:editId="3534EB9F">
                  <wp:extent cx="2877185" cy="2705735"/>
                  <wp:effectExtent l="0" t="0" r="0" b="0"/>
                  <wp:docPr id="7" name="Picture 7" descr="This line chart shows changes in earnings by gender from 3 years before parenthood to 10 years after. Female earnings fall by around 45 per cent after parenthood begins and trends up to about 30 per cent towards the end of the 10 year sample.  Male earnings trend slightly upwards through the entire timeseries. This chart uses ALife tax da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is line chart shows changes in earnings by gender from 3 years before parenthood to 10 years after. Female earnings fall by around 45 per cent after parenthood begins and trends up to about 30 per cent towards the end of the 10 year sample.  Male earnings trend slightly upwards through the entire timeseries. This chart uses ALife tax data. "/>
                          <pic:cNvPicPr/>
                        </pic:nvPicPr>
                        <pic:blipFill rotWithShape="1">
                          <a:blip r:embed="rId78" cstate="print">
                            <a:extLst>
                              <a:ext uri="{28A0092B-C50C-407E-A947-70E740481C1C}">
                                <a14:useLocalDpi xmlns:a14="http://schemas.microsoft.com/office/drawing/2010/main" val="0"/>
                              </a:ext>
                            </a:extLst>
                          </a:blip>
                          <a:srcRect t="5959"/>
                          <a:stretch/>
                        </pic:blipFill>
                        <pic:spPr bwMode="auto">
                          <a:xfrm>
                            <a:off x="0" y="0"/>
                            <a:ext cx="2877318" cy="2705860"/>
                          </a:xfrm>
                          <a:prstGeom prst="rect">
                            <a:avLst/>
                          </a:prstGeom>
                          <a:ln>
                            <a:noFill/>
                          </a:ln>
                          <a:extLst>
                            <a:ext uri="{53640926-AAD7-44D8-BBD7-CCE9431645EC}">
                              <a14:shadowObscured xmlns:a14="http://schemas.microsoft.com/office/drawing/2010/main"/>
                            </a:ext>
                          </a:extLst>
                        </pic:spPr>
                      </pic:pic>
                    </a:graphicData>
                  </a:graphic>
                </wp:inline>
              </w:drawing>
            </w:r>
          </w:p>
        </w:tc>
      </w:tr>
    </w:tbl>
    <w:p w14:paraId="5248B2F1" w14:textId="1A36ABF9" w:rsidR="007510BC" w:rsidRPr="004A721B" w:rsidRDefault="007510BC" w:rsidP="007510BC">
      <w:pPr>
        <w:pStyle w:val="Chartsource"/>
      </w:pPr>
      <w:r w:rsidRPr="004A721B">
        <w:t xml:space="preserve">Notes: Motherhood penalty estimated after running an event study of the form specified in </w:t>
      </w:r>
      <w:proofErr w:type="spellStart"/>
      <w:r w:rsidRPr="004A721B">
        <w:t>Kleven</w:t>
      </w:r>
      <w:proofErr w:type="spellEnd"/>
      <w:r w:rsidRPr="004A721B">
        <w:t xml:space="preserve"> et al</w:t>
      </w:r>
      <w:r w:rsidR="002F6DCF">
        <w:t>.</w:t>
      </w:r>
      <w:r w:rsidRPr="004A721B">
        <w:t xml:space="preserve"> (2019b). Estimated magnitudes across panels will differ due to different data sources. Shaded area shows 95% confidence intervals, based on robust standard errors.</w:t>
      </w:r>
    </w:p>
    <w:p w14:paraId="4A05B76B" w14:textId="1547F0DA" w:rsidR="007510BC" w:rsidRDefault="007510BC" w:rsidP="007510BC">
      <w:pPr>
        <w:pStyle w:val="Chartsource"/>
        <w:rPr>
          <w:noProof/>
        </w:rPr>
      </w:pPr>
      <w:r w:rsidRPr="004A721B">
        <w:t>Source</w:t>
      </w:r>
      <w:r w:rsidRPr="00E72B5D">
        <w:rPr>
          <w:i/>
          <w:iCs/>
        </w:rPr>
        <w:t xml:space="preserve">: </w:t>
      </w:r>
      <w:r w:rsidRPr="004A721B">
        <w:rPr>
          <w:iCs/>
        </w:rPr>
        <w:t>Treasury</w:t>
      </w:r>
      <w:r w:rsidRPr="00E72B5D">
        <w:rPr>
          <w:noProof/>
        </w:rPr>
        <w:t xml:space="preserve"> analysis of HILDA Releas</w:t>
      </w:r>
      <w:r w:rsidRPr="008A677F">
        <w:rPr>
          <w:noProof/>
        </w:rPr>
        <w:t xml:space="preserve">e 19.0 </w:t>
      </w:r>
      <w:r>
        <w:rPr>
          <w:noProof/>
        </w:rPr>
        <w:t xml:space="preserve">(Panel A) </w:t>
      </w:r>
      <w:r w:rsidRPr="008A677F">
        <w:rPr>
          <w:noProof/>
        </w:rPr>
        <w:t>and ALife 2019</w:t>
      </w:r>
      <w:r>
        <w:rPr>
          <w:noProof/>
        </w:rPr>
        <w:t xml:space="preserve"> (Panel B)</w:t>
      </w:r>
      <w:r w:rsidRPr="008A677F">
        <w:rPr>
          <w:noProof/>
        </w:rPr>
        <w:t>.</w:t>
      </w:r>
    </w:p>
    <w:p w14:paraId="03EFA9CD" w14:textId="77777777" w:rsidR="005E70A1" w:rsidRDefault="005E70A1" w:rsidP="00D13B54">
      <w:pPr>
        <w:rPr>
          <w:noProof/>
        </w:rPr>
      </w:pPr>
    </w:p>
    <w:p w14:paraId="69F9ABB3" w14:textId="30E2DBEB" w:rsidR="00790909" w:rsidRDefault="00790909" w:rsidP="00057683">
      <w:pPr>
        <w:pStyle w:val="Heading1"/>
      </w:pPr>
      <w:r>
        <w:lastRenderedPageBreak/>
        <w:t xml:space="preserve">Drivers of the penalty </w:t>
      </w:r>
      <w:r w:rsidR="00FF2473">
        <w:t xml:space="preserve"> </w:t>
      </w:r>
    </w:p>
    <w:p w14:paraId="5FC8F2F9" w14:textId="56455497" w:rsidR="00790909" w:rsidRDefault="00790909">
      <w:pPr>
        <w:pStyle w:val="Bullet"/>
        <w:numPr>
          <w:ilvl w:val="0"/>
          <w:numId w:val="0"/>
        </w:numPr>
        <w:tabs>
          <w:tab w:val="num" w:pos="520"/>
        </w:tabs>
        <w:spacing w:after="160" w:line="256" w:lineRule="auto"/>
      </w:pPr>
      <w:r>
        <w:t xml:space="preserve">The motherhood penalty can come from </w:t>
      </w:r>
      <w:r w:rsidR="00E95310">
        <w:t xml:space="preserve">3 </w:t>
      </w:r>
      <w:r>
        <w:t xml:space="preserve">margins </w:t>
      </w:r>
      <w:r w:rsidR="003C2728">
        <w:sym w:font="Symbol" w:char="F02D"/>
      </w:r>
      <w:r w:rsidR="00E95310">
        <w:t xml:space="preserve"> </w:t>
      </w:r>
      <w:r>
        <w:t>employment, hours of work, and the hourly wage rate. All</w:t>
      </w:r>
      <w:r w:rsidDel="00E95310">
        <w:t xml:space="preserve"> </w:t>
      </w:r>
      <w:r w:rsidR="00E95310">
        <w:t xml:space="preserve">3 </w:t>
      </w:r>
      <w:r>
        <w:t>margins contribute, with particularly large effects for employment and hours of work (Figure 2). There is a sharp drop in the probability of employmen</w:t>
      </w:r>
      <w:r w:rsidRPr="00EB1C47">
        <w:t>t</w:t>
      </w:r>
      <w:r>
        <w:t xml:space="preserve"> </w:t>
      </w:r>
      <w:r w:rsidR="00553901">
        <w:t>of about</w:t>
      </w:r>
      <w:r>
        <w:t xml:space="preserve"> 45 per cent in the year the first child arrives</w:t>
      </w:r>
      <w:r w:rsidRPr="00EB1C47">
        <w:t xml:space="preserve">, with only </w:t>
      </w:r>
      <w:r w:rsidR="00553901" w:rsidRPr="00EB1C47">
        <w:t>m</w:t>
      </w:r>
      <w:r w:rsidR="00553901">
        <w:t>odest</w:t>
      </w:r>
      <w:r w:rsidR="00553901" w:rsidRPr="00EB1C47">
        <w:t xml:space="preserve"> </w:t>
      </w:r>
      <w:r w:rsidRPr="00EB1C47">
        <w:t xml:space="preserve">recovery after </w:t>
      </w:r>
      <w:r w:rsidR="00E95310">
        <w:t>5</w:t>
      </w:r>
      <w:r w:rsidR="00E95310" w:rsidRPr="00EB1C47">
        <w:t xml:space="preserve"> </w:t>
      </w:r>
      <w:r w:rsidRPr="00EB1C47">
        <w:t>years. For women who remain employed, hours worked falls by about 3</w:t>
      </w:r>
      <w:r>
        <w:t xml:space="preserve">5 </w:t>
      </w:r>
      <w:r w:rsidRPr="00EB1C47">
        <w:t>per cent</w:t>
      </w:r>
      <w:r>
        <w:t xml:space="preserve"> across the first </w:t>
      </w:r>
      <w:r w:rsidR="00E95310">
        <w:t xml:space="preserve">5 </w:t>
      </w:r>
      <w:r>
        <w:t xml:space="preserve">years </w:t>
      </w:r>
      <w:r w:rsidRPr="00EB1C47">
        <w:t xml:space="preserve">and does not </w:t>
      </w:r>
      <w:r>
        <w:t xml:space="preserve">significantly </w:t>
      </w:r>
      <w:r w:rsidRPr="00EB1C47">
        <w:t xml:space="preserve">recover over </w:t>
      </w:r>
      <w:r>
        <w:t>this</w:t>
      </w:r>
      <w:r w:rsidRPr="00EB1C47">
        <w:t xml:space="preserve"> period. </w:t>
      </w:r>
      <w:r>
        <w:t>T</w:t>
      </w:r>
      <w:r w:rsidRPr="00EB1C47">
        <w:t xml:space="preserve">here is </w:t>
      </w:r>
      <w:r>
        <w:t xml:space="preserve">also some evidence that for women who remain employed, their hourly wages are about 5 per cent lower than if they had not had children, though the estimates are </w:t>
      </w:r>
      <w:r w:rsidR="00553901">
        <w:t>imprecise and only just significantly different from zero</w:t>
      </w:r>
      <w:r>
        <w:t xml:space="preserve">. </w:t>
      </w:r>
    </w:p>
    <w:p w14:paraId="617F83DB" w14:textId="20BDDB3C" w:rsidR="00020051" w:rsidRDefault="005E70A1" w:rsidP="00020051">
      <w:pPr>
        <w:pStyle w:val="Charttitle"/>
        <w:spacing w:after="0"/>
        <w:rPr>
          <w:sz w:val="18"/>
          <w:szCs w:val="18"/>
        </w:rPr>
      </w:pPr>
      <w:r>
        <w:t xml:space="preserve">Figure </w:t>
      </w:r>
      <w:r w:rsidR="00020051">
        <w:t xml:space="preserve">2: Drivers of the motherhood penalty </w:t>
      </w:r>
      <w:r w:rsidR="00020051">
        <w:rPr>
          <w:noProof/>
        </w:rPr>
        <w:t xml:space="preserve"> </w:t>
      </w:r>
      <w:r w:rsidR="00020051" w:rsidRPr="00E72B5D">
        <w:rPr>
          <w:sz w:val="18"/>
          <w:szCs w:val="18"/>
        </w:rPr>
        <w:t xml:space="preserve"> </w:t>
      </w:r>
    </w:p>
    <w:tbl>
      <w:tblPr>
        <w:tblStyle w:val="TableGrid"/>
        <w:tblW w:w="6251" w:type="pct"/>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0"/>
        <w:gridCol w:w="3878"/>
        <w:gridCol w:w="3731"/>
      </w:tblGrid>
      <w:tr w:rsidR="00230487" w14:paraId="551DF7E8" w14:textId="77777777" w:rsidTr="007F4D5B">
        <w:tc>
          <w:tcPr>
            <w:tcW w:w="1645" w:type="pct"/>
          </w:tcPr>
          <w:p w14:paraId="73F256DA" w14:textId="27F84E78" w:rsidR="00111B78" w:rsidRDefault="00111B78" w:rsidP="00057683">
            <w:pPr>
              <w:pStyle w:val="Chart"/>
            </w:pPr>
            <w:bookmarkStart w:id="16" w:name="_Hlk113276293"/>
            <w:r>
              <w:drawing>
                <wp:inline distT="0" distB="0" distL="0" distR="0" wp14:anchorId="515FA399" wp14:editId="30D23C7D">
                  <wp:extent cx="2232000" cy="2232000"/>
                  <wp:effectExtent l="0" t="0" r="0" b="0"/>
                  <wp:docPr id="4" name="Picture 4" descr="This line chart shows changes in employment by gender from 3 years before parenthood to 5 years after.  Employment for females drops by around 45 per cent in the year that parenthood begins and trends up to around 25 per cent below pre-parenthood levels at year 5. Male employment remains broadly steady throughout the time peri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is line chart shows changes in employment by gender from 3 years before parenthood to 5 years after.  Employment for females drops by around 45 per cent in the year that parenthood begins and trends up to around 25 per cent below pre-parenthood levels at year 5. Male employment remains broadly steady throughout the time period. "/>
                          <pic:cNvPicPr>
                            <a:picLocks noChangeAspect="1" noChangeArrowheads="1"/>
                          </pic:cNvPicPr>
                        </pic:nvPicPr>
                        <pic:blipFill>
                          <a:blip r:embed="rId79" cstate="print">
                            <a:extLst>
                              <a:ext uri="{28A0092B-C50C-407E-A947-70E740481C1C}">
                                <a14:useLocalDpi xmlns:a14="http://schemas.microsoft.com/office/drawing/2010/main" val="0"/>
                              </a:ext>
                            </a:extLst>
                          </a:blip>
                          <a:stretch>
                            <a:fillRect/>
                          </a:stretch>
                        </pic:blipFill>
                        <pic:spPr bwMode="auto">
                          <a:xfrm>
                            <a:off x="0" y="0"/>
                            <a:ext cx="2232000" cy="2232000"/>
                          </a:xfrm>
                          <a:prstGeom prst="rect">
                            <a:avLst/>
                          </a:prstGeom>
                          <a:noFill/>
                          <a:ln>
                            <a:noFill/>
                          </a:ln>
                        </pic:spPr>
                      </pic:pic>
                    </a:graphicData>
                  </a:graphic>
                </wp:inline>
              </w:drawing>
            </w:r>
            <w:r>
              <w:t xml:space="preserve">    </w:t>
            </w:r>
          </w:p>
          <w:p w14:paraId="5B40E92F" w14:textId="60D4F68C" w:rsidR="00111B78" w:rsidRPr="00856C43" w:rsidRDefault="00111B78" w:rsidP="00005886">
            <w:pPr>
              <w:spacing w:before="0" w:after="0"/>
              <w:rPr>
                <w:noProof/>
                <w:sz w:val="16"/>
                <w:szCs w:val="16"/>
              </w:rPr>
            </w:pPr>
          </w:p>
        </w:tc>
        <w:tc>
          <w:tcPr>
            <w:tcW w:w="1710" w:type="pct"/>
          </w:tcPr>
          <w:p w14:paraId="2643CEAD" w14:textId="2A73AE0E" w:rsidR="00111B78" w:rsidRDefault="00111B78" w:rsidP="00057683">
            <w:pPr>
              <w:pStyle w:val="Chart"/>
            </w:pPr>
            <w:r>
              <w:drawing>
                <wp:inline distT="0" distB="0" distL="0" distR="0" wp14:anchorId="552EF2F8" wp14:editId="74CF9B40">
                  <wp:extent cx="2232000" cy="2232000"/>
                  <wp:effectExtent l="0" t="0" r="0" b="0"/>
                  <wp:docPr id="16" name="Picture 16" descr="This line chart shows changes in hours worked by gender from 3 years before parenthood to 5 years after.  Hours worked for females drops by around 30-40 per cent in the year that parenthood begins and remains around that level until year 5. Male hours worked remains broadly steady throughout the time peri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his line chart shows changes in hours worked by gender from 3 years before parenthood to 5 years after.  Hours worked for females drops by around 30-40 per cent in the year that parenthood begins and remains around that level until year 5. Male hours worked remains broadly steady throughout the time period. "/>
                          <pic:cNvPicPr>
                            <a:picLocks noChangeAspect="1" noChangeArrowheads="1"/>
                          </pic:cNvPicPr>
                        </pic:nvPicPr>
                        <pic:blipFill>
                          <a:blip r:embed="rId80" cstate="print">
                            <a:extLst>
                              <a:ext uri="{28A0092B-C50C-407E-A947-70E740481C1C}">
                                <a14:useLocalDpi xmlns:a14="http://schemas.microsoft.com/office/drawing/2010/main" val="0"/>
                              </a:ext>
                            </a:extLst>
                          </a:blip>
                          <a:stretch>
                            <a:fillRect/>
                          </a:stretch>
                        </pic:blipFill>
                        <pic:spPr bwMode="auto">
                          <a:xfrm>
                            <a:off x="0" y="0"/>
                            <a:ext cx="2232000" cy="2232000"/>
                          </a:xfrm>
                          <a:prstGeom prst="rect">
                            <a:avLst/>
                          </a:prstGeom>
                          <a:noFill/>
                          <a:ln>
                            <a:noFill/>
                          </a:ln>
                        </pic:spPr>
                      </pic:pic>
                    </a:graphicData>
                  </a:graphic>
                </wp:inline>
              </w:drawing>
            </w:r>
          </w:p>
        </w:tc>
        <w:tc>
          <w:tcPr>
            <w:tcW w:w="1645" w:type="pct"/>
          </w:tcPr>
          <w:p w14:paraId="3E30014C" w14:textId="4C92E9A5" w:rsidR="00111B78" w:rsidRDefault="00111B78" w:rsidP="00057683">
            <w:pPr>
              <w:pStyle w:val="Chart"/>
            </w:pPr>
            <w:r>
              <w:drawing>
                <wp:inline distT="0" distB="0" distL="0" distR="0" wp14:anchorId="3B1A2AC5" wp14:editId="6A613A00">
                  <wp:extent cx="2232000" cy="2232000"/>
                  <wp:effectExtent l="0" t="0" r="0" b="0"/>
                  <wp:docPr id="13" name="Picture 13" descr="This line chart shows changes in hourly wages by gender from 3 years before parenthood to 5 years after.  Hourly wages for females and males increase by around 5 per cent in the first year after parenthood. After the first year female hourly wages fall to around 5 per cent below pre-parenthood levels while males remain steady around pre-parenthood levels.  The error bars shown are wi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his line chart shows changes in hourly wages by gender from 3 years before parenthood to 5 years after.  Hourly wages for females and males increase by around 5 per cent in the first year after parenthood. After the first year female hourly wages fall to around 5 per cent below pre-parenthood levels while males remain steady around pre-parenthood levels.  The error bars shown are wide.  "/>
                          <pic:cNvPicPr>
                            <a:picLocks noChangeAspect="1" noChangeArrowheads="1"/>
                          </pic:cNvPicPr>
                        </pic:nvPicPr>
                        <pic:blipFill>
                          <a:blip r:embed="rId81" cstate="print">
                            <a:extLst>
                              <a:ext uri="{28A0092B-C50C-407E-A947-70E740481C1C}">
                                <a14:useLocalDpi xmlns:a14="http://schemas.microsoft.com/office/drawing/2010/main" val="0"/>
                              </a:ext>
                            </a:extLst>
                          </a:blip>
                          <a:stretch>
                            <a:fillRect/>
                          </a:stretch>
                        </pic:blipFill>
                        <pic:spPr bwMode="auto">
                          <a:xfrm>
                            <a:off x="0" y="0"/>
                            <a:ext cx="2232000" cy="2232000"/>
                          </a:xfrm>
                          <a:prstGeom prst="rect">
                            <a:avLst/>
                          </a:prstGeom>
                          <a:noFill/>
                          <a:ln>
                            <a:noFill/>
                          </a:ln>
                        </pic:spPr>
                      </pic:pic>
                    </a:graphicData>
                  </a:graphic>
                </wp:inline>
              </w:drawing>
            </w:r>
          </w:p>
        </w:tc>
      </w:tr>
    </w:tbl>
    <w:bookmarkEnd w:id="16"/>
    <w:p w14:paraId="3B585656" w14:textId="77777777" w:rsidR="007F01B3" w:rsidRDefault="007F01B3" w:rsidP="00B32F3B">
      <w:pPr>
        <w:pStyle w:val="Chartsource"/>
      </w:pPr>
      <w:r w:rsidRPr="009C23B7">
        <w:t>Notes: Effects on participation are estimated unconditional on employment status, while the effect on hours and wages are conditional on participation. Shaded area shows 95% confidence intervals, based on robust standard errors.</w:t>
      </w:r>
      <w:r w:rsidRPr="009C23B7">
        <w:br/>
        <w:t>Source: Treasury analysis of HILDA Release 19.0.</w:t>
      </w:r>
    </w:p>
    <w:p w14:paraId="35447813" w14:textId="4B6D4E0E" w:rsidR="00790909" w:rsidRDefault="00790909" w:rsidP="00057683">
      <w:pPr>
        <w:pStyle w:val="Heading1"/>
        <w:rPr>
          <w:sz w:val="22"/>
        </w:rPr>
      </w:pPr>
      <w:r>
        <w:t xml:space="preserve">Potential explanations of the penalty </w:t>
      </w:r>
    </w:p>
    <w:p w14:paraId="1EBF4A98" w14:textId="77777777" w:rsidR="00790909" w:rsidRDefault="00790909" w:rsidP="00057683">
      <w:pPr>
        <w:pStyle w:val="Heading2"/>
      </w:pPr>
      <w:r>
        <w:t xml:space="preserve">Household allocations of work and care </w:t>
      </w:r>
    </w:p>
    <w:p w14:paraId="2B9D6CF5" w14:textId="54E9B3B2" w:rsidR="00790909" w:rsidRPr="00521E29" w:rsidRDefault="00790909" w:rsidP="00F54D71">
      <w:pPr>
        <w:spacing w:before="0"/>
      </w:pPr>
      <w:r>
        <w:t xml:space="preserve">One potential explanation for the motherhood penalty is that couples make choices about </w:t>
      </w:r>
      <w:r w:rsidR="00817F82">
        <w:t xml:space="preserve">allocations </w:t>
      </w:r>
      <w:r>
        <w:t xml:space="preserve">of </w:t>
      </w:r>
      <w:r w:rsidR="00817F82">
        <w:t xml:space="preserve">household </w:t>
      </w:r>
      <w:r>
        <w:t xml:space="preserve">work and care based on relative earnings. We find the same penalty regardless of a </w:t>
      </w:r>
      <w:r w:rsidR="002F63F6">
        <w:t>woman’s</w:t>
      </w:r>
      <w:r>
        <w:t xml:space="preserve"> breadwinner </w:t>
      </w:r>
      <w:r w:rsidRPr="005507DB">
        <w:t>status before children (</w:t>
      </w:r>
      <w:r w:rsidR="005E70A1">
        <w:t xml:space="preserve">Figure </w:t>
      </w:r>
      <w:r w:rsidRPr="005507DB">
        <w:t xml:space="preserve">3). </w:t>
      </w:r>
      <w:r>
        <w:t>This</w:t>
      </w:r>
      <w:r w:rsidRPr="005507DB">
        <w:t xml:space="preserve"> is the case even for women who significantly out</w:t>
      </w:r>
      <w:r w:rsidR="002B75D0">
        <w:noBreakHyphen/>
      </w:r>
      <w:r w:rsidRPr="005507DB">
        <w:t xml:space="preserve">earn their partner. Furthermore, highly educated women experience a </w:t>
      </w:r>
      <w:r>
        <w:t>larger</w:t>
      </w:r>
      <w:r w:rsidRPr="005507DB">
        <w:t xml:space="preserve"> penalty, despite the higher opportunity cost of reducing their participation </w:t>
      </w:r>
      <w:r w:rsidR="00817F82">
        <w:sym w:font="Symbol" w:char="F02D"/>
      </w:r>
      <w:r w:rsidR="00B72979">
        <w:t xml:space="preserve"> </w:t>
      </w:r>
      <w:r w:rsidRPr="005507DB">
        <w:t>suggesting again that choices around</w:t>
      </w:r>
      <w:r>
        <w:t xml:space="preserve"> work and care are not always responding purely to financial considerations. </w:t>
      </w:r>
    </w:p>
    <w:p w14:paraId="5169AE45" w14:textId="19602FE4" w:rsidR="00790909" w:rsidRDefault="005E70A1" w:rsidP="00790909">
      <w:pPr>
        <w:pStyle w:val="Charttitle"/>
        <w:spacing w:before="0" w:after="0"/>
        <w:rPr>
          <w:noProof/>
          <w:sz w:val="18"/>
          <w:szCs w:val="18"/>
        </w:rPr>
      </w:pPr>
      <w:r>
        <w:lastRenderedPageBreak/>
        <w:t xml:space="preserve">Figure </w:t>
      </w:r>
      <w:r w:rsidR="00790909">
        <w:t>3: Motherhood penalty, by breadwinner status</w:t>
      </w:r>
      <w:r w:rsidR="0034456B">
        <w:rPr>
          <w:noProof/>
          <w:sz w:val="18"/>
          <w:szCs w:val="18"/>
        </w:rPr>
        <w:drawing>
          <wp:inline distT="0" distB="0" distL="0" distR="0" wp14:anchorId="37A77B0C" wp14:editId="56798BFA">
            <wp:extent cx="4060190" cy="2879725"/>
            <wp:effectExtent l="0" t="0" r="0" b="0"/>
            <wp:docPr id="29" name="Picture 29" descr="This line chart shows changes in earnings for females from 3 years before parenthood to 5 years after. The data is split by if the female is the primary or secondary earner in the household. The lines show a similar trend for both groups of women - earnings for both primary and secondary earners fall by around 60 per cent in the years following parenthood and remain at around that level until 5 years after parenthood begi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This line chart shows changes in earnings for females from 3 years before parenthood to 5 years after. The data is split by if the female is the primary or secondary earner in the household. The lines show a similar trend for both groups of women - earnings for both primary and secondary earners fall by around 60 per cent in the years following parenthood and remain at around that level until 5 years after parenthood begins. "/>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4060190" cy="2879725"/>
                    </a:xfrm>
                    <a:prstGeom prst="rect">
                      <a:avLst/>
                    </a:prstGeom>
                    <a:noFill/>
                    <a:ln>
                      <a:noFill/>
                    </a:ln>
                  </pic:spPr>
                </pic:pic>
              </a:graphicData>
            </a:graphic>
          </wp:inline>
        </w:drawing>
      </w:r>
    </w:p>
    <w:p w14:paraId="5E4F80E7" w14:textId="703CAFA7" w:rsidR="00790909" w:rsidRDefault="00790909" w:rsidP="00790909">
      <w:pPr>
        <w:pStyle w:val="Chartsource"/>
      </w:pPr>
      <w:r w:rsidRPr="009C23B7">
        <w:t>Notes:</w:t>
      </w:r>
      <w:r w:rsidRPr="007D024F">
        <w:t xml:space="preserve"> </w:t>
      </w:r>
      <w:r w:rsidRPr="00856C43">
        <w:rPr>
          <w:szCs w:val="14"/>
        </w:rPr>
        <w:t xml:space="preserve">Chart shows effects for women only. </w:t>
      </w:r>
      <w:r w:rsidRPr="007D024F">
        <w:t xml:space="preserve">Breadwinner status defined in year before children. </w:t>
      </w:r>
      <w:r>
        <w:t xml:space="preserve">Similar results are observed if breadwinner status is based on the </w:t>
      </w:r>
      <w:r w:rsidR="0090552C">
        <w:t xml:space="preserve">3 </w:t>
      </w:r>
      <w:r>
        <w:t xml:space="preserve">years before children, and hence less subject to idiosyncratic shocks. </w:t>
      </w:r>
      <w:r w:rsidRPr="007D024F">
        <w:t>Shaded area shows 95% confidence intervals, based on robust standard errors.</w:t>
      </w:r>
      <w:r>
        <w:t xml:space="preserve"> </w:t>
      </w:r>
    </w:p>
    <w:p w14:paraId="2B111714" w14:textId="77777777" w:rsidR="00790909" w:rsidRDefault="00790909" w:rsidP="00790909">
      <w:pPr>
        <w:pStyle w:val="Chartsource"/>
        <w:rPr>
          <w:noProof/>
        </w:rPr>
      </w:pPr>
      <w:r w:rsidRPr="009C23B7">
        <w:t xml:space="preserve">Source: </w:t>
      </w:r>
      <w:r w:rsidRPr="007D024F">
        <w:rPr>
          <w:noProof/>
        </w:rPr>
        <w:t>Treasury analysis of HILDA Release 19.0.</w:t>
      </w:r>
    </w:p>
    <w:p w14:paraId="1C689B26" w14:textId="0E5878AE" w:rsidR="00790909" w:rsidRDefault="00790909" w:rsidP="00C53DFF">
      <w:pPr>
        <w:pStyle w:val="Heading2"/>
      </w:pPr>
      <w:r>
        <w:t>Preferences</w:t>
      </w:r>
    </w:p>
    <w:p w14:paraId="7414BEC4" w14:textId="2B63A400" w:rsidR="00790909" w:rsidRDefault="00790909" w:rsidP="00FF2632">
      <w:r>
        <w:t>While not necessarily financially optimal, couples may be making choices consistent with their preferences. As an exploratory</w:t>
      </w:r>
      <w:r w:rsidRPr="007D024F">
        <w:t xml:space="preserve"> analys</w:t>
      </w:r>
      <w:r>
        <w:t xml:space="preserve">is of </w:t>
      </w:r>
      <w:r w:rsidRPr="007D024F">
        <w:t>the preferences of parents, we study questions in HILDA around parents</w:t>
      </w:r>
      <w:r>
        <w:t>’</w:t>
      </w:r>
      <w:r w:rsidRPr="007D024F">
        <w:t xml:space="preserve"> satisfaction with their employment opportunities and work</w:t>
      </w:r>
      <w:r w:rsidR="002B75D0">
        <w:noBreakHyphen/>
      </w:r>
      <w:r w:rsidRPr="007D024F">
        <w:t>family life.</w:t>
      </w:r>
    </w:p>
    <w:p w14:paraId="7B692A3F" w14:textId="1ACE8C57" w:rsidR="00790909" w:rsidRDefault="00790909" w:rsidP="00790909">
      <w:r w:rsidRPr="002138F4">
        <w:t>Following child</w:t>
      </w:r>
      <w:r>
        <w:t>ren</w:t>
      </w:r>
      <w:r w:rsidRPr="002138F4">
        <w:t>, mothers experience a decrease in satisfaction with their employment opportunities, in line with their worsening employment outcomes (</w:t>
      </w:r>
      <w:r w:rsidR="005E70A1">
        <w:t xml:space="preserve">Figure </w:t>
      </w:r>
      <w:r w:rsidRPr="002138F4">
        <w:t xml:space="preserve">4). </w:t>
      </w:r>
      <w:r>
        <w:t>W</w:t>
      </w:r>
      <w:r w:rsidRPr="002138F4">
        <w:t xml:space="preserve">omen’s satisfaction with their employment opportunities begins to fall the year prior to </w:t>
      </w:r>
      <w:r>
        <w:t>children</w:t>
      </w:r>
      <w:r w:rsidRPr="002138F4">
        <w:t xml:space="preserve"> and becomes significant one year after, indicating women may </w:t>
      </w:r>
      <w:r>
        <w:t>anticipate</w:t>
      </w:r>
      <w:r w:rsidRPr="002138F4">
        <w:t xml:space="preserve"> reduced work opportunities prior to </w:t>
      </w:r>
      <w:r w:rsidR="005A21A7">
        <w:t>parenthood</w:t>
      </w:r>
      <w:r w:rsidRPr="002138F4">
        <w:t>. However, their satisfaction troughs later than their employment outcomes, implying that the longer</w:t>
      </w:r>
      <w:r w:rsidR="002B75D0">
        <w:noBreakHyphen/>
      </w:r>
      <w:r w:rsidRPr="002138F4">
        <w:t xml:space="preserve">term impacts of children may be unanticipated and that there are significant challenges in </w:t>
      </w:r>
      <w:r>
        <w:t>re</w:t>
      </w:r>
      <w:r>
        <w:noBreakHyphen/>
      </w:r>
      <w:r w:rsidRPr="002138F4">
        <w:t xml:space="preserve">engaging in the labour market. </w:t>
      </w:r>
      <w:r>
        <w:t>This is consistent with recent research suggesting that women, particularly highly educated women, underestimate the challenges they will face in combining work and family (</w:t>
      </w:r>
      <w:proofErr w:type="spellStart"/>
      <w:r w:rsidRPr="001A7E22">
        <w:rPr>
          <w:rFonts w:asciiTheme="minorHAnsi" w:hAnsiTheme="minorHAnsi" w:cstheme="minorHAnsi"/>
          <w:color w:val="222222"/>
          <w:szCs w:val="22"/>
          <w:shd w:val="clear" w:color="auto" w:fill="FFFFFF"/>
        </w:rPr>
        <w:t>Kuziemko</w:t>
      </w:r>
      <w:proofErr w:type="spellEnd"/>
      <w:r>
        <w:rPr>
          <w:rFonts w:asciiTheme="minorHAnsi" w:hAnsiTheme="minorHAnsi" w:cstheme="minorHAnsi"/>
          <w:color w:val="222222"/>
          <w:szCs w:val="22"/>
          <w:shd w:val="clear" w:color="auto" w:fill="FFFFFF"/>
        </w:rPr>
        <w:t xml:space="preserve"> et al</w:t>
      </w:r>
      <w:r w:rsidR="002F6DCF">
        <w:rPr>
          <w:rFonts w:asciiTheme="minorHAnsi" w:hAnsiTheme="minorHAnsi" w:cstheme="minorHAnsi"/>
          <w:color w:val="222222"/>
          <w:szCs w:val="22"/>
          <w:shd w:val="clear" w:color="auto" w:fill="FFFFFF"/>
        </w:rPr>
        <w:t>.</w:t>
      </w:r>
      <w:r>
        <w:rPr>
          <w:rFonts w:asciiTheme="minorHAnsi" w:hAnsiTheme="minorHAnsi" w:cstheme="minorHAnsi"/>
          <w:color w:val="222222"/>
          <w:szCs w:val="22"/>
          <w:shd w:val="clear" w:color="auto" w:fill="FFFFFF"/>
        </w:rPr>
        <w:t xml:space="preserve"> 2018</w:t>
      </w:r>
      <w:r>
        <w:t xml:space="preserve">). </w:t>
      </w:r>
      <w:r w:rsidRPr="002138F4">
        <w:t>In contrast, men’s satisfaction with their employment opportunities does not change significantly over time.</w:t>
      </w:r>
    </w:p>
    <w:p w14:paraId="148FD5F8" w14:textId="174EDA1C" w:rsidR="00994661" w:rsidRDefault="005E70A1" w:rsidP="00790909">
      <w:pPr>
        <w:pStyle w:val="Charttitle"/>
        <w:spacing w:before="0" w:after="0"/>
        <w:rPr>
          <w:noProof/>
        </w:rPr>
      </w:pPr>
      <w:r>
        <w:lastRenderedPageBreak/>
        <w:t xml:space="preserve">Figure </w:t>
      </w:r>
      <w:r w:rsidR="00790909">
        <w:t>4</w:t>
      </w:r>
      <w:r w:rsidR="00790909" w:rsidRPr="002761C6">
        <w:t>: Impact of children on parent’s satisfaction with their employment opportunities</w:t>
      </w:r>
      <w:r w:rsidR="00790909">
        <w:rPr>
          <w:noProof/>
        </w:rPr>
        <w:t xml:space="preserve"> </w:t>
      </w:r>
    </w:p>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2"/>
        <w:gridCol w:w="5033"/>
      </w:tblGrid>
      <w:tr w:rsidR="00230487" w14:paraId="78DA00D9" w14:textId="77777777" w:rsidTr="007F4D5B">
        <w:tc>
          <w:tcPr>
            <w:tcW w:w="5032" w:type="dxa"/>
          </w:tcPr>
          <w:p w14:paraId="159A5A1A" w14:textId="2F9B16E9" w:rsidR="00994661" w:rsidRDefault="00994661" w:rsidP="00790909">
            <w:pPr>
              <w:pStyle w:val="Charttitle"/>
              <w:spacing w:before="0" w:after="0"/>
              <w:rPr>
                <w:noProof/>
              </w:rPr>
            </w:pPr>
            <w:r>
              <w:rPr>
                <w:noProof/>
              </w:rPr>
              <w:drawing>
                <wp:inline distT="0" distB="0" distL="0" distR="0" wp14:anchorId="6BCAB691" wp14:editId="7A0A44FB">
                  <wp:extent cx="2880000" cy="2880000"/>
                  <wp:effectExtent l="0" t="0" r="0" b="0"/>
                  <wp:docPr id="24" name="Picture 24" descr="This line chart shows fathers' reported satisfaction with their employment opportunities from 3 years before parenthood to 5 years after. Satisfaction drops slightly 1 year into parenthood, but then trends slightly upwards for the remainder of the time series. The error bars are wi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This line chart shows fathers' reported satisfaction with their employment opportunities from 3 years before parenthood to 5 years after. Satisfaction drops slightly 1 year into parenthood, but then trends slightly upwards for the remainder of the time series. The error bars are wide. "/>
                          <pic:cNvPicPr>
                            <a:picLocks noChangeAspect="1" noChangeArrowheads="1"/>
                          </pic:cNvPicPr>
                        </pic:nvPicPr>
                        <pic:blipFill>
                          <a:blip r:embed="rId83" cstate="print">
                            <a:extLst>
                              <a:ext uri="{28A0092B-C50C-407E-A947-70E740481C1C}">
                                <a14:useLocalDpi xmlns:a14="http://schemas.microsoft.com/office/drawing/2010/main" val="0"/>
                              </a:ext>
                            </a:extLst>
                          </a:blip>
                          <a:stretch>
                            <a:fillRect/>
                          </a:stretch>
                        </pic:blipFill>
                        <pic:spPr bwMode="auto">
                          <a:xfrm>
                            <a:off x="0" y="0"/>
                            <a:ext cx="2880000" cy="2880000"/>
                          </a:xfrm>
                          <a:prstGeom prst="rect">
                            <a:avLst/>
                          </a:prstGeom>
                          <a:noFill/>
                          <a:ln>
                            <a:noFill/>
                          </a:ln>
                        </pic:spPr>
                      </pic:pic>
                    </a:graphicData>
                  </a:graphic>
                </wp:inline>
              </w:drawing>
            </w:r>
          </w:p>
        </w:tc>
        <w:tc>
          <w:tcPr>
            <w:tcW w:w="5033" w:type="dxa"/>
          </w:tcPr>
          <w:p w14:paraId="5D7F5483" w14:textId="3A3AF895" w:rsidR="00994661" w:rsidRDefault="00994661" w:rsidP="00790909">
            <w:pPr>
              <w:pStyle w:val="Charttitle"/>
              <w:spacing w:before="0" w:after="0"/>
              <w:rPr>
                <w:noProof/>
              </w:rPr>
            </w:pPr>
            <w:r>
              <w:rPr>
                <w:noProof/>
              </w:rPr>
              <w:drawing>
                <wp:inline distT="0" distB="0" distL="0" distR="0" wp14:anchorId="035F48AB" wp14:editId="2203261C">
                  <wp:extent cx="2880000" cy="2880000"/>
                  <wp:effectExtent l="0" t="0" r="0" b="0"/>
                  <wp:docPr id="26" name="Picture 26" descr="This line chart shows mothers' reported satisfaction with their employment opportunities from 3 years before parenthood to 5 years after. Satisfaction trends downwards after parenthood - reaching around 10 per cent below pre-parenthood levels 3 years after parenthood - before trending up slightly 5 years after parenthood to about 6 per c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This line chart shows mothers' reported satisfaction with their employment opportunities from 3 years before parenthood to 5 years after. Satisfaction trends downwards after parenthood - reaching around 10 per cent below pre-parenthood levels 3 years after parenthood - before trending up slightly 5 years after parenthood to about 6 per cent. "/>
                          <pic:cNvPicPr>
                            <a:picLocks noChangeAspect="1" noChangeArrowheads="1"/>
                          </pic:cNvPicPr>
                        </pic:nvPicPr>
                        <pic:blipFill>
                          <a:blip r:embed="rId84" cstate="print">
                            <a:extLst>
                              <a:ext uri="{28A0092B-C50C-407E-A947-70E740481C1C}">
                                <a14:useLocalDpi xmlns:a14="http://schemas.microsoft.com/office/drawing/2010/main" val="0"/>
                              </a:ext>
                            </a:extLst>
                          </a:blip>
                          <a:stretch>
                            <a:fillRect/>
                          </a:stretch>
                        </pic:blipFill>
                        <pic:spPr bwMode="auto">
                          <a:xfrm>
                            <a:off x="0" y="0"/>
                            <a:ext cx="2880000" cy="2880000"/>
                          </a:xfrm>
                          <a:prstGeom prst="rect">
                            <a:avLst/>
                          </a:prstGeom>
                          <a:noFill/>
                          <a:ln>
                            <a:noFill/>
                          </a:ln>
                        </pic:spPr>
                      </pic:pic>
                    </a:graphicData>
                  </a:graphic>
                </wp:inline>
              </w:drawing>
            </w:r>
          </w:p>
        </w:tc>
      </w:tr>
    </w:tbl>
    <w:p w14:paraId="782FE33F" w14:textId="02824733" w:rsidR="00666D19" w:rsidRDefault="00666D19" w:rsidP="00666D19">
      <w:pPr>
        <w:pStyle w:val="Chartsource"/>
      </w:pPr>
      <w:r>
        <w:t>Notes: Includes parents who are observed 3 years before and 5 years after the birth of their first child. Shaded area shows 95% confidence intervals, based on robust standard errors. The base year is t=</w:t>
      </w:r>
      <w:r w:rsidR="002B75D0">
        <w:noBreakHyphen/>
      </w:r>
      <w:r>
        <w:t>2, to allow for anticipatory effects. Question asks respondents their satisfaction with their employment opportunities on a 0</w:t>
      </w:r>
      <w:r w:rsidR="002B75D0">
        <w:noBreakHyphen/>
      </w:r>
      <w:r>
        <w:t xml:space="preserve">10 scale. </w:t>
      </w:r>
    </w:p>
    <w:p w14:paraId="016C4970" w14:textId="602DD3DB" w:rsidR="00666D19" w:rsidRDefault="00666D19" w:rsidP="00666D19">
      <w:pPr>
        <w:pStyle w:val="Chartsource"/>
      </w:pPr>
      <w:r>
        <w:t>Source: Treasury analysis of HILDA Release 19.0.</w:t>
      </w:r>
    </w:p>
    <w:p w14:paraId="16E2BB6C" w14:textId="51CB7961" w:rsidR="00790909" w:rsidRPr="009F3D91" w:rsidRDefault="00790909" w:rsidP="00B21D95">
      <w:r>
        <w:t>We also construct</w:t>
      </w:r>
      <w:r w:rsidRPr="001A4C9F" w:rsidDel="0023118F">
        <w:t xml:space="preserve"> </w:t>
      </w:r>
      <w:r w:rsidR="0023118F">
        <w:t>2</w:t>
      </w:r>
      <w:r w:rsidR="0023118F" w:rsidRPr="001A4C9F">
        <w:t xml:space="preserve"> </w:t>
      </w:r>
      <w:r w:rsidRPr="001A4C9F">
        <w:t>indexes to measure the work</w:t>
      </w:r>
      <w:r w:rsidR="002B75D0">
        <w:noBreakHyphen/>
      </w:r>
      <w:r w:rsidRPr="001A4C9F">
        <w:t xml:space="preserve">family </w:t>
      </w:r>
      <w:r>
        <w:t>balance</w:t>
      </w:r>
      <w:r w:rsidRPr="001A4C9F">
        <w:t xml:space="preserve"> of parents</w:t>
      </w:r>
      <w:r>
        <w:t>. We find that fathers with young children are more likely</w:t>
      </w:r>
      <w:r w:rsidR="005A21A7">
        <w:t xml:space="preserve"> than mothers</w:t>
      </w:r>
      <w:r>
        <w:t xml:space="preserve"> to report that their work affects their family life. Mothers are more likely</w:t>
      </w:r>
      <w:r w:rsidR="005A21A7">
        <w:t xml:space="preserve"> than fathers to report the opposing imbalance,</w:t>
      </w:r>
      <w:r w:rsidR="00DF0A8B">
        <w:t xml:space="preserve"> regardless of the age of their </w:t>
      </w:r>
      <w:r w:rsidR="000B2B9F">
        <w:t xml:space="preserve">youngest </w:t>
      </w:r>
      <w:r w:rsidR="00DF0A8B">
        <w:t>child,</w:t>
      </w:r>
      <w:r w:rsidR="005A21A7">
        <w:t xml:space="preserve"> that</w:t>
      </w:r>
      <w:r w:rsidDel="005A21A7">
        <w:t xml:space="preserve"> </w:t>
      </w:r>
      <w:r>
        <w:t>their family life impacts their work (</w:t>
      </w:r>
      <w:r w:rsidR="005E70A1">
        <w:t xml:space="preserve">Figure </w:t>
      </w:r>
      <w:r>
        <w:t xml:space="preserve">5). </w:t>
      </w:r>
      <w:r w:rsidR="00AF5E25">
        <w:t>While parental preferences around work and care are difficult to measure, t</w:t>
      </w:r>
      <w:r>
        <w:t xml:space="preserve">hese results together provide suggestive evidence that </w:t>
      </w:r>
      <w:r w:rsidR="00561240">
        <w:t xml:space="preserve">preferences are not the only factor driving </w:t>
      </w:r>
      <w:r>
        <w:t xml:space="preserve">the motherhood penalty. Parents appear unsatisfied in ways that suggest a more equal allocation of paid and unpaid work </w:t>
      </w:r>
      <w:r w:rsidR="007D042D">
        <w:t>c</w:t>
      </w:r>
      <w:r>
        <w:t>ould be beneficial, lifting the employment opportunities for women and improving work</w:t>
      </w:r>
      <w:r w:rsidR="002B75D0">
        <w:noBreakHyphen/>
      </w:r>
      <w:r>
        <w:t xml:space="preserve">life balance for both genders. </w:t>
      </w:r>
    </w:p>
    <w:p w14:paraId="26C07845" w14:textId="562A592C" w:rsidR="005A73EF" w:rsidRDefault="005E70A1" w:rsidP="00790909">
      <w:pPr>
        <w:pStyle w:val="Charttitle"/>
        <w:spacing w:before="0" w:after="0"/>
      </w:pPr>
      <w:r>
        <w:t xml:space="preserve">Figure </w:t>
      </w:r>
      <w:r w:rsidR="00790909">
        <w:t>5</w:t>
      </w:r>
      <w:r w:rsidR="00790909" w:rsidRPr="002761C6">
        <w:t>: Work</w:t>
      </w:r>
      <w:r w:rsidR="002B75D0">
        <w:noBreakHyphen/>
      </w:r>
      <w:r w:rsidR="00790909" w:rsidRPr="002761C6">
        <w:t>family balance indexes, by sex and child age</w:t>
      </w:r>
    </w:p>
    <w:p w14:paraId="0AB62A32" w14:textId="72C49C74" w:rsidR="00790909" w:rsidRDefault="005A73EF" w:rsidP="00C53DFF">
      <w:pPr>
        <w:pStyle w:val="Chart"/>
      </w:pPr>
      <w:r w:rsidRPr="005A73EF">
        <w:drawing>
          <wp:inline distT="0" distB="0" distL="0" distR="0" wp14:anchorId="0F59D2DA" wp14:editId="004E4B52">
            <wp:extent cx="5503538" cy="2844000"/>
            <wp:effectExtent l="0" t="0" r="2540" b="0"/>
            <wp:docPr id="12" name="Picture 12" descr="This image includes two bar charts. The left chart shows an index indicating how work effects family life for those with a child under 5 and those with a child under 18. Both series are split by gender. The chart indicates that fathers are more likely to report that work effects family life than mothers if the child is under 5. The index is similar for both parents if the child is under 18.&#10;&#10;The right chart shows an index indicating how family life affects work for parents with a child under 5 and parents with a child under 18. Both series are split by gender. Mothers are more likely to report that family life affects work regardless of child 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his image includes two bar charts. The left chart shows an index indicating how work effects family life for those with a child under 5 and those with a child under 18. Both series are split by gender. The chart indicates that fathers are more likely to report that work effects family life than mothers if the child is under 5. The index is similar for both parents if the child is under 18.&#10;&#10;The right chart shows an index indicating how family life affects work for parents with a child under 5 and parents with a child under 18. Both series are split by gender. Mothers are more likely to report that family life affects work regardless of child age. "/>
                    <pic:cNvPicPr/>
                  </pic:nvPicPr>
                  <pic:blipFill>
                    <a:blip r:embed="rId85"/>
                    <a:stretch>
                      <a:fillRect/>
                    </a:stretch>
                  </pic:blipFill>
                  <pic:spPr>
                    <a:xfrm>
                      <a:off x="0" y="0"/>
                      <a:ext cx="5503538" cy="2844000"/>
                    </a:xfrm>
                    <a:prstGeom prst="rect">
                      <a:avLst/>
                    </a:prstGeom>
                  </pic:spPr>
                </pic:pic>
              </a:graphicData>
            </a:graphic>
          </wp:inline>
        </w:drawing>
      </w:r>
    </w:p>
    <w:p w14:paraId="097D75AB" w14:textId="1800511D" w:rsidR="00790909" w:rsidRDefault="00790909" w:rsidP="00790909">
      <w:pPr>
        <w:spacing w:before="0" w:after="0"/>
        <w:rPr>
          <w:sz w:val="16"/>
          <w:szCs w:val="14"/>
        </w:rPr>
      </w:pPr>
      <w:r w:rsidRPr="002761C6">
        <w:rPr>
          <w:sz w:val="16"/>
          <w:szCs w:val="14"/>
        </w:rPr>
        <w:t>Notes: Sample only includes parents who are currently employed.</w:t>
      </w:r>
      <w:r>
        <w:rPr>
          <w:sz w:val="16"/>
          <w:szCs w:val="14"/>
        </w:rPr>
        <w:t xml:space="preserve"> Indexes constructed using a combination of questions in HILDA that asks respondents about their work</w:t>
      </w:r>
      <w:r w:rsidR="002B75D0">
        <w:rPr>
          <w:sz w:val="16"/>
          <w:szCs w:val="14"/>
        </w:rPr>
        <w:noBreakHyphen/>
      </w:r>
      <w:r>
        <w:rPr>
          <w:sz w:val="16"/>
          <w:szCs w:val="14"/>
        </w:rPr>
        <w:t xml:space="preserve">family balance. </w:t>
      </w:r>
      <w:r w:rsidR="000B2B9F">
        <w:rPr>
          <w:sz w:val="16"/>
          <w:szCs w:val="14"/>
        </w:rPr>
        <w:t>Differences are statistically significant in cases mentioned in text.</w:t>
      </w:r>
      <w:r>
        <w:rPr>
          <w:sz w:val="16"/>
          <w:szCs w:val="14"/>
        </w:rPr>
        <w:t xml:space="preserve"> </w:t>
      </w:r>
    </w:p>
    <w:p w14:paraId="2D17DFC1" w14:textId="6D0CA856" w:rsidR="00790909" w:rsidRDefault="00790909" w:rsidP="00790909">
      <w:pPr>
        <w:spacing w:before="0" w:after="0"/>
        <w:rPr>
          <w:sz w:val="16"/>
          <w:szCs w:val="14"/>
        </w:rPr>
      </w:pPr>
      <w:r w:rsidRPr="002761C6">
        <w:rPr>
          <w:sz w:val="16"/>
          <w:szCs w:val="14"/>
        </w:rPr>
        <w:t>Source: Treasury analysis of HILDA Release 19.0.</w:t>
      </w:r>
    </w:p>
    <w:p w14:paraId="135D474B" w14:textId="77777777" w:rsidR="00790909" w:rsidRDefault="00790909" w:rsidP="00BD35B8">
      <w:pPr>
        <w:pStyle w:val="Heading2"/>
      </w:pPr>
      <w:r>
        <w:lastRenderedPageBreak/>
        <w:t>Workplace flexibility</w:t>
      </w:r>
    </w:p>
    <w:p w14:paraId="7C84CF6D" w14:textId="77777777" w:rsidR="00790909" w:rsidRDefault="00790909" w:rsidP="007F4D5B">
      <w:r>
        <w:t xml:space="preserve">A potentially important mechanism for the motherhood penalty is how </w:t>
      </w:r>
      <w:r w:rsidRPr="001A4C9F">
        <w:t xml:space="preserve">workplace </w:t>
      </w:r>
      <w:r>
        <w:t>settings</w:t>
      </w:r>
      <w:r w:rsidRPr="001A4C9F">
        <w:t xml:space="preserve"> around flexible working differ across occupations</w:t>
      </w:r>
      <w:r>
        <w:t xml:space="preserve">. Flexible work may make it easier for some parents to adjust their labour supply responses after having children, while coming with its own costs. </w:t>
      </w:r>
      <w:r w:rsidRPr="001A4C9F">
        <w:t>To assess the availability of flexible work, we use a question in HILDA that asks respondents whether flexible start or finish times are available as an entitlement in their workplace</w:t>
      </w:r>
      <w:r>
        <w:t xml:space="preserve">. </w:t>
      </w:r>
    </w:p>
    <w:p w14:paraId="0E1677DF" w14:textId="7D9A46C5" w:rsidR="00790909" w:rsidRDefault="001E07C9" w:rsidP="007F4D5B">
      <w:r>
        <w:t>Women</w:t>
      </w:r>
      <w:r w:rsidR="00790909" w:rsidDel="001E07C9">
        <w:t xml:space="preserve"> </w:t>
      </w:r>
      <w:r>
        <w:t xml:space="preserve">who had </w:t>
      </w:r>
      <w:r w:rsidR="00790909">
        <w:t xml:space="preserve">greater access to flexible conditions before </w:t>
      </w:r>
      <w:r>
        <w:t xml:space="preserve">having </w:t>
      </w:r>
      <w:r w:rsidR="00790909">
        <w:t xml:space="preserve">children are more likely to remain employed after </w:t>
      </w:r>
      <w:r>
        <w:t xml:space="preserve">having </w:t>
      </w:r>
      <w:r w:rsidR="00790909">
        <w:t xml:space="preserve">children. </w:t>
      </w:r>
      <w:r w:rsidR="00790909" w:rsidRPr="0002114C">
        <w:t>Conversely, for women who remain employed, the hourly wage penalty is larger for women in more flexible occupations</w:t>
      </w:r>
      <w:r w:rsidR="00790909">
        <w:t xml:space="preserve">, potentially reflecting </w:t>
      </w:r>
      <w:r w:rsidR="00790909" w:rsidRPr="0002114C">
        <w:t>foregone promotion opportunities</w:t>
      </w:r>
      <w:r w:rsidR="00790909">
        <w:t xml:space="preserve"> (</w:t>
      </w:r>
      <w:r w:rsidR="005E70A1">
        <w:t xml:space="preserve">Figure </w:t>
      </w:r>
      <w:r w:rsidR="00790909">
        <w:t xml:space="preserve">6). These results suggest a role for workplace settings, particularly around the availability of flexibility, in potentially mitigating the motherhood penalty in employment and hours worked, but potentially at the cost of hourly wages. Similar findings in </w:t>
      </w:r>
      <w:proofErr w:type="spellStart"/>
      <w:r w:rsidR="00790909">
        <w:t>Kleven</w:t>
      </w:r>
      <w:proofErr w:type="spellEnd"/>
      <w:r w:rsidR="00790909">
        <w:t xml:space="preserve"> et al</w:t>
      </w:r>
      <w:r w:rsidR="002F6DCF">
        <w:t>.</w:t>
      </w:r>
      <w:r w:rsidR="00790909">
        <w:t xml:space="preserve"> (2019b) point to parenthood disproportionately leading women to be more likely to be in a flexible workplace but less likely to be in management. Workplace flexibility is only half the story then</w:t>
      </w:r>
      <w:r w:rsidR="00953235">
        <w:t xml:space="preserve">. </w:t>
      </w:r>
      <w:r w:rsidR="00790909">
        <w:t xml:space="preserve">Goldin (2014) argues that disproportionate rewards </w:t>
      </w:r>
      <w:r w:rsidR="0090552C">
        <w:t xml:space="preserve">for </w:t>
      </w:r>
      <w:r w:rsidR="00790909">
        <w:t xml:space="preserve">long and </w:t>
      </w:r>
      <w:proofErr w:type="gramStart"/>
      <w:r w:rsidR="00790909">
        <w:t>particular hours</w:t>
      </w:r>
      <w:proofErr w:type="gramEnd"/>
      <w:r w:rsidR="00790909">
        <w:t xml:space="preserve"> in some sectors result in larger gender pay gaps that could be ameliorated with more considered job design. This would benefit women, but also men, seeking greater flexibility at work.   </w:t>
      </w:r>
    </w:p>
    <w:p w14:paraId="0F014F73" w14:textId="41782BD7" w:rsidR="00790909" w:rsidRDefault="005E70A1" w:rsidP="00790909">
      <w:pPr>
        <w:pStyle w:val="Charttitle"/>
        <w:spacing w:before="0" w:after="0"/>
      </w:pPr>
      <w:r>
        <w:t xml:space="preserve">Figure </w:t>
      </w:r>
      <w:r w:rsidR="00790909">
        <w:t xml:space="preserve">6: Outcomes for women, by workplace flexibility </w:t>
      </w:r>
    </w:p>
    <w:tbl>
      <w:tblPr>
        <w:tblStyle w:val="TableGrid"/>
        <w:tblW w:w="1119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33"/>
        <w:gridCol w:w="3733"/>
        <w:gridCol w:w="3733"/>
      </w:tblGrid>
      <w:tr w:rsidR="003B61F2" w14:paraId="6664A2AB" w14:textId="77777777" w:rsidTr="00E526E9">
        <w:tc>
          <w:tcPr>
            <w:tcW w:w="3730" w:type="dxa"/>
          </w:tcPr>
          <w:p w14:paraId="284A0F28" w14:textId="77777777" w:rsidR="003B61F2" w:rsidRPr="003B61F2" w:rsidRDefault="003B61F2" w:rsidP="00666D19">
            <w:pPr>
              <w:pStyle w:val="Chartsource"/>
              <w:rPr>
                <w:noProof/>
              </w:rPr>
            </w:pPr>
            <w:r w:rsidRPr="003B61F2">
              <w:rPr>
                <w:noProof/>
              </w:rPr>
              <w:drawing>
                <wp:inline distT="0" distB="0" distL="0" distR="0" wp14:anchorId="5713D177" wp14:editId="2E57A849">
                  <wp:extent cx="2232000" cy="2232000"/>
                  <wp:effectExtent l="0" t="0" r="0" b="0"/>
                  <wp:docPr id="41" name="Picture 41" descr="This line chart shows changes in employment for women by workplace flexibility from 3 years before parenthood to 5 years after. Earnings for all women drop after parenthood, but the effect is smaller for those with more flexible cond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This line chart shows changes in employment for women by workplace flexibility from 3 years before parenthood to 5 years after. Earnings for all women drop after parenthood, but the effect is smaller for those with more flexible conditions."/>
                          <pic:cNvPicPr>
                            <a:picLocks noChangeAspect="1" noChangeArrowheads="1"/>
                          </pic:cNvPicPr>
                        </pic:nvPicPr>
                        <pic:blipFill>
                          <a:blip r:embed="rId86" cstate="print">
                            <a:extLst>
                              <a:ext uri="{28A0092B-C50C-407E-A947-70E740481C1C}">
                                <a14:useLocalDpi xmlns:a14="http://schemas.microsoft.com/office/drawing/2010/main" val="0"/>
                              </a:ext>
                            </a:extLst>
                          </a:blip>
                          <a:stretch>
                            <a:fillRect/>
                          </a:stretch>
                        </pic:blipFill>
                        <pic:spPr bwMode="auto">
                          <a:xfrm>
                            <a:off x="0" y="0"/>
                            <a:ext cx="2232000" cy="2232000"/>
                          </a:xfrm>
                          <a:prstGeom prst="rect">
                            <a:avLst/>
                          </a:prstGeom>
                          <a:noFill/>
                          <a:ln>
                            <a:noFill/>
                          </a:ln>
                        </pic:spPr>
                      </pic:pic>
                    </a:graphicData>
                  </a:graphic>
                </wp:inline>
              </w:drawing>
            </w:r>
          </w:p>
        </w:tc>
        <w:tc>
          <w:tcPr>
            <w:tcW w:w="3730" w:type="dxa"/>
          </w:tcPr>
          <w:p w14:paraId="3C343C76" w14:textId="77777777" w:rsidR="003B61F2" w:rsidRDefault="003B61F2" w:rsidP="00666D19">
            <w:pPr>
              <w:pStyle w:val="Chartsource"/>
              <w:rPr>
                <w:noProof/>
              </w:rPr>
            </w:pPr>
            <w:r>
              <w:rPr>
                <w:noProof/>
              </w:rPr>
              <w:drawing>
                <wp:inline distT="0" distB="0" distL="0" distR="0" wp14:anchorId="120B495C" wp14:editId="4EF74F5E">
                  <wp:extent cx="2232000" cy="2232000"/>
                  <wp:effectExtent l="0" t="0" r="0" b="0"/>
                  <wp:docPr id="42" name="Picture 42" descr="This line chart shows changes in hours worked for women by workplace flexibility from 3 years before parenthood to 5 years after. Hours worked for all women drop after parenthood, and the effect is very similar for both group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This line chart shows changes in hours worked for women by workplace flexibility from 3 years before parenthood to 5 years after. Hours worked for all women drop after parenthood, and the effect is very similar for both groups. "/>
                          <pic:cNvPicPr>
                            <a:picLocks noChangeAspect="1" noChangeArrowheads="1"/>
                          </pic:cNvPicPr>
                        </pic:nvPicPr>
                        <pic:blipFill>
                          <a:blip r:embed="rId87" cstate="print">
                            <a:extLst>
                              <a:ext uri="{28A0092B-C50C-407E-A947-70E740481C1C}">
                                <a14:useLocalDpi xmlns:a14="http://schemas.microsoft.com/office/drawing/2010/main" val="0"/>
                              </a:ext>
                            </a:extLst>
                          </a:blip>
                          <a:stretch>
                            <a:fillRect/>
                          </a:stretch>
                        </pic:blipFill>
                        <pic:spPr bwMode="auto">
                          <a:xfrm>
                            <a:off x="0" y="0"/>
                            <a:ext cx="2232000" cy="2232000"/>
                          </a:xfrm>
                          <a:prstGeom prst="rect">
                            <a:avLst/>
                          </a:prstGeom>
                          <a:noFill/>
                          <a:ln>
                            <a:noFill/>
                          </a:ln>
                        </pic:spPr>
                      </pic:pic>
                    </a:graphicData>
                  </a:graphic>
                </wp:inline>
              </w:drawing>
            </w:r>
          </w:p>
        </w:tc>
        <w:tc>
          <w:tcPr>
            <w:tcW w:w="3730" w:type="dxa"/>
          </w:tcPr>
          <w:p w14:paraId="3B0046EC" w14:textId="77777777" w:rsidR="003B61F2" w:rsidRDefault="003B61F2" w:rsidP="00666D19">
            <w:pPr>
              <w:pStyle w:val="Chartsource"/>
              <w:rPr>
                <w:noProof/>
              </w:rPr>
            </w:pPr>
            <w:r>
              <w:rPr>
                <w:noProof/>
              </w:rPr>
              <w:drawing>
                <wp:inline distT="0" distB="0" distL="0" distR="0" wp14:anchorId="798784C9" wp14:editId="61747368">
                  <wp:extent cx="2232000" cy="2232000"/>
                  <wp:effectExtent l="0" t="0" r="0" b="0"/>
                  <wp:docPr id="43" name="Picture 43" descr="This line chart shows changes in hourly wages for women by workplace flexibility from 3 years before parenthood to 5 years after. Hourly earnings for those with more flexible conditions drop by around 10 per cent after parenthood, while hourly earnings those with less flexible conditions increases after parenthood but then returns to pre-parenthood levels 5 years later. The error bars on these series are wi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This line chart shows changes in hourly wages for women by workplace flexibility from 3 years before parenthood to 5 years after. Hourly earnings for those with more flexible conditions drop by around 10 per cent after parenthood, while hourly earnings those with less flexible conditions increases after parenthood but then returns to pre-parenthood levels 5 years later. The error bars on these series are wide. "/>
                          <pic:cNvPicPr>
                            <a:picLocks noChangeAspect="1" noChangeArrowheads="1"/>
                          </pic:cNvPicPr>
                        </pic:nvPicPr>
                        <pic:blipFill>
                          <a:blip r:embed="rId88" cstate="print">
                            <a:extLst>
                              <a:ext uri="{28A0092B-C50C-407E-A947-70E740481C1C}">
                                <a14:useLocalDpi xmlns:a14="http://schemas.microsoft.com/office/drawing/2010/main" val="0"/>
                              </a:ext>
                            </a:extLst>
                          </a:blip>
                          <a:stretch>
                            <a:fillRect/>
                          </a:stretch>
                        </pic:blipFill>
                        <pic:spPr bwMode="auto">
                          <a:xfrm>
                            <a:off x="0" y="0"/>
                            <a:ext cx="2232000" cy="2232000"/>
                          </a:xfrm>
                          <a:prstGeom prst="rect">
                            <a:avLst/>
                          </a:prstGeom>
                          <a:noFill/>
                          <a:ln>
                            <a:noFill/>
                          </a:ln>
                        </pic:spPr>
                      </pic:pic>
                    </a:graphicData>
                  </a:graphic>
                </wp:inline>
              </w:drawing>
            </w:r>
          </w:p>
        </w:tc>
      </w:tr>
    </w:tbl>
    <w:p w14:paraId="1AE17FA4" w14:textId="57F14D7F" w:rsidR="00666D19" w:rsidRDefault="00666D19" w:rsidP="00666D19">
      <w:pPr>
        <w:pStyle w:val="Chartsource"/>
      </w:pPr>
      <w:r>
        <w:t xml:space="preserve">Notes: Chart shows effects for women only. Effects on participation are estimated unconditional on employment status, while the effect on hours and wages are conditional on participation. More flexibility defined as average occupational flexibility above median in year before children. </w:t>
      </w:r>
    </w:p>
    <w:p w14:paraId="0B1BC35A" w14:textId="57EA8613" w:rsidR="00666D19" w:rsidRDefault="00666D19" w:rsidP="00666D19">
      <w:pPr>
        <w:pStyle w:val="Chartsource"/>
      </w:pPr>
      <w:r>
        <w:t>Source: Treasury analysis of HILDA Release 19.0.</w:t>
      </w:r>
    </w:p>
    <w:p w14:paraId="69C29443" w14:textId="7389DE22" w:rsidR="00790909" w:rsidRDefault="00790909" w:rsidP="00BD35B8">
      <w:pPr>
        <w:pStyle w:val="Heading2"/>
      </w:pPr>
      <w:r>
        <w:t xml:space="preserve">Gender norms  </w:t>
      </w:r>
    </w:p>
    <w:p w14:paraId="68BEC0C1" w14:textId="29F5955A" w:rsidR="00790909" w:rsidRDefault="005E7E9B" w:rsidP="007F4D5B">
      <w:pPr>
        <w:spacing w:before="0"/>
      </w:pPr>
      <w:r>
        <w:t>Our estimated long</w:t>
      </w:r>
      <w:r w:rsidR="00D1577F">
        <w:t>-</w:t>
      </w:r>
      <w:r>
        <w:t>run motherhood penalty (4</w:t>
      </w:r>
      <w:r w:rsidR="00EF04AB">
        <w:t>3</w:t>
      </w:r>
      <w:r>
        <w:t xml:space="preserve"> per cent) is </w:t>
      </w:r>
      <w:proofErr w:type="gramStart"/>
      <w:r w:rsidR="00EF04AB">
        <w:t>similar to</w:t>
      </w:r>
      <w:proofErr w:type="gramEnd"/>
      <w:r w:rsidR="00FA5B8E">
        <w:t xml:space="preserve"> the United Kingdom (44 per cent), </w:t>
      </w:r>
      <w:r w:rsidRPr="0002114C">
        <w:t>larger in magnitude than estimates for Denmark (2</w:t>
      </w:r>
      <w:r>
        <w:t>1 per cent</w:t>
      </w:r>
      <w:r w:rsidRPr="0002114C">
        <w:t xml:space="preserve">), </w:t>
      </w:r>
      <w:r w:rsidR="00BC46CC" w:rsidRPr="0002114C">
        <w:t>Sweden (</w:t>
      </w:r>
      <w:r w:rsidR="00BC46CC">
        <w:t>26 per cent</w:t>
      </w:r>
      <w:r w:rsidR="00BC46CC" w:rsidRPr="0002114C">
        <w:t>)</w:t>
      </w:r>
      <w:r w:rsidR="00BC46CC">
        <w:t xml:space="preserve"> and </w:t>
      </w:r>
      <w:r w:rsidRPr="0002114C">
        <w:t xml:space="preserve">the </w:t>
      </w:r>
      <w:r>
        <w:t>US</w:t>
      </w:r>
      <w:r w:rsidRPr="0002114C">
        <w:t xml:space="preserve"> (3</w:t>
      </w:r>
      <w:r>
        <w:t>1 per cent</w:t>
      </w:r>
      <w:r w:rsidRPr="0002114C">
        <w:t>)</w:t>
      </w:r>
      <w:r w:rsidR="00BC46CC" w:rsidRPr="0002114C">
        <w:t>,</w:t>
      </w:r>
      <w:r w:rsidR="00BC46CC">
        <w:t xml:space="preserve"> </w:t>
      </w:r>
      <w:r>
        <w:t>but</w:t>
      </w:r>
      <w:r w:rsidRPr="0002114C">
        <w:t xml:space="preserve"> smaller than estimates for Germany (</w:t>
      </w:r>
      <w:r>
        <w:t>61 per cent</w:t>
      </w:r>
      <w:r w:rsidRPr="0002114C">
        <w:t>) and Austria (</w:t>
      </w:r>
      <w:r>
        <w:t>5</w:t>
      </w:r>
      <w:r w:rsidRPr="0002114C">
        <w:t>1</w:t>
      </w:r>
      <w:r>
        <w:t xml:space="preserve"> per cent</w:t>
      </w:r>
      <w:r w:rsidRPr="0002114C">
        <w:t xml:space="preserve">) </w:t>
      </w:r>
      <w:r w:rsidR="00790909" w:rsidRPr="0002114C">
        <w:t>(</w:t>
      </w:r>
      <w:proofErr w:type="spellStart"/>
      <w:r w:rsidR="00790909" w:rsidRPr="0002114C">
        <w:t>Kleven</w:t>
      </w:r>
      <w:proofErr w:type="spellEnd"/>
      <w:r w:rsidR="00790909" w:rsidRPr="0002114C">
        <w:t xml:space="preserve"> et al</w:t>
      </w:r>
      <w:r w:rsidR="002F6DCF">
        <w:t>.</w:t>
      </w:r>
      <w:r w:rsidR="00790909">
        <w:t xml:space="preserve"> </w:t>
      </w:r>
      <w:r w:rsidR="00790909" w:rsidRPr="0002114C">
        <w:t>2019</w:t>
      </w:r>
      <w:r w:rsidR="00790909">
        <w:t>a</w:t>
      </w:r>
      <w:r w:rsidR="00790909" w:rsidRPr="0002114C">
        <w:t>). Th</w:t>
      </w:r>
      <w:r w:rsidR="00790909">
        <w:t>ese cross</w:t>
      </w:r>
      <w:r w:rsidR="002B75D0">
        <w:noBreakHyphen/>
      </w:r>
      <w:r w:rsidR="00790909">
        <w:t xml:space="preserve">country </w:t>
      </w:r>
      <w:r w:rsidR="00790909" w:rsidRPr="0002114C">
        <w:t xml:space="preserve">differences </w:t>
      </w:r>
      <w:r w:rsidR="00790909">
        <w:t xml:space="preserve">may be driven by differences in </w:t>
      </w:r>
      <w:r w:rsidR="00790909" w:rsidRPr="0002114C">
        <w:t xml:space="preserve">gender norms, as well as institutional and policy settings across countries.  </w:t>
      </w:r>
    </w:p>
    <w:p w14:paraId="78F593F6" w14:textId="78DFFD6F" w:rsidR="00790909" w:rsidRDefault="00790909" w:rsidP="007F4D5B">
      <w:pPr>
        <w:spacing w:before="0"/>
      </w:pPr>
      <w:r>
        <w:t>Using a cross</w:t>
      </w:r>
      <w:r w:rsidR="002B75D0">
        <w:noBreakHyphen/>
      </w:r>
      <w:r>
        <w:t>country survey, we show that countries with more conservative gender norms have worse long</w:t>
      </w:r>
      <w:r w:rsidR="00D1577F">
        <w:t>-</w:t>
      </w:r>
      <w:r>
        <w:t>run penalties (</w:t>
      </w:r>
      <w:r w:rsidR="005E70A1">
        <w:t xml:space="preserve">Figure </w:t>
      </w:r>
      <w:r>
        <w:t xml:space="preserve">7). </w:t>
      </w:r>
      <w:r w:rsidRPr="00940920">
        <w:t xml:space="preserve">Australia displays </w:t>
      </w:r>
      <w:r>
        <w:t>both</w:t>
      </w:r>
      <w:r w:rsidRPr="00940920">
        <w:t xml:space="preserve"> conservative norms about men’s and women’s roles, </w:t>
      </w:r>
      <w:r>
        <w:t xml:space="preserve">and a </w:t>
      </w:r>
      <w:r w:rsidRPr="00940920">
        <w:t xml:space="preserve">high motherhood penalty </w:t>
      </w:r>
      <w:r>
        <w:t>relative to</w:t>
      </w:r>
      <w:r w:rsidRPr="00940920">
        <w:t xml:space="preserve"> other countries surveyed</w:t>
      </w:r>
      <w:r w:rsidR="00953235">
        <w:t>. This</w:t>
      </w:r>
      <w:r>
        <w:t xml:space="preserve"> suggests underlying gender norms likely reinforce the penalty. Recent research shows the motherhood </w:t>
      </w:r>
      <w:r>
        <w:lastRenderedPageBreak/>
        <w:t xml:space="preserve">penalty can also vary greatly within countries (the </w:t>
      </w:r>
      <w:r w:rsidR="00953235">
        <w:t>US</w:t>
      </w:r>
      <w:r>
        <w:t>), in ways that suggest a strong role for social norms (</w:t>
      </w:r>
      <w:proofErr w:type="spellStart"/>
      <w:r>
        <w:t>Kleven</w:t>
      </w:r>
      <w:proofErr w:type="spellEnd"/>
      <w:r>
        <w:t xml:space="preserve"> 2022).   </w:t>
      </w:r>
    </w:p>
    <w:p w14:paraId="003A3B22" w14:textId="14922CEE" w:rsidR="00790909" w:rsidRDefault="005E70A1" w:rsidP="00790909">
      <w:pPr>
        <w:pStyle w:val="Charttitle"/>
        <w:spacing w:after="0"/>
      </w:pPr>
      <w:r>
        <w:t xml:space="preserve">Figure </w:t>
      </w:r>
      <w:r w:rsidR="00790909">
        <w:t>7: Gender norms and motherhood penalties across countries</w:t>
      </w:r>
      <w:r w:rsidR="004F75E6">
        <w:rPr>
          <w:noProof/>
        </w:rPr>
        <w:drawing>
          <wp:inline distT="0" distB="0" distL="0" distR="0" wp14:anchorId="294FF175" wp14:editId="5E9004C2">
            <wp:extent cx="4206875" cy="3084830"/>
            <wp:effectExtent l="0" t="0" r="3175" b="0"/>
            <wp:docPr id="28" name="Picture 28" descr="This chart plots the estimated long run motherhood penalties for Denmark, Sweden, USA, UK, Germany, Austria and Australia. It shows a positive association between countries' motherhood penalties and the share of respondents that agree that women should stay at home when they have young childr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This chart plots the estimated long run motherhood penalties for Denmark, Sweden, USA, UK, Germany, Austria and Australia. It shows a positive association between countries' motherhood penalties and the share of respondents that agree that women should stay at home when they have young children. "/>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4206875" cy="3084830"/>
                    </a:xfrm>
                    <a:prstGeom prst="rect">
                      <a:avLst/>
                    </a:prstGeom>
                    <a:noFill/>
                  </pic:spPr>
                </pic:pic>
              </a:graphicData>
            </a:graphic>
          </wp:inline>
        </w:drawing>
      </w:r>
    </w:p>
    <w:p w14:paraId="54FB3714" w14:textId="5118EA2B" w:rsidR="00790909" w:rsidRPr="00076821" w:rsidRDefault="00790909" w:rsidP="00D53A19">
      <w:pPr>
        <w:spacing w:before="0" w:after="0"/>
        <w:rPr>
          <w:sz w:val="16"/>
          <w:szCs w:val="16"/>
        </w:rPr>
      </w:pPr>
      <w:r w:rsidRPr="00D53A19">
        <w:rPr>
          <w:sz w:val="16"/>
          <w:szCs w:val="16"/>
        </w:rPr>
        <w:t xml:space="preserve">Notes: </w:t>
      </w:r>
      <w:r w:rsidRPr="002761C6">
        <w:rPr>
          <w:iCs/>
          <w:sz w:val="16"/>
          <w:szCs w:val="16"/>
        </w:rPr>
        <w:t>Chart plots share of respondents who state that women should stay at home when either their child is under school age or their youngest child is in school against each country’s long</w:t>
      </w:r>
      <w:r w:rsidR="004C6307">
        <w:rPr>
          <w:iCs/>
          <w:sz w:val="16"/>
          <w:szCs w:val="16"/>
        </w:rPr>
        <w:t>-</w:t>
      </w:r>
      <w:r w:rsidRPr="002761C6">
        <w:rPr>
          <w:iCs/>
          <w:sz w:val="16"/>
          <w:szCs w:val="16"/>
        </w:rPr>
        <w:t>run (</w:t>
      </w:r>
      <w:proofErr w:type="gramStart"/>
      <w:r w:rsidR="00D91707">
        <w:rPr>
          <w:sz w:val="16"/>
          <w:szCs w:val="16"/>
        </w:rPr>
        <w:t>i.e.</w:t>
      </w:r>
      <w:proofErr w:type="gramEnd"/>
      <w:r w:rsidRPr="00076821">
        <w:rPr>
          <w:sz w:val="16"/>
          <w:szCs w:val="16"/>
        </w:rPr>
        <w:t xml:space="preserve"> average</w:t>
      </w:r>
      <w:r w:rsidR="00D91707">
        <w:rPr>
          <w:sz w:val="16"/>
          <w:szCs w:val="16"/>
        </w:rPr>
        <w:t xml:space="preserve"> of years 5 to 10</w:t>
      </w:r>
      <w:r w:rsidRPr="00076821">
        <w:rPr>
          <w:sz w:val="16"/>
          <w:szCs w:val="16"/>
        </w:rPr>
        <w:t xml:space="preserve">) child penalty, fitting a linear line through these observations. </w:t>
      </w:r>
    </w:p>
    <w:p w14:paraId="447CEF28" w14:textId="3DD2397D" w:rsidR="00790909" w:rsidRPr="00856C43" w:rsidRDefault="00790909" w:rsidP="00D53A19">
      <w:pPr>
        <w:spacing w:before="0" w:after="0"/>
        <w:rPr>
          <w:sz w:val="16"/>
          <w:lang w:val="en-US"/>
        </w:rPr>
      </w:pPr>
      <w:r w:rsidRPr="00D53A19">
        <w:rPr>
          <w:sz w:val="16"/>
          <w:szCs w:val="16"/>
        </w:rPr>
        <w:t xml:space="preserve">Source: </w:t>
      </w:r>
      <w:proofErr w:type="spellStart"/>
      <w:r>
        <w:rPr>
          <w:sz w:val="16"/>
          <w:szCs w:val="16"/>
        </w:rPr>
        <w:t>Kleven</w:t>
      </w:r>
      <w:proofErr w:type="spellEnd"/>
      <w:r>
        <w:rPr>
          <w:sz w:val="16"/>
          <w:szCs w:val="16"/>
        </w:rPr>
        <w:t xml:space="preserve"> et al</w:t>
      </w:r>
      <w:r w:rsidR="002F6DCF">
        <w:rPr>
          <w:sz w:val="16"/>
          <w:szCs w:val="16"/>
        </w:rPr>
        <w:t>.</w:t>
      </w:r>
      <w:r>
        <w:rPr>
          <w:sz w:val="16"/>
          <w:szCs w:val="16"/>
        </w:rPr>
        <w:t xml:space="preserve"> (2019a), </w:t>
      </w:r>
      <w:r w:rsidRPr="002761C6">
        <w:rPr>
          <w:sz w:val="16"/>
          <w:szCs w:val="16"/>
        </w:rPr>
        <w:t xml:space="preserve">Treasury </w:t>
      </w:r>
      <w:r w:rsidRPr="002761C6">
        <w:rPr>
          <w:noProof/>
          <w:sz w:val="16"/>
          <w:szCs w:val="16"/>
        </w:rPr>
        <w:t xml:space="preserve">analysis of </w:t>
      </w:r>
      <w:r w:rsidRPr="002761C6">
        <w:rPr>
          <w:sz w:val="16"/>
          <w:szCs w:val="16"/>
          <w:lang w:val="en-US"/>
        </w:rPr>
        <w:t xml:space="preserve">International Social Survey </w:t>
      </w:r>
      <w:proofErr w:type="spellStart"/>
      <w:r w:rsidRPr="002761C6">
        <w:rPr>
          <w:sz w:val="16"/>
          <w:szCs w:val="16"/>
          <w:lang w:val="en-US"/>
        </w:rPr>
        <w:t>Programme</w:t>
      </w:r>
      <w:proofErr w:type="spellEnd"/>
      <w:r w:rsidRPr="002761C6">
        <w:rPr>
          <w:sz w:val="16"/>
          <w:szCs w:val="16"/>
          <w:lang w:val="en-US"/>
        </w:rPr>
        <w:t xml:space="preserve"> 2012</w:t>
      </w:r>
      <w:r>
        <w:rPr>
          <w:sz w:val="16"/>
          <w:szCs w:val="16"/>
          <w:lang w:val="en-US"/>
        </w:rPr>
        <w:t xml:space="preserve"> and long</w:t>
      </w:r>
      <w:r w:rsidR="00320399">
        <w:rPr>
          <w:sz w:val="16"/>
          <w:szCs w:val="16"/>
          <w:lang w:val="en-US"/>
        </w:rPr>
        <w:t xml:space="preserve"> </w:t>
      </w:r>
      <w:r>
        <w:rPr>
          <w:sz w:val="16"/>
          <w:szCs w:val="16"/>
          <w:lang w:val="en-US"/>
        </w:rPr>
        <w:t>run child penalty for Australia from Chart 1b</w:t>
      </w:r>
      <w:r w:rsidRPr="002761C6">
        <w:rPr>
          <w:sz w:val="16"/>
          <w:szCs w:val="16"/>
          <w:lang w:val="en-US"/>
        </w:rPr>
        <w:t xml:space="preserve">. </w:t>
      </w:r>
    </w:p>
    <w:p w14:paraId="07EFA12F" w14:textId="58BF5300" w:rsidR="00790909" w:rsidRDefault="00790909" w:rsidP="00D53A19">
      <w:r>
        <w:t>In contrast to the importance of gender norms, the link between policies and the motherhood penalty is less clear</w:t>
      </w:r>
      <w:r w:rsidR="002B75D0">
        <w:noBreakHyphen/>
      </w:r>
      <w:r>
        <w:t xml:space="preserve">cut. For example, </w:t>
      </w:r>
      <w:proofErr w:type="spellStart"/>
      <w:r>
        <w:t>Kleven</w:t>
      </w:r>
      <w:proofErr w:type="spellEnd"/>
      <w:r>
        <w:t xml:space="preserve"> et al</w:t>
      </w:r>
      <w:r w:rsidR="002F6DCF">
        <w:t>.</w:t>
      </w:r>
      <w:r>
        <w:t xml:space="preserve"> (2020) find </w:t>
      </w:r>
      <w:r w:rsidR="004C6307">
        <w:t>‘</w:t>
      </w:r>
      <w:r>
        <w:t>enormous</w:t>
      </w:r>
      <w:r w:rsidR="004C6307">
        <w:t>’</w:t>
      </w:r>
      <w:r>
        <w:t xml:space="preserve"> expansions in parental leave and </w:t>
      </w:r>
      <w:proofErr w:type="gramStart"/>
      <w:r>
        <w:t>child</w:t>
      </w:r>
      <w:r w:rsidR="004C6307">
        <w:t xml:space="preserve"> </w:t>
      </w:r>
      <w:r>
        <w:t>care</w:t>
      </w:r>
      <w:proofErr w:type="gramEnd"/>
      <w:r>
        <w:t xml:space="preserve"> in Austria had little impact on the penalty and again emphasise the importance of norms. As they note, however, the interaction between policy and norms is complex, and may result in large policy changes having little impact but also small policy changes triggering a tipping point. Such tipping points have been seen before, with Pan (2015) highlighting tipping points in the desegregation (by gender) of occupations over time. Changing social and workplace attitudes, together with a supportive policy environment, also has the potential to make substantial inroads into Australia’s sizeable motherhood penalty.   </w:t>
      </w:r>
      <w:r w:rsidRPr="00940920">
        <w:t xml:space="preserve"> </w:t>
      </w:r>
      <w:r>
        <w:t xml:space="preserve"> </w:t>
      </w:r>
    </w:p>
    <w:p w14:paraId="0F073EC6" w14:textId="77777777" w:rsidR="00790909" w:rsidRDefault="00790909" w:rsidP="00BD35B8">
      <w:pPr>
        <w:pStyle w:val="Heading1"/>
      </w:pPr>
      <w:r>
        <w:t>Conclusion</w:t>
      </w:r>
    </w:p>
    <w:p w14:paraId="23FFFC56" w14:textId="6A893817" w:rsidR="00790909" w:rsidRDefault="00790909" w:rsidP="00D53A19">
      <w:r>
        <w:t>Our results highlight the significant impact of children on the long</w:t>
      </w:r>
      <w:r w:rsidR="00B22EDF">
        <w:t>-</w:t>
      </w:r>
      <w:r>
        <w:t>run labour market outcomes of women. Women’s earnings more than halve after the arrival of children and remain lower for at least a decade. Participation and hours worked are the primary drivers of the penalty. While flexible workplaces ameliorate some of these effects, they are associated with more sizeable gender hourly wage gaps.</w:t>
      </w:r>
    </w:p>
    <w:p w14:paraId="06E00614" w14:textId="2A46E90A" w:rsidR="00790909" w:rsidRDefault="00790909" w:rsidP="00D13B54">
      <w:pPr>
        <w:rPr>
          <w:rFonts w:cs="Arial"/>
          <w:b/>
          <w:color w:val="5D779D" w:themeColor="accent3"/>
          <w:kern w:val="32"/>
          <w:sz w:val="28"/>
          <w:szCs w:val="26"/>
        </w:rPr>
      </w:pPr>
      <w:r>
        <w:t xml:space="preserve">Australia’s motherhood penalty has important implications for both gender equality and aggregate productivity. On average, Australian women are now more educated than Australian men </w:t>
      </w:r>
      <w:r w:rsidR="00B22EDF">
        <w:sym w:font="Symbol" w:char="F02D"/>
      </w:r>
      <w:r w:rsidR="00D247B7">
        <w:t xml:space="preserve"> </w:t>
      </w:r>
      <w:r>
        <w:t>with 37</w:t>
      </w:r>
      <w:r w:rsidR="00BD35B8">
        <w:t> </w:t>
      </w:r>
      <w:r>
        <w:t xml:space="preserve">per cent of women attaining a </w:t>
      </w:r>
      <w:r w:rsidR="00D247B7">
        <w:t>b</w:t>
      </w:r>
      <w:r>
        <w:t>achelor</w:t>
      </w:r>
      <w:r w:rsidR="00D247B7">
        <w:t>’s</w:t>
      </w:r>
      <w:r w:rsidDel="00D247B7">
        <w:t xml:space="preserve"> </w:t>
      </w:r>
      <w:r>
        <w:t>degree or above in 2020, compared to only 29 per cent of men (</w:t>
      </w:r>
      <w:r w:rsidR="00FB19BF" w:rsidRPr="001968CF">
        <w:t xml:space="preserve">Australian Bureau of Statistics </w:t>
      </w:r>
      <w:r>
        <w:t xml:space="preserve">2020). Improving the utilisation of women’s skills would increase the returns on investments made in women’s human capital. Neither men nor women seem </w:t>
      </w:r>
      <w:r>
        <w:lastRenderedPageBreak/>
        <w:t xml:space="preserve">satisfied with their balance between family and work following parenthood, in ways suggesting gains from a more equal allocation of responsibilities. Barriers to this likely exist within social norms, and workplace norms and policies, as well as government policy settings. Tackling these barriers will nonetheless be a necessary precursor to further gains in female labour force participation, the allocation of talent across paid and unpaid work, and improved diversity in the workplace. </w:t>
      </w:r>
      <w:r>
        <w:br w:type="page"/>
      </w:r>
    </w:p>
    <w:p w14:paraId="4D8D768C" w14:textId="77777777" w:rsidR="00790909" w:rsidRDefault="00790909" w:rsidP="001F1F0E">
      <w:pPr>
        <w:pStyle w:val="Heading2"/>
      </w:pPr>
      <w:r>
        <w:lastRenderedPageBreak/>
        <w:t>References</w:t>
      </w:r>
    </w:p>
    <w:p w14:paraId="44509F7B" w14:textId="3B1307E1" w:rsidR="00360684" w:rsidRPr="00360684" w:rsidRDefault="00360684" w:rsidP="00360684">
      <w:r w:rsidRPr="001968CF">
        <w:t>Australian Bureau of Statistics (</w:t>
      </w:r>
      <w:r>
        <w:t>2020)</w:t>
      </w:r>
      <w:r w:rsidRPr="001968CF">
        <w:t xml:space="preserve"> </w:t>
      </w:r>
      <w:hyperlink r:id="rId90" w:history="1">
        <w:r>
          <w:rPr>
            <w:rStyle w:val="Hyperlink"/>
            <w:i/>
            <w:iCs/>
          </w:rPr>
          <w:t>Gender Indicators, Australia</w:t>
        </w:r>
      </w:hyperlink>
      <w:r>
        <w:rPr>
          <w:i/>
          <w:iCs/>
        </w:rPr>
        <w:t xml:space="preserve"> </w:t>
      </w:r>
      <w:r>
        <w:t xml:space="preserve">– </w:t>
      </w:r>
      <w:r w:rsidRPr="006405DB">
        <w:t>2020</w:t>
      </w:r>
      <w:r>
        <w:t xml:space="preserve"> [data set]</w:t>
      </w:r>
      <w:r w:rsidRPr="001968CF">
        <w:t xml:space="preserve">, </w:t>
      </w:r>
      <w:r>
        <w:t xml:space="preserve">ABS Website, accessed 23 September 2022. </w:t>
      </w:r>
    </w:p>
    <w:p w14:paraId="2C352329" w14:textId="573084B8" w:rsidR="00AD67BC" w:rsidRPr="00AD67BC" w:rsidRDefault="00AD67BC">
      <w:pPr>
        <w:spacing w:before="0"/>
        <w:rPr>
          <w:rFonts w:cs="Calibri"/>
          <w:szCs w:val="22"/>
          <w:shd w:val="clear" w:color="auto" w:fill="FFFFFF"/>
        </w:rPr>
      </w:pPr>
      <w:r w:rsidRPr="001F1F0E">
        <w:rPr>
          <w:rFonts w:cs="Calibri"/>
          <w:color w:val="222222"/>
          <w:szCs w:val="22"/>
          <w:shd w:val="clear" w:color="auto" w:fill="FFFFFF"/>
        </w:rPr>
        <w:t>Carter</w:t>
      </w:r>
      <w:r w:rsidR="00F756C8">
        <w:rPr>
          <w:rFonts w:cs="Calibri"/>
          <w:color w:val="222222"/>
          <w:szCs w:val="22"/>
          <w:shd w:val="clear" w:color="auto" w:fill="FFFFFF"/>
        </w:rPr>
        <w:t xml:space="preserve"> A</w:t>
      </w:r>
      <w:r w:rsidRPr="001F1F0E">
        <w:rPr>
          <w:rFonts w:cs="Calibri"/>
          <w:color w:val="222222"/>
          <w:szCs w:val="22"/>
          <w:shd w:val="clear" w:color="auto" w:fill="FFFFFF"/>
        </w:rPr>
        <w:t xml:space="preserve">, </w:t>
      </w:r>
      <w:proofErr w:type="spellStart"/>
      <w:r w:rsidRPr="001F1F0E">
        <w:rPr>
          <w:rFonts w:cs="Calibri"/>
          <w:color w:val="222222"/>
          <w:szCs w:val="22"/>
          <w:shd w:val="clear" w:color="auto" w:fill="FFFFFF"/>
        </w:rPr>
        <w:t>Abhayaratna</w:t>
      </w:r>
      <w:proofErr w:type="spellEnd"/>
      <w:r w:rsidR="00F756C8">
        <w:rPr>
          <w:rFonts w:cs="Calibri"/>
          <w:color w:val="222222"/>
          <w:szCs w:val="22"/>
          <w:shd w:val="clear" w:color="auto" w:fill="FFFFFF"/>
        </w:rPr>
        <w:t xml:space="preserve"> </w:t>
      </w:r>
      <w:r w:rsidRPr="001F1F0E">
        <w:rPr>
          <w:rFonts w:cs="Calibri"/>
          <w:color w:val="222222"/>
          <w:szCs w:val="22"/>
          <w:shd w:val="clear" w:color="auto" w:fill="FFFFFF"/>
        </w:rPr>
        <w:t>T</w:t>
      </w:r>
      <w:r w:rsidR="00F756C8">
        <w:rPr>
          <w:rFonts w:cs="Calibri"/>
          <w:color w:val="222222"/>
          <w:szCs w:val="22"/>
          <w:shd w:val="clear" w:color="auto" w:fill="FFFFFF"/>
        </w:rPr>
        <w:t xml:space="preserve"> </w:t>
      </w:r>
      <w:r w:rsidRPr="001F1F0E">
        <w:rPr>
          <w:rFonts w:cs="Calibri"/>
          <w:color w:val="222222"/>
          <w:szCs w:val="22"/>
          <w:shd w:val="clear" w:color="auto" w:fill="FFFFFF"/>
        </w:rPr>
        <w:t>and Johnson</w:t>
      </w:r>
      <w:r w:rsidR="00F756C8">
        <w:rPr>
          <w:rFonts w:cs="Calibri"/>
          <w:color w:val="222222"/>
          <w:szCs w:val="22"/>
          <w:shd w:val="clear" w:color="auto" w:fill="FFFFFF"/>
        </w:rPr>
        <w:t xml:space="preserve"> </w:t>
      </w:r>
      <w:r w:rsidRPr="001F1F0E">
        <w:rPr>
          <w:rFonts w:cs="Calibri"/>
          <w:color w:val="222222"/>
          <w:szCs w:val="22"/>
          <w:shd w:val="clear" w:color="auto" w:fill="FFFFFF"/>
        </w:rPr>
        <w:t xml:space="preserve">S </w:t>
      </w:r>
      <w:r w:rsidR="00F756C8">
        <w:rPr>
          <w:rFonts w:cs="Calibri"/>
          <w:color w:val="222222"/>
          <w:szCs w:val="22"/>
          <w:shd w:val="clear" w:color="auto" w:fill="FFFFFF"/>
        </w:rPr>
        <w:t>(</w:t>
      </w:r>
      <w:r w:rsidRPr="001F1F0E">
        <w:rPr>
          <w:rFonts w:cs="Calibri"/>
          <w:color w:val="222222"/>
          <w:szCs w:val="22"/>
          <w:shd w:val="clear" w:color="auto" w:fill="FFFFFF"/>
        </w:rPr>
        <w:t>2021</w:t>
      </w:r>
      <w:r w:rsidR="00F756C8">
        <w:rPr>
          <w:rFonts w:cs="Calibri"/>
          <w:color w:val="222222"/>
          <w:szCs w:val="22"/>
          <w:shd w:val="clear" w:color="auto" w:fill="FFFFFF"/>
        </w:rPr>
        <w:t>)</w:t>
      </w:r>
      <w:r w:rsidRPr="001F1F0E">
        <w:rPr>
          <w:rFonts w:cs="Calibri"/>
          <w:color w:val="222222"/>
          <w:szCs w:val="22"/>
          <w:shd w:val="clear" w:color="auto" w:fill="FFFFFF"/>
        </w:rPr>
        <w:t xml:space="preserve"> </w:t>
      </w:r>
      <w:r w:rsidR="00487131">
        <w:rPr>
          <w:rFonts w:cs="Calibri"/>
          <w:color w:val="222222"/>
          <w:szCs w:val="22"/>
          <w:shd w:val="clear" w:color="auto" w:fill="FFFFFF"/>
        </w:rPr>
        <w:t>‘</w:t>
      </w:r>
      <w:hyperlink r:id="rId91" w:history="1">
        <w:r w:rsidRPr="00487131">
          <w:rPr>
            <w:rStyle w:val="Hyperlink"/>
            <w:rFonts w:cs="Calibri"/>
            <w:szCs w:val="22"/>
            <w:shd w:val="clear" w:color="auto" w:fill="FFFFFF"/>
          </w:rPr>
          <w:t xml:space="preserve">The ATO Longitudinal Information Files (Alife): Individuals </w:t>
        </w:r>
        <w:r w:rsidR="0097358B" w:rsidRPr="00487131">
          <w:rPr>
            <w:rStyle w:val="Hyperlink"/>
            <w:rFonts w:cs="Calibri"/>
            <w:szCs w:val="22"/>
            <w:shd w:val="clear" w:color="auto" w:fill="FFFFFF"/>
          </w:rPr>
          <w:t>–</w:t>
        </w:r>
        <w:r w:rsidRPr="00487131">
          <w:rPr>
            <w:rStyle w:val="Hyperlink"/>
            <w:rFonts w:cs="Calibri"/>
            <w:szCs w:val="22"/>
            <w:shd w:val="clear" w:color="auto" w:fill="FFFFFF"/>
          </w:rPr>
          <w:t xml:space="preserve"> A New Dataset for Public Policy Research</w:t>
        </w:r>
      </w:hyperlink>
      <w:r w:rsidR="00487131">
        <w:rPr>
          <w:rFonts w:cs="Calibri"/>
          <w:color w:val="222222"/>
          <w:szCs w:val="22"/>
          <w:shd w:val="clear" w:color="auto" w:fill="FFFFFF"/>
        </w:rPr>
        <w:t>’,</w:t>
      </w:r>
      <w:r w:rsidRPr="001F1F0E">
        <w:rPr>
          <w:rFonts w:cs="Calibri"/>
          <w:color w:val="222222"/>
          <w:szCs w:val="22"/>
          <w:shd w:val="clear" w:color="auto" w:fill="FFFFFF"/>
        </w:rPr>
        <w:t> </w:t>
      </w:r>
      <w:r w:rsidRPr="001F1F0E">
        <w:rPr>
          <w:rFonts w:cs="Calibri"/>
          <w:i/>
          <w:color w:val="222222"/>
          <w:szCs w:val="22"/>
          <w:shd w:val="clear" w:color="auto" w:fill="FFFFFF"/>
        </w:rPr>
        <w:t>Tax and Transfer Policy Institute</w:t>
      </w:r>
      <w:r>
        <w:rPr>
          <w:rFonts w:cs="Calibri"/>
          <w:i/>
          <w:iCs/>
          <w:color w:val="222222"/>
          <w:szCs w:val="22"/>
          <w:shd w:val="clear" w:color="auto" w:fill="FFFFFF"/>
        </w:rPr>
        <w:t xml:space="preserve"> W</w:t>
      </w:r>
      <w:r w:rsidRPr="001F1F0E">
        <w:rPr>
          <w:rFonts w:cs="Calibri"/>
          <w:i/>
          <w:color w:val="222222"/>
          <w:szCs w:val="22"/>
          <w:shd w:val="clear" w:color="auto" w:fill="FFFFFF"/>
        </w:rPr>
        <w:t xml:space="preserve">orking </w:t>
      </w:r>
      <w:r>
        <w:rPr>
          <w:rFonts w:cs="Calibri"/>
          <w:i/>
          <w:iCs/>
          <w:color w:val="222222"/>
          <w:szCs w:val="22"/>
          <w:shd w:val="clear" w:color="auto" w:fill="FFFFFF"/>
        </w:rPr>
        <w:t>P</w:t>
      </w:r>
      <w:r w:rsidRPr="001F1F0E">
        <w:rPr>
          <w:rFonts w:cs="Calibri"/>
          <w:i/>
          <w:color w:val="222222"/>
          <w:szCs w:val="22"/>
          <w:shd w:val="clear" w:color="auto" w:fill="FFFFFF"/>
        </w:rPr>
        <w:t>aper</w:t>
      </w:r>
      <w:r>
        <w:rPr>
          <w:rFonts w:cs="Calibri"/>
          <w:i/>
          <w:iCs/>
          <w:color w:val="222222"/>
          <w:szCs w:val="22"/>
          <w:shd w:val="clear" w:color="auto" w:fill="FFFFFF"/>
        </w:rPr>
        <w:t xml:space="preserve"> No.</w:t>
      </w:r>
      <w:r w:rsidRPr="001F1F0E">
        <w:rPr>
          <w:rFonts w:cs="Calibri"/>
          <w:color w:val="222222"/>
          <w:szCs w:val="22"/>
          <w:shd w:val="clear" w:color="auto" w:fill="FFFFFF"/>
        </w:rPr>
        <w:t> </w:t>
      </w:r>
      <w:r w:rsidRPr="001F1F0E">
        <w:rPr>
          <w:rFonts w:cs="Calibri"/>
          <w:i/>
          <w:color w:val="222222"/>
          <w:szCs w:val="22"/>
          <w:shd w:val="clear" w:color="auto" w:fill="FFFFFF"/>
        </w:rPr>
        <w:t>13</w:t>
      </w:r>
      <w:r w:rsidRPr="001F1F0E">
        <w:rPr>
          <w:rFonts w:cs="Calibri"/>
          <w:color w:val="222222"/>
          <w:szCs w:val="22"/>
          <w:shd w:val="clear" w:color="auto" w:fill="FFFFFF"/>
        </w:rPr>
        <w:t>.</w:t>
      </w:r>
    </w:p>
    <w:p w14:paraId="5BCE3B0A" w14:textId="7D050C56" w:rsidR="00790909" w:rsidRPr="00D23468" w:rsidRDefault="00790909" w:rsidP="001F1F0E">
      <w:pPr>
        <w:spacing w:before="0"/>
        <w:rPr>
          <w:rFonts w:cs="Calibri"/>
          <w:szCs w:val="22"/>
          <w:shd w:val="clear" w:color="auto" w:fill="FFFFFF"/>
        </w:rPr>
      </w:pPr>
      <w:proofErr w:type="spellStart"/>
      <w:r w:rsidRPr="00D23468">
        <w:rPr>
          <w:rFonts w:cs="Calibri"/>
          <w:szCs w:val="22"/>
          <w:shd w:val="clear" w:color="auto" w:fill="FFFFFF"/>
        </w:rPr>
        <w:t>Criscuolo</w:t>
      </w:r>
      <w:proofErr w:type="spellEnd"/>
      <w:r w:rsidR="00F756C8">
        <w:rPr>
          <w:rFonts w:cs="Calibri"/>
          <w:szCs w:val="22"/>
          <w:shd w:val="clear" w:color="auto" w:fill="FFFFFF"/>
        </w:rPr>
        <w:t xml:space="preserve"> </w:t>
      </w:r>
      <w:r w:rsidRPr="00D23468">
        <w:rPr>
          <w:rFonts w:cs="Calibri"/>
          <w:szCs w:val="22"/>
          <w:shd w:val="clear" w:color="auto" w:fill="FFFFFF"/>
        </w:rPr>
        <w:t>C,</w:t>
      </w:r>
      <w:r>
        <w:rPr>
          <w:rFonts w:cs="Calibri"/>
          <w:szCs w:val="22"/>
          <w:shd w:val="clear" w:color="auto" w:fill="FFFFFF"/>
        </w:rPr>
        <w:t xml:space="preserve"> </w:t>
      </w:r>
      <w:r w:rsidRPr="00D23468">
        <w:rPr>
          <w:rFonts w:cs="Calibri"/>
          <w:szCs w:val="22"/>
          <w:shd w:val="clear" w:color="auto" w:fill="FFFFFF"/>
        </w:rPr>
        <w:t>Gal</w:t>
      </w:r>
      <w:r w:rsidR="00F756C8">
        <w:rPr>
          <w:rFonts w:cs="Calibri"/>
          <w:szCs w:val="22"/>
          <w:shd w:val="clear" w:color="auto" w:fill="FFFFFF"/>
        </w:rPr>
        <w:t xml:space="preserve"> P</w:t>
      </w:r>
      <w:r w:rsidRPr="00D23468">
        <w:rPr>
          <w:rFonts w:cs="Calibri"/>
          <w:szCs w:val="22"/>
          <w:shd w:val="clear" w:color="auto" w:fill="FFFFFF"/>
        </w:rPr>
        <w:t xml:space="preserve">, </w:t>
      </w:r>
      <w:proofErr w:type="spellStart"/>
      <w:r w:rsidRPr="00D23468">
        <w:rPr>
          <w:rFonts w:cs="Calibri"/>
          <w:szCs w:val="22"/>
          <w:shd w:val="clear" w:color="auto" w:fill="FFFFFF"/>
        </w:rPr>
        <w:t>Leidecker</w:t>
      </w:r>
      <w:proofErr w:type="spellEnd"/>
      <w:r w:rsidR="00F756C8">
        <w:rPr>
          <w:rFonts w:cs="Calibri"/>
          <w:szCs w:val="22"/>
          <w:shd w:val="clear" w:color="auto" w:fill="FFFFFF"/>
        </w:rPr>
        <w:t xml:space="preserve"> T</w:t>
      </w:r>
      <w:r>
        <w:rPr>
          <w:rFonts w:cs="Calibri"/>
          <w:szCs w:val="22"/>
          <w:shd w:val="clear" w:color="auto" w:fill="FFFFFF"/>
        </w:rPr>
        <w:t xml:space="preserve"> </w:t>
      </w:r>
      <w:r w:rsidRPr="00D23468">
        <w:rPr>
          <w:rFonts w:cs="Calibri"/>
          <w:szCs w:val="22"/>
          <w:shd w:val="clear" w:color="auto" w:fill="FFFFFF"/>
        </w:rPr>
        <w:t>and</w:t>
      </w:r>
      <w:r>
        <w:rPr>
          <w:rFonts w:cs="Calibri"/>
          <w:szCs w:val="22"/>
          <w:shd w:val="clear" w:color="auto" w:fill="FFFFFF"/>
        </w:rPr>
        <w:t xml:space="preserve"> </w:t>
      </w:r>
      <w:r w:rsidRPr="00D23468">
        <w:rPr>
          <w:rFonts w:cs="Calibri"/>
          <w:szCs w:val="22"/>
          <w:shd w:val="clear" w:color="auto" w:fill="FFFFFF"/>
        </w:rPr>
        <w:t>Nicoletti</w:t>
      </w:r>
      <w:r w:rsidR="00F756C8">
        <w:rPr>
          <w:rFonts w:cs="Calibri"/>
          <w:szCs w:val="22"/>
          <w:shd w:val="clear" w:color="auto" w:fill="FFFFFF"/>
        </w:rPr>
        <w:t xml:space="preserve"> G</w:t>
      </w:r>
      <w:r>
        <w:rPr>
          <w:rFonts w:cs="Calibri"/>
          <w:szCs w:val="22"/>
          <w:shd w:val="clear" w:color="auto" w:fill="FFFFFF"/>
        </w:rPr>
        <w:t xml:space="preserve"> (2021) </w:t>
      </w:r>
      <w:r w:rsidR="008F1FF4">
        <w:rPr>
          <w:rFonts w:cs="Calibri"/>
          <w:szCs w:val="22"/>
          <w:shd w:val="clear" w:color="auto" w:fill="FFFFFF"/>
        </w:rPr>
        <w:t>‘</w:t>
      </w:r>
      <w:hyperlink r:id="rId92" w:history="1">
        <w:r w:rsidRPr="001D6085">
          <w:rPr>
            <w:rStyle w:val="Hyperlink"/>
            <w:rFonts w:cs="Calibri"/>
            <w:szCs w:val="22"/>
            <w:shd w:val="clear" w:color="auto" w:fill="FFFFFF"/>
          </w:rPr>
          <w:t>The Human Side of Productivity: Uncovering the role of skills and diversity for firm productivity</w:t>
        </w:r>
      </w:hyperlink>
      <w:r w:rsidR="001D6085">
        <w:rPr>
          <w:rFonts w:cs="Calibri"/>
          <w:szCs w:val="22"/>
          <w:shd w:val="clear" w:color="auto" w:fill="FFFFFF"/>
        </w:rPr>
        <w:t>’</w:t>
      </w:r>
      <w:r>
        <w:rPr>
          <w:rFonts w:cs="Calibri"/>
          <w:szCs w:val="22"/>
          <w:shd w:val="clear" w:color="auto" w:fill="FFFFFF"/>
        </w:rPr>
        <w:t xml:space="preserve">, </w:t>
      </w:r>
      <w:r w:rsidR="0097358B" w:rsidRPr="0097358B">
        <w:rPr>
          <w:rFonts w:cs="Calibri"/>
          <w:i/>
          <w:iCs/>
          <w:szCs w:val="22"/>
          <w:shd w:val="clear" w:color="auto" w:fill="FFFFFF"/>
        </w:rPr>
        <w:t xml:space="preserve">Organisation for Economic Cooperation and Development </w:t>
      </w:r>
      <w:r w:rsidRPr="0097358B">
        <w:rPr>
          <w:rFonts w:cs="Calibri"/>
          <w:i/>
          <w:iCs/>
          <w:szCs w:val="22"/>
          <w:shd w:val="clear" w:color="auto" w:fill="FFFFFF"/>
        </w:rPr>
        <w:t>Productivity Working Papers No. 2021</w:t>
      </w:r>
      <w:r w:rsidR="002B75D0" w:rsidRPr="0097358B">
        <w:rPr>
          <w:rFonts w:cs="Calibri"/>
          <w:i/>
          <w:iCs/>
          <w:szCs w:val="22"/>
          <w:shd w:val="clear" w:color="auto" w:fill="FFFFFF"/>
        </w:rPr>
        <w:noBreakHyphen/>
      </w:r>
      <w:r w:rsidRPr="0097358B">
        <w:rPr>
          <w:rFonts w:cs="Calibri"/>
          <w:i/>
          <w:iCs/>
          <w:szCs w:val="22"/>
          <w:shd w:val="clear" w:color="auto" w:fill="FFFFFF"/>
        </w:rPr>
        <w:t>29</w:t>
      </w:r>
      <w:r w:rsidRPr="00D23468">
        <w:rPr>
          <w:rFonts w:cs="Calibri"/>
          <w:szCs w:val="22"/>
          <w:shd w:val="clear" w:color="auto" w:fill="FFFFFF"/>
        </w:rPr>
        <w:t>.</w:t>
      </w:r>
    </w:p>
    <w:p w14:paraId="11BBE1CD" w14:textId="6CA14287" w:rsidR="00790909" w:rsidRPr="003E16C4" w:rsidRDefault="00790909" w:rsidP="001F1F0E">
      <w:pPr>
        <w:spacing w:before="0"/>
        <w:rPr>
          <w:rFonts w:asciiTheme="minorHAnsi" w:hAnsiTheme="minorHAnsi" w:cstheme="minorHAnsi"/>
          <w:color w:val="222222"/>
          <w:szCs w:val="22"/>
          <w:shd w:val="clear" w:color="auto" w:fill="FFFFFF"/>
        </w:rPr>
      </w:pPr>
      <w:r w:rsidRPr="003E16C4">
        <w:rPr>
          <w:rFonts w:cs="Calibri"/>
          <w:szCs w:val="22"/>
          <w:shd w:val="clear" w:color="auto" w:fill="FFFFFF"/>
        </w:rPr>
        <w:t>Goldin</w:t>
      </w:r>
      <w:r w:rsidR="00F756C8">
        <w:rPr>
          <w:rFonts w:asciiTheme="minorHAnsi" w:hAnsiTheme="minorHAnsi" w:cstheme="minorHAnsi"/>
          <w:color w:val="222222"/>
          <w:szCs w:val="22"/>
          <w:shd w:val="clear" w:color="auto" w:fill="FFFFFF"/>
        </w:rPr>
        <w:t xml:space="preserve"> </w:t>
      </w:r>
      <w:r w:rsidRPr="003E16C4">
        <w:rPr>
          <w:rFonts w:asciiTheme="minorHAnsi" w:hAnsiTheme="minorHAnsi" w:cstheme="minorHAnsi"/>
          <w:color w:val="222222"/>
          <w:szCs w:val="22"/>
          <w:shd w:val="clear" w:color="auto" w:fill="FFFFFF"/>
        </w:rPr>
        <w:t>C</w:t>
      </w:r>
      <w:r>
        <w:rPr>
          <w:rFonts w:asciiTheme="minorHAnsi" w:hAnsiTheme="minorHAnsi" w:cstheme="minorHAnsi"/>
          <w:color w:val="222222"/>
          <w:szCs w:val="22"/>
          <w:shd w:val="clear" w:color="auto" w:fill="FFFFFF"/>
        </w:rPr>
        <w:t xml:space="preserve"> (</w:t>
      </w:r>
      <w:r w:rsidRPr="003E16C4">
        <w:rPr>
          <w:rFonts w:asciiTheme="minorHAnsi" w:hAnsiTheme="minorHAnsi" w:cstheme="minorHAnsi"/>
          <w:color w:val="222222"/>
          <w:szCs w:val="22"/>
          <w:shd w:val="clear" w:color="auto" w:fill="FFFFFF"/>
        </w:rPr>
        <w:t>2014</w:t>
      </w:r>
      <w:r>
        <w:rPr>
          <w:rFonts w:asciiTheme="minorHAnsi" w:hAnsiTheme="minorHAnsi" w:cstheme="minorHAnsi"/>
          <w:color w:val="222222"/>
          <w:szCs w:val="22"/>
          <w:shd w:val="clear" w:color="auto" w:fill="FFFFFF"/>
        </w:rPr>
        <w:t>)</w:t>
      </w:r>
      <w:r w:rsidRPr="003E16C4">
        <w:rPr>
          <w:rFonts w:asciiTheme="minorHAnsi" w:hAnsiTheme="minorHAnsi" w:cstheme="minorHAnsi"/>
          <w:color w:val="222222"/>
          <w:szCs w:val="22"/>
          <w:shd w:val="clear" w:color="auto" w:fill="FFFFFF"/>
        </w:rPr>
        <w:t xml:space="preserve"> </w:t>
      </w:r>
      <w:r w:rsidR="008F1FF4">
        <w:rPr>
          <w:rFonts w:asciiTheme="minorHAnsi" w:hAnsiTheme="minorHAnsi" w:cstheme="minorHAnsi"/>
          <w:color w:val="222222"/>
          <w:szCs w:val="22"/>
          <w:shd w:val="clear" w:color="auto" w:fill="FFFFFF"/>
        </w:rPr>
        <w:t>‘</w:t>
      </w:r>
      <w:hyperlink r:id="rId93" w:history="1">
        <w:r w:rsidRPr="001D6085">
          <w:rPr>
            <w:rStyle w:val="Hyperlink"/>
            <w:rFonts w:asciiTheme="minorHAnsi" w:hAnsiTheme="minorHAnsi" w:cstheme="minorHAnsi"/>
            <w:szCs w:val="22"/>
            <w:shd w:val="clear" w:color="auto" w:fill="FFFFFF"/>
          </w:rPr>
          <w:t>A grand gender convergence: Its last chapter</w:t>
        </w:r>
      </w:hyperlink>
      <w:r w:rsidR="008F1FF4">
        <w:rPr>
          <w:rFonts w:asciiTheme="minorHAnsi" w:hAnsiTheme="minorHAnsi" w:cstheme="minorHAnsi"/>
          <w:color w:val="222222"/>
          <w:szCs w:val="22"/>
          <w:shd w:val="clear" w:color="auto" w:fill="FFFFFF"/>
        </w:rPr>
        <w:t>’</w:t>
      </w:r>
      <w:r>
        <w:rPr>
          <w:rFonts w:asciiTheme="minorHAnsi" w:hAnsiTheme="minorHAnsi" w:cstheme="minorHAnsi"/>
          <w:color w:val="222222"/>
          <w:szCs w:val="22"/>
          <w:shd w:val="clear" w:color="auto" w:fill="FFFFFF"/>
        </w:rPr>
        <w:t>,</w:t>
      </w:r>
      <w:r w:rsidRPr="003E16C4">
        <w:rPr>
          <w:rFonts w:asciiTheme="minorHAnsi" w:hAnsiTheme="minorHAnsi" w:cstheme="minorHAnsi"/>
          <w:color w:val="222222"/>
          <w:szCs w:val="22"/>
          <w:shd w:val="clear" w:color="auto" w:fill="FFFFFF"/>
        </w:rPr>
        <w:t> </w:t>
      </w:r>
      <w:r w:rsidRPr="003E16C4">
        <w:rPr>
          <w:rFonts w:asciiTheme="minorHAnsi" w:hAnsiTheme="minorHAnsi" w:cstheme="minorHAnsi"/>
          <w:i/>
          <w:iCs/>
          <w:color w:val="222222"/>
          <w:szCs w:val="22"/>
          <w:shd w:val="clear" w:color="auto" w:fill="FFFFFF"/>
        </w:rPr>
        <w:t>American Economic Review</w:t>
      </w:r>
      <w:r w:rsidRPr="0073234C">
        <w:rPr>
          <w:rFonts w:asciiTheme="minorHAnsi" w:hAnsiTheme="minorHAnsi" w:cstheme="minorHAnsi"/>
          <w:color w:val="222222"/>
          <w:szCs w:val="22"/>
          <w:shd w:val="clear" w:color="auto" w:fill="FFFFFF"/>
        </w:rPr>
        <w:t>, 104(4)</w:t>
      </w:r>
      <w:r w:rsidR="00F756C8">
        <w:rPr>
          <w:rFonts w:asciiTheme="minorHAnsi" w:hAnsiTheme="minorHAnsi" w:cstheme="minorHAnsi"/>
          <w:color w:val="222222"/>
          <w:szCs w:val="22"/>
          <w:shd w:val="clear" w:color="auto" w:fill="FFFFFF"/>
        </w:rPr>
        <w:t>:</w:t>
      </w:r>
      <w:r w:rsidRPr="003E16C4">
        <w:rPr>
          <w:rFonts w:asciiTheme="minorHAnsi" w:hAnsiTheme="minorHAnsi" w:cstheme="minorHAnsi"/>
          <w:color w:val="222222"/>
          <w:szCs w:val="22"/>
          <w:shd w:val="clear" w:color="auto" w:fill="FFFFFF"/>
        </w:rPr>
        <w:t>1091</w:t>
      </w:r>
      <w:r w:rsidR="00F756C8">
        <w:rPr>
          <w:rFonts w:asciiTheme="minorHAnsi" w:hAnsiTheme="minorHAnsi" w:cstheme="minorHAnsi"/>
          <w:color w:val="222222"/>
          <w:szCs w:val="22"/>
          <w:shd w:val="clear" w:color="auto" w:fill="FFFFFF"/>
        </w:rPr>
        <w:t>–</w:t>
      </w:r>
      <w:r w:rsidRPr="003E16C4">
        <w:rPr>
          <w:rFonts w:asciiTheme="minorHAnsi" w:hAnsiTheme="minorHAnsi" w:cstheme="minorHAnsi"/>
          <w:color w:val="222222"/>
          <w:szCs w:val="22"/>
          <w:shd w:val="clear" w:color="auto" w:fill="FFFFFF"/>
        </w:rPr>
        <w:t>1119.</w:t>
      </w:r>
    </w:p>
    <w:p w14:paraId="6FD22FEA" w14:textId="0C7D0A25" w:rsidR="00790909" w:rsidRPr="00136454" w:rsidRDefault="00790909" w:rsidP="001F1F0E">
      <w:pPr>
        <w:spacing w:before="0" w:after="0"/>
        <w:rPr>
          <w:rFonts w:cs="Calibri"/>
          <w:szCs w:val="22"/>
          <w:shd w:val="clear" w:color="auto" w:fill="FFFFFF"/>
        </w:rPr>
      </w:pPr>
      <w:r w:rsidRPr="00136454">
        <w:rPr>
          <w:rFonts w:cs="Calibri"/>
          <w:szCs w:val="22"/>
          <w:shd w:val="clear" w:color="auto" w:fill="FFFFFF"/>
        </w:rPr>
        <w:t>Hsieh</w:t>
      </w:r>
      <w:r w:rsidR="00F756C8">
        <w:rPr>
          <w:rFonts w:cs="Calibri"/>
          <w:szCs w:val="22"/>
          <w:shd w:val="clear" w:color="auto" w:fill="FFFFFF"/>
        </w:rPr>
        <w:t xml:space="preserve"> </w:t>
      </w:r>
      <w:r w:rsidRPr="00136454">
        <w:rPr>
          <w:rFonts w:cs="Calibri"/>
          <w:szCs w:val="22"/>
          <w:shd w:val="clear" w:color="auto" w:fill="FFFFFF"/>
        </w:rPr>
        <w:t>CT, Hurst</w:t>
      </w:r>
      <w:r w:rsidR="00F756C8">
        <w:rPr>
          <w:rFonts w:cs="Calibri"/>
          <w:szCs w:val="22"/>
          <w:shd w:val="clear" w:color="auto" w:fill="FFFFFF"/>
        </w:rPr>
        <w:t xml:space="preserve"> E</w:t>
      </w:r>
      <w:r w:rsidRPr="00136454">
        <w:rPr>
          <w:rFonts w:cs="Calibri"/>
          <w:szCs w:val="22"/>
          <w:shd w:val="clear" w:color="auto" w:fill="FFFFFF"/>
        </w:rPr>
        <w:t>, Jones</w:t>
      </w:r>
      <w:r w:rsidR="00F756C8">
        <w:rPr>
          <w:rFonts w:cs="Calibri"/>
          <w:szCs w:val="22"/>
          <w:shd w:val="clear" w:color="auto" w:fill="FFFFFF"/>
        </w:rPr>
        <w:t xml:space="preserve"> </w:t>
      </w:r>
      <w:proofErr w:type="gramStart"/>
      <w:r w:rsidR="00F756C8">
        <w:rPr>
          <w:rFonts w:cs="Calibri"/>
          <w:szCs w:val="22"/>
          <w:shd w:val="clear" w:color="auto" w:fill="FFFFFF"/>
        </w:rPr>
        <w:t>CI</w:t>
      </w:r>
      <w:proofErr w:type="gramEnd"/>
      <w:r>
        <w:rPr>
          <w:rFonts w:cs="Calibri"/>
          <w:szCs w:val="22"/>
          <w:shd w:val="clear" w:color="auto" w:fill="FFFFFF"/>
        </w:rPr>
        <w:t xml:space="preserve"> </w:t>
      </w:r>
      <w:r w:rsidRPr="00136454">
        <w:rPr>
          <w:rFonts w:cs="Calibri"/>
          <w:szCs w:val="22"/>
          <w:shd w:val="clear" w:color="auto" w:fill="FFFFFF"/>
        </w:rPr>
        <w:t xml:space="preserve">and </w:t>
      </w:r>
      <w:proofErr w:type="spellStart"/>
      <w:r w:rsidRPr="00136454">
        <w:rPr>
          <w:rFonts w:cs="Calibri"/>
          <w:szCs w:val="22"/>
          <w:shd w:val="clear" w:color="auto" w:fill="FFFFFF"/>
        </w:rPr>
        <w:t>Klenow</w:t>
      </w:r>
      <w:proofErr w:type="spellEnd"/>
      <w:r w:rsidR="00F756C8">
        <w:rPr>
          <w:rFonts w:cs="Calibri"/>
          <w:szCs w:val="22"/>
          <w:shd w:val="clear" w:color="auto" w:fill="FFFFFF"/>
        </w:rPr>
        <w:t xml:space="preserve"> PJ</w:t>
      </w:r>
      <w:r w:rsidRPr="00136454">
        <w:rPr>
          <w:rFonts w:cs="Calibri"/>
          <w:szCs w:val="22"/>
          <w:shd w:val="clear" w:color="auto" w:fill="FFFFFF"/>
        </w:rPr>
        <w:t xml:space="preserve"> </w:t>
      </w:r>
      <w:r>
        <w:rPr>
          <w:rFonts w:cs="Calibri"/>
          <w:szCs w:val="22"/>
          <w:shd w:val="clear" w:color="auto" w:fill="FFFFFF"/>
        </w:rPr>
        <w:t>(</w:t>
      </w:r>
      <w:r w:rsidRPr="00136454">
        <w:rPr>
          <w:rFonts w:cs="Calibri"/>
          <w:szCs w:val="22"/>
          <w:shd w:val="clear" w:color="auto" w:fill="FFFFFF"/>
        </w:rPr>
        <w:t>2019</w:t>
      </w:r>
      <w:r>
        <w:rPr>
          <w:rFonts w:cs="Calibri"/>
          <w:szCs w:val="22"/>
          <w:shd w:val="clear" w:color="auto" w:fill="FFFFFF"/>
        </w:rPr>
        <w:t>)</w:t>
      </w:r>
      <w:r w:rsidRPr="00136454">
        <w:rPr>
          <w:rFonts w:cs="Calibri"/>
          <w:szCs w:val="22"/>
          <w:shd w:val="clear" w:color="auto" w:fill="FFFFFF"/>
        </w:rPr>
        <w:t xml:space="preserve"> </w:t>
      </w:r>
      <w:r w:rsidR="008F1FF4">
        <w:rPr>
          <w:rFonts w:cs="Calibri"/>
          <w:szCs w:val="22"/>
          <w:shd w:val="clear" w:color="auto" w:fill="FFFFFF"/>
        </w:rPr>
        <w:t>‘</w:t>
      </w:r>
      <w:hyperlink r:id="rId94" w:history="1">
        <w:r w:rsidRPr="001D6085">
          <w:rPr>
            <w:rStyle w:val="Hyperlink"/>
            <w:rFonts w:cs="Calibri"/>
            <w:szCs w:val="22"/>
            <w:shd w:val="clear" w:color="auto" w:fill="FFFFFF"/>
          </w:rPr>
          <w:t>The allocation of talent and US economic growth</w:t>
        </w:r>
      </w:hyperlink>
      <w:r w:rsidR="008F1FF4">
        <w:rPr>
          <w:rFonts w:cs="Calibri"/>
          <w:szCs w:val="22"/>
          <w:shd w:val="clear" w:color="auto" w:fill="FFFFFF"/>
        </w:rPr>
        <w:t>’</w:t>
      </w:r>
      <w:r>
        <w:rPr>
          <w:rFonts w:cs="Calibri"/>
          <w:szCs w:val="22"/>
          <w:shd w:val="clear" w:color="auto" w:fill="FFFFFF"/>
        </w:rPr>
        <w:t>,</w:t>
      </w:r>
      <w:r w:rsidRPr="00136454">
        <w:rPr>
          <w:rFonts w:cs="Calibri"/>
          <w:szCs w:val="22"/>
          <w:shd w:val="clear" w:color="auto" w:fill="FFFFFF"/>
        </w:rPr>
        <w:t> </w:t>
      </w:r>
      <w:proofErr w:type="spellStart"/>
      <w:r w:rsidRPr="00136454">
        <w:rPr>
          <w:rFonts w:cs="Calibri"/>
          <w:i/>
          <w:iCs/>
          <w:szCs w:val="22"/>
          <w:shd w:val="clear" w:color="auto" w:fill="FFFFFF"/>
        </w:rPr>
        <w:t>Econometrica</w:t>
      </w:r>
      <w:proofErr w:type="spellEnd"/>
      <w:r w:rsidRPr="0073234C">
        <w:rPr>
          <w:rFonts w:cs="Calibri"/>
          <w:szCs w:val="22"/>
          <w:shd w:val="clear" w:color="auto" w:fill="FFFFFF"/>
        </w:rPr>
        <w:t>, 87(5)</w:t>
      </w:r>
      <w:r w:rsidR="00F756C8">
        <w:rPr>
          <w:rFonts w:cs="Calibri"/>
          <w:szCs w:val="22"/>
          <w:shd w:val="clear" w:color="auto" w:fill="FFFFFF"/>
        </w:rPr>
        <w:t>:</w:t>
      </w:r>
      <w:r w:rsidRPr="00136454">
        <w:rPr>
          <w:rFonts w:cs="Calibri"/>
          <w:szCs w:val="22"/>
          <w:shd w:val="clear" w:color="auto" w:fill="FFFFFF"/>
        </w:rPr>
        <w:t>1439</w:t>
      </w:r>
      <w:r w:rsidR="00F756C8">
        <w:rPr>
          <w:rFonts w:asciiTheme="minorHAnsi" w:hAnsiTheme="minorHAnsi" w:cstheme="minorHAnsi"/>
          <w:color w:val="222222"/>
          <w:szCs w:val="22"/>
          <w:shd w:val="clear" w:color="auto" w:fill="FFFFFF"/>
        </w:rPr>
        <w:t>–</w:t>
      </w:r>
      <w:r w:rsidRPr="00136454">
        <w:rPr>
          <w:rFonts w:cs="Calibri"/>
          <w:szCs w:val="22"/>
          <w:shd w:val="clear" w:color="auto" w:fill="FFFFFF"/>
        </w:rPr>
        <w:t>1474.</w:t>
      </w:r>
    </w:p>
    <w:p w14:paraId="6D8517EB" w14:textId="1EB91295" w:rsidR="00790909" w:rsidRPr="00663D72" w:rsidRDefault="00790909" w:rsidP="001F1F0E">
      <w:pPr>
        <w:rPr>
          <w:rFonts w:asciiTheme="minorHAnsi" w:hAnsiTheme="minorHAnsi" w:cstheme="minorHAnsi"/>
          <w:color w:val="222222"/>
          <w:shd w:val="clear" w:color="auto" w:fill="FFFFFF"/>
        </w:rPr>
      </w:pPr>
      <w:proofErr w:type="spellStart"/>
      <w:r w:rsidRPr="00663D72">
        <w:rPr>
          <w:rFonts w:asciiTheme="minorHAnsi" w:hAnsiTheme="minorHAnsi" w:cstheme="minorHAnsi"/>
          <w:color w:val="222222"/>
          <w:shd w:val="clear" w:color="auto" w:fill="FFFFFF"/>
        </w:rPr>
        <w:t>Kleven</w:t>
      </w:r>
      <w:proofErr w:type="spellEnd"/>
      <w:r w:rsidR="00F756C8">
        <w:rPr>
          <w:rFonts w:asciiTheme="minorHAnsi" w:hAnsiTheme="minorHAnsi" w:cstheme="minorHAnsi"/>
          <w:color w:val="222222"/>
          <w:shd w:val="clear" w:color="auto" w:fill="FFFFFF"/>
        </w:rPr>
        <w:t xml:space="preserve"> </w:t>
      </w:r>
      <w:r w:rsidRPr="00663D72">
        <w:rPr>
          <w:rFonts w:asciiTheme="minorHAnsi" w:hAnsiTheme="minorHAnsi" w:cstheme="minorHAnsi"/>
          <w:color w:val="222222"/>
          <w:shd w:val="clear" w:color="auto" w:fill="FFFFFF"/>
        </w:rPr>
        <w:t xml:space="preserve">H, </w:t>
      </w:r>
      <w:proofErr w:type="spellStart"/>
      <w:r w:rsidRPr="00663D72">
        <w:rPr>
          <w:rFonts w:asciiTheme="minorHAnsi" w:hAnsiTheme="minorHAnsi" w:cstheme="minorHAnsi"/>
          <w:color w:val="222222"/>
          <w:shd w:val="clear" w:color="auto" w:fill="FFFFFF"/>
        </w:rPr>
        <w:t>Landais</w:t>
      </w:r>
      <w:proofErr w:type="spellEnd"/>
      <w:r w:rsidR="00F756C8">
        <w:rPr>
          <w:rFonts w:asciiTheme="minorHAnsi" w:hAnsiTheme="minorHAnsi" w:cstheme="minorHAnsi"/>
          <w:color w:val="222222"/>
          <w:shd w:val="clear" w:color="auto" w:fill="FFFFFF"/>
        </w:rPr>
        <w:t xml:space="preserve"> C</w:t>
      </w:r>
      <w:r>
        <w:rPr>
          <w:rFonts w:asciiTheme="minorHAnsi" w:hAnsiTheme="minorHAnsi" w:cstheme="minorHAnsi"/>
          <w:color w:val="222222"/>
          <w:shd w:val="clear" w:color="auto" w:fill="FFFFFF"/>
        </w:rPr>
        <w:t>,</w:t>
      </w:r>
      <w:r w:rsidRPr="00663D72">
        <w:rPr>
          <w:rFonts w:asciiTheme="minorHAnsi" w:hAnsiTheme="minorHAnsi" w:cstheme="minorHAnsi"/>
          <w:color w:val="222222"/>
          <w:shd w:val="clear" w:color="auto" w:fill="FFFFFF"/>
        </w:rPr>
        <w:t xml:space="preserve"> </w:t>
      </w:r>
      <w:proofErr w:type="spellStart"/>
      <w:r w:rsidRPr="009E7DDA">
        <w:rPr>
          <w:rFonts w:asciiTheme="minorHAnsi" w:hAnsiTheme="minorHAnsi" w:cstheme="minorHAnsi"/>
          <w:color w:val="222222"/>
          <w:shd w:val="clear" w:color="auto" w:fill="FFFFFF"/>
        </w:rPr>
        <w:t>Posch</w:t>
      </w:r>
      <w:proofErr w:type="spellEnd"/>
      <w:r w:rsidR="00F756C8">
        <w:rPr>
          <w:rFonts w:asciiTheme="minorHAnsi" w:hAnsiTheme="minorHAnsi" w:cstheme="minorHAnsi"/>
          <w:color w:val="222222"/>
          <w:shd w:val="clear" w:color="auto" w:fill="FFFFFF"/>
        </w:rPr>
        <w:t xml:space="preserve"> J</w:t>
      </w:r>
      <w:r>
        <w:rPr>
          <w:rFonts w:asciiTheme="minorHAnsi" w:hAnsiTheme="minorHAnsi" w:cstheme="minorHAnsi"/>
          <w:color w:val="222222"/>
          <w:shd w:val="clear" w:color="auto" w:fill="FFFFFF"/>
        </w:rPr>
        <w:t xml:space="preserve">, </w:t>
      </w:r>
      <w:proofErr w:type="spellStart"/>
      <w:r w:rsidRPr="009E7DDA">
        <w:rPr>
          <w:rFonts w:asciiTheme="minorHAnsi" w:hAnsiTheme="minorHAnsi" w:cstheme="minorHAnsi"/>
          <w:color w:val="222222"/>
          <w:shd w:val="clear" w:color="auto" w:fill="FFFFFF"/>
        </w:rPr>
        <w:t>Steinhauer</w:t>
      </w:r>
      <w:proofErr w:type="spellEnd"/>
      <w:r w:rsidR="00F756C8">
        <w:rPr>
          <w:rFonts w:asciiTheme="minorHAnsi" w:hAnsiTheme="minorHAnsi" w:cstheme="minorHAnsi"/>
          <w:color w:val="222222"/>
          <w:shd w:val="clear" w:color="auto" w:fill="FFFFFF"/>
        </w:rPr>
        <w:t xml:space="preserve"> A</w:t>
      </w:r>
      <w:r>
        <w:rPr>
          <w:rFonts w:asciiTheme="minorHAnsi" w:hAnsiTheme="minorHAnsi" w:cstheme="minorHAnsi"/>
          <w:color w:val="222222"/>
          <w:shd w:val="clear" w:color="auto" w:fill="FFFFFF"/>
        </w:rPr>
        <w:t xml:space="preserve"> and </w:t>
      </w:r>
      <w:proofErr w:type="spellStart"/>
      <w:r w:rsidRPr="009E7DDA">
        <w:rPr>
          <w:rFonts w:asciiTheme="minorHAnsi" w:hAnsiTheme="minorHAnsi" w:cstheme="minorHAnsi"/>
          <w:color w:val="222222"/>
          <w:shd w:val="clear" w:color="auto" w:fill="FFFFFF"/>
        </w:rPr>
        <w:t>Zweimüller</w:t>
      </w:r>
      <w:proofErr w:type="spellEnd"/>
      <w:r w:rsidR="00F756C8">
        <w:rPr>
          <w:rFonts w:asciiTheme="minorHAnsi" w:hAnsiTheme="minorHAnsi" w:cstheme="minorHAnsi"/>
          <w:color w:val="222222"/>
          <w:shd w:val="clear" w:color="auto" w:fill="FFFFFF"/>
        </w:rPr>
        <w:t xml:space="preserve"> J</w:t>
      </w:r>
      <w:r>
        <w:rPr>
          <w:rFonts w:asciiTheme="minorHAnsi" w:hAnsiTheme="minorHAnsi" w:cstheme="minorHAnsi"/>
          <w:color w:val="222222"/>
          <w:shd w:val="clear" w:color="auto" w:fill="FFFFFF"/>
        </w:rPr>
        <w:t xml:space="preserve"> (</w:t>
      </w:r>
      <w:r w:rsidRPr="00663D72">
        <w:rPr>
          <w:rFonts w:asciiTheme="minorHAnsi" w:hAnsiTheme="minorHAnsi" w:cstheme="minorHAnsi"/>
          <w:color w:val="222222"/>
          <w:shd w:val="clear" w:color="auto" w:fill="FFFFFF"/>
        </w:rPr>
        <w:t>2019</w:t>
      </w:r>
      <w:r>
        <w:rPr>
          <w:rFonts w:asciiTheme="minorHAnsi" w:hAnsiTheme="minorHAnsi" w:cstheme="minorHAnsi"/>
          <w:color w:val="222222"/>
          <w:shd w:val="clear" w:color="auto" w:fill="FFFFFF"/>
        </w:rPr>
        <w:t xml:space="preserve">a) </w:t>
      </w:r>
      <w:r w:rsidR="008F1FF4">
        <w:rPr>
          <w:rFonts w:asciiTheme="minorHAnsi" w:hAnsiTheme="minorHAnsi" w:cstheme="minorHAnsi"/>
          <w:color w:val="222222"/>
          <w:shd w:val="clear" w:color="auto" w:fill="FFFFFF"/>
        </w:rPr>
        <w:t>‘</w:t>
      </w:r>
      <w:hyperlink r:id="rId95" w:history="1">
        <w:r w:rsidRPr="005104CF">
          <w:rPr>
            <w:rStyle w:val="Hyperlink"/>
            <w:rFonts w:asciiTheme="minorHAnsi" w:hAnsiTheme="minorHAnsi" w:cstheme="minorHAnsi"/>
            <w:shd w:val="clear" w:color="auto" w:fill="FFFFFF"/>
          </w:rPr>
          <w:t>Child Penalties across Countries: Evidence and Explanations</w:t>
        </w:r>
      </w:hyperlink>
      <w:r w:rsidR="008F1FF4">
        <w:rPr>
          <w:rFonts w:asciiTheme="minorHAnsi" w:hAnsiTheme="minorHAnsi" w:cstheme="minorHAnsi"/>
          <w:color w:val="222222"/>
          <w:shd w:val="clear" w:color="auto" w:fill="FFFFFF"/>
        </w:rPr>
        <w:t>’</w:t>
      </w:r>
      <w:r>
        <w:rPr>
          <w:rFonts w:asciiTheme="minorHAnsi" w:hAnsiTheme="minorHAnsi" w:cstheme="minorHAnsi"/>
          <w:color w:val="222222"/>
          <w:shd w:val="clear" w:color="auto" w:fill="FFFFFF"/>
        </w:rPr>
        <w:t>,</w:t>
      </w:r>
      <w:r w:rsidRPr="00663D72">
        <w:rPr>
          <w:rFonts w:asciiTheme="minorHAnsi" w:hAnsiTheme="minorHAnsi" w:cstheme="minorHAnsi"/>
          <w:color w:val="222222"/>
          <w:shd w:val="clear" w:color="auto" w:fill="FFFFFF"/>
        </w:rPr>
        <w:t> </w:t>
      </w:r>
      <w:r w:rsidRPr="005A019D">
        <w:rPr>
          <w:rFonts w:asciiTheme="minorHAnsi" w:hAnsiTheme="minorHAnsi" w:cstheme="minorHAnsi"/>
          <w:i/>
          <w:iCs/>
          <w:color w:val="222222"/>
          <w:shd w:val="clear" w:color="auto" w:fill="FFFFFF"/>
        </w:rPr>
        <w:t>AEA Papers and Proceedings</w:t>
      </w:r>
      <w:r w:rsidRPr="00663D72">
        <w:rPr>
          <w:rFonts w:asciiTheme="minorHAnsi" w:hAnsiTheme="minorHAnsi" w:cstheme="minorHAnsi"/>
          <w:color w:val="222222"/>
          <w:shd w:val="clear" w:color="auto" w:fill="FFFFFF"/>
        </w:rPr>
        <w:t>, </w:t>
      </w:r>
      <w:r w:rsidRPr="00072C2D">
        <w:rPr>
          <w:rFonts w:asciiTheme="minorHAnsi" w:hAnsiTheme="minorHAnsi" w:cstheme="minorHAnsi"/>
          <w:color w:val="222222"/>
          <w:shd w:val="clear" w:color="auto" w:fill="FFFFFF"/>
        </w:rPr>
        <w:t>109</w:t>
      </w:r>
      <w:r w:rsidR="00F756C8">
        <w:rPr>
          <w:rFonts w:asciiTheme="minorHAnsi" w:hAnsiTheme="minorHAnsi" w:cstheme="minorHAnsi"/>
          <w:color w:val="222222"/>
          <w:shd w:val="clear" w:color="auto" w:fill="FFFFFF"/>
        </w:rPr>
        <w:t>:</w:t>
      </w:r>
      <w:r>
        <w:rPr>
          <w:rFonts w:asciiTheme="minorHAnsi" w:hAnsiTheme="minorHAnsi" w:cstheme="minorHAnsi"/>
          <w:color w:val="222222"/>
          <w:shd w:val="clear" w:color="auto" w:fill="FFFFFF"/>
        </w:rPr>
        <w:t>122</w:t>
      </w:r>
      <w:r w:rsidR="00F756C8">
        <w:rPr>
          <w:rFonts w:asciiTheme="minorHAnsi" w:hAnsiTheme="minorHAnsi" w:cstheme="minorHAnsi"/>
          <w:color w:val="222222"/>
          <w:szCs w:val="22"/>
          <w:shd w:val="clear" w:color="auto" w:fill="FFFFFF"/>
        </w:rPr>
        <w:t>–</w:t>
      </w:r>
      <w:r>
        <w:rPr>
          <w:rFonts w:asciiTheme="minorHAnsi" w:hAnsiTheme="minorHAnsi" w:cstheme="minorHAnsi"/>
          <w:color w:val="222222"/>
          <w:shd w:val="clear" w:color="auto" w:fill="FFFFFF"/>
        </w:rPr>
        <w:t>126</w:t>
      </w:r>
      <w:r w:rsidRPr="00663D72">
        <w:rPr>
          <w:rFonts w:asciiTheme="minorHAnsi" w:hAnsiTheme="minorHAnsi" w:cstheme="minorHAnsi"/>
          <w:color w:val="222222"/>
          <w:shd w:val="clear" w:color="auto" w:fill="FFFFFF"/>
        </w:rPr>
        <w:t>.</w:t>
      </w:r>
    </w:p>
    <w:p w14:paraId="25F39293" w14:textId="62BFE428" w:rsidR="00790909" w:rsidRDefault="00790909" w:rsidP="001F1F0E">
      <w:pPr>
        <w:rPr>
          <w:rFonts w:asciiTheme="minorHAnsi" w:hAnsiTheme="minorHAnsi" w:cstheme="minorHAnsi"/>
          <w:color w:val="222222"/>
          <w:shd w:val="clear" w:color="auto" w:fill="FFFFFF"/>
        </w:rPr>
      </w:pPr>
      <w:proofErr w:type="spellStart"/>
      <w:r w:rsidRPr="00C80365">
        <w:rPr>
          <w:rFonts w:asciiTheme="minorHAnsi" w:hAnsiTheme="minorHAnsi" w:cstheme="minorHAnsi"/>
          <w:color w:val="222222"/>
          <w:shd w:val="clear" w:color="auto" w:fill="FFFFFF"/>
        </w:rPr>
        <w:t>Kleven</w:t>
      </w:r>
      <w:proofErr w:type="spellEnd"/>
      <w:r w:rsidR="00F756C8">
        <w:rPr>
          <w:rFonts w:asciiTheme="minorHAnsi" w:hAnsiTheme="minorHAnsi" w:cstheme="minorHAnsi"/>
          <w:color w:val="222222"/>
          <w:shd w:val="clear" w:color="auto" w:fill="FFFFFF"/>
        </w:rPr>
        <w:t xml:space="preserve"> </w:t>
      </w:r>
      <w:r w:rsidRPr="00C80365">
        <w:rPr>
          <w:rFonts w:asciiTheme="minorHAnsi" w:hAnsiTheme="minorHAnsi" w:cstheme="minorHAnsi"/>
          <w:color w:val="222222"/>
          <w:shd w:val="clear" w:color="auto" w:fill="FFFFFF"/>
        </w:rPr>
        <w:t>H,</w:t>
      </w:r>
      <w:r>
        <w:rPr>
          <w:rFonts w:asciiTheme="minorHAnsi" w:hAnsiTheme="minorHAnsi" w:cstheme="minorHAnsi"/>
          <w:color w:val="222222"/>
          <w:shd w:val="clear" w:color="auto" w:fill="FFFFFF"/>
        </w:rPr>
        <w:t xml:space="preserve"> </w:t>
      </w:r>
      <w:proofErr w:type="spellStart"/>
      <w:r w:rsidRPr="00C80365">
        <w:rPr>
          <w:rFonts w:asciiTheme="minorHAnsi" w:hAnsiTheme="minorHAnsi" w:cstheme="minorHAnsi"/>
          <w:color w:val="222222"/>
          <w:shd w:val="clear" w:color="auto" w:fill="FFFFFF"/>
        </w:rPr>
        <w:t>Landais</w:t>
      </w:r>
      <w:proofErr w:type="spellEnd"/>
      <w:r>
        <w:rPr>
          <w:rFonts w:asciiTheme="minorHAnsi" w:hAnsiTheme="minorHAnsi" w:cstheme="minorHAnsi"/>
          <w:color w:val="222222"/>
          <w:shd w:val="clear" w:color="auto" w:fill="FFFFFF"/>
        </w:rPr>
        <w:t xml:space="preserve"> </w:t>
      </w:r>
      <w:r w:rsidR="00F756C8">
        <w:rPr>
          <w:rFonts w:asciiTheme="minorHAnsi" w:hAnsiTheme="minorHAnsi" w:cstheme="minorHAnsi"/>
          <w:color w:val="222222"/>
          <w:shd w:val="clear" w:color="auto" w:fill="FFFFFF"/>
        </w:rPr>
        <w:t xml:space="preserve">C </w:t>
      </w:r>
      <w:r w:rsidRPr="00C80365">
        <w:rPr>
          <w:rFonts w:asciiTheme="minorHAnsi" w:hAnsiTheme="minorHAnsi" w:cstheme="minorHAnsi"/>
          <w:color w:val="222222"/>
          <w:shd w:val="clear" w:color="auto" w:fill="FFFFFF"/>
        </w:rPr>
        <w:t>and</w:t>
      </w:r>
      <w:r>
        <w:rPr>
          <w:rFonts w:asciiTheme="minorHAnsi" w:hAnsiTheme="minorHAnsi" w:cstheme="minorHAnsi"/>
          <w:color w:val="222222"/>
          <w:shd w:val="clear" w:color="auto" w:fill="FFFFFF"/>
        </w:rPr>
        <w:t xml:space="preserve"> </w:t>
      </w:r>
      <w:proofErr w:type="spellStart"/>
      <w:r w:rsidRPr="00C80365">
        <w:rPr>
          <w:rFonts w:asciiTheme="minorHAnsi" w:hAnsiTheme="minorHAnsi" w:cstheme="minorHAnsi"/>
          <w:color w:val="222222"/>
          <w:shd w:val="clear" w:color="auto" w:fill="FFFFFF"/>
        </w:rPr>
        <w:t>Søgaard</w:t>
      </w:r>
      <w:proofErr w:type="spellEnd"/>
      <w:r w:rsidR="00F756C8">
        <w:rPr>
          <w:rFonts w:asciiTheme="minorHAnsi" w:hAnsiTheme="minorHAnsi" w:cstheme="minorHAnsi"/>
          <w:color w:val="222222"/>
          <w:shd w:val="clear" w:color="auto" w:fill="FFFFFF"/>
        </w:rPr>
        <w:t xml:space="preserve"> JE</w:t>
      </w:r>
      <w:r>
        <w:rPr>
          <w:rFonts w:asciiTheme="minorHAnsi" w:hAnsiTheme="minorHAnsi" w:cstheme="minorHAnsi"/>
          <w:color w:val="222222"/>
          <w:shd w:val="clear" w:color="auto" w:fill="FFFFFF"/>
        </w:rPr>
        <w:t xml:space="preserve"> (</w:t>
      </w:r>
      <w:r w:rsidRPr="00C80365">
        <w:rPr>
          <w:rFonts w:asciiTheme="minorHAnsi" w:hAnsiTheme="minorHAnsi" w:cstheme="minorHAnsi"/>
          <w:color w:val="222222"/>
          <w:shd w:val="clear" w:color="auto" w:fill="FFFFFF"/>
        </w:rPr>
        <w:t>2019</w:t>
      </w:r>
      <w:r>
        <w:rPr>
          <w:rFonts w:asciiTheme="minorHAnsi" w:hAnsiTheme="minorHAnsi" w:cstheme="minorHAnsi"/>
          <w:color w:val="222222"/>
          <w:shd w:val="clear" w:color="auto" w:fill="FFFFFF"/>
        </w:rPr>
        <w:t xml:space="preserve">b) </w:t>
      </w:r>
      <w:r w:rsidR="00A67FE4">
        <w:rPr>
          <w:rFonts w:asciiTheme="minorHAnsi" w:hAnsiTheme="minorHAnsi" w:cstheme="minorHAnsi"/>
          <w:color w:val="222222"/>
          <w:shd w:val="clear" w:color="auto" w:fill="FFFFFF"/>
        </w:rPr>
        <w:t>‘</w:t>
      </w:r>
      <w:hyperlink r:id="rId96" w:history="1">
        <w:r w:rsidRPr="00B20168">
          <w:rPr>
            <w:rStyle w:val="Hyperlink"/>
            <w:rFonts w:asciiTheme="minorHAnsi" w:hAnsiTheme="minorHAnsi" w:cstheme="minorHAnsi"/>
            <w:shd w:val="clear" w:color="auto" w:fill="FFFFFF"/>
          </w:rPr>
          <w:t>Children and gender inequality: Evidence from Denmark</w:t>
        </w:r>
      </w:hyperlink>
      <w:r w:rsidR="00A67FE4">
        <w:rPr>
          <w:rFonts w:asciiTheme="minorHAnsi" w:hAnsiTheme="minorHAnsi" w:cstheme="minorHAnsi"/>
          <w:color w:val="222222"/>
          <w:shd w:val="clear" w:color="auto" w:fill="FFFFFF"/>
        </w:rPr>
        <w:t>’</w:t>
      </w:r>
      <w:r>
        <w:rPr>
          <w:rFonts w:asciiTheme="minorHAnsi" w:hAnsiTheme="minorHAnsi" w:cstheme="minorHAnsi"/>
          <w:color w:val="222222"/>
          <w:shd w:val="clear" w:color="auto" w:fill="FFFFFF"/>
        </w:rPr>
        <w:t>,</w:t>
      </w:r>
      <w:r w:rsidRPr="00C80365">
        <w:rPr>
          <w:rFonts w:asciiTheme="minorHAnsi" w:hAnsiTheme="minorHAnsi" w:cstheme="minorHAnsi"/>
          <w:color w:val="222222"/>
          <w:shd w:val="clear" w:color="auto" w:fill="FFFFFF"/>
        </w:rPr>
        <w:t> </w:t>
      </w:r>
      <w:r w:rsidRPr="005A019D">
        <w:rPr>
          <w:rFonts w:asciiTheme="minorHAnsi" w:hAnsiTheme="minorHAnsi" w:cstheme="minorHAnsi"/>
          <w:i/>
          <w:iCs/>
          <w:color w:val="222222"/>
          <w:shd w:val="clear" w:color="auto" w:fill="FFFFFF"/>
        </w:rPr>
        <w:t>American Economic Journal: Applied Economics</w:t>
      </w:r>
      <w:r w:rsidRPr="00C80365">
        <w:rPr>
          <w:rFonts w:asciiTheme="minorHAnsi" w:hAnsiTheme="minorHAnsi" w:cstheme="minorHAnsi"/>
          <w:color w:val="222222"/>
          <w:shd w:val="clear" w:color="auto" w:fill="FFFFFF"/>
        </w:rPr>
        <w:t>, </w:t>
      </w:r>
      <w:r w:rsidRPr="00072C2D">
        <w:rPr>
          <w:rFonts w:asciiTheme="minorHAnsi" w:hAnsiTheme="minorHAnsi" w:cstheme="minorHAnsi"/>
          <w:color w:val="222222"/>
          <w:shd w:val="clear" w:color="auto" w:fill="FFFFFF"/>
        </w:rPr>
        <w:t>11</w:t>
      </w:r>
      <w:r w:rsidRPr="00C80365">
        <w:rPr>
          <w:rFonts w:asciiTheme="minorHAnsi" w:hAnsiTheme="minorHAnsi" w:cstheme="minorHAnsi"/>
          <w:color w:val="222222"/>
          <w:shd w:val="clear" w:color="auto" w:fill="FFFFFF"/>
        </w:rPr>
        <w:t>(4)</w:t>
      </w:r>
      <w:r w:rsidR="006F3818">
        <w:rPr>
          <w:rFonts w:asciiTheme="minorHAnsi" w:hAnsiTheme="minorHAnsi" w:cstheme="minorHAnsi"/>
          <w:color w:val="222222"/>
          <w:shd w:val="clear" w:color="auto" w:fill="FFFFFF"/>
        </w:rPr>
        <w:t>:</w:t>
      </w:r>
      <w:r w:rsidRPr="00C80365">
        <w:rPr>
          <w:rFonts w:asciiTheme="minorHAnsi" w:hAnsiTheme="minorHAnsi" w:cstheme="minorHAnsi"/>
          <w:color w:val="222222"/>
          <w:shd w:val="clear" w:color="auto" w:fill="FFFFFF"/>
        </w:rPr>
        <w:t>181</w:t>
      </w:r>
      <w:r w:rsidR="006F3818">
        <w:rPr>
          <w:rFonts w:asciiTheme="minorHAnsi" w:hAnsiTheme="minorHAnsi" w:cstheme="minorHAnsi"/>
          <w:color w:val="222222"/>
          <w:szCs w:val="22"/>
          <w:shd w:val="clear" w:color="auto" w:fill="FFFFFF"/>
        </w:rPr>
        <w:t>–</w:t>
      </w:r>
      <w:r w:rsidRPr="00C80365">
        <w:rPr>
          <w:rFonts w:asciiTheme="minorHAnsi" w:hAnsiTheme="minorHAnsi" w:cstheme="minorHAnsi"/>
          <w:color w:val="222222"/>
          <w:shd w:val="clear" w:color="auto" w:fill="FFFFFF"/>
        </w:rPr>
        <w:t>209.</w:t>
      </w:r>
    </w:p>
    <w:p w14:paraId="0C4AE327" w14:textId="66F3C949" w:rsidR="00790909" w:rsidRDefault="00790909" w:rsidP="001F1F0E">
      <w:pPr>
        <w:rPr>
          <w:rFonts w:asciiTheme="minorHAnsi" w:hAnsiTheme="minorHAnsi" w:cstheme="minorHAnsi"/>
          <w:color w:val="222222"/>
          <w:szCs w:val="22"/>
          <w:shd w:val="clear" w:color="auto" w:fill="FFFFFF"/>
        </w:rPr>
      </w:pPr>
      <w:proofErr w:type="spellStart"/>
      <w:r w:rsidRPr="003E16C4">
        <w:rPr>
          <w:rFonts w:asciiTheme="minorHAnsi" w:hAnsiTheme="minorHAnsi" w:cstheme="minorHAnsi"/>
          <w:color w:val="222222"/>
          <w:szCs w:val="22"/>
          <w:shd w:val="clear" w:color="auto" w:fill="FFFFFF"/>
        </w:rPr>
        <w:t>Kleven</w:t>
      </w:r>
      <w:proofErr w:type="spellEnd"/>
      <w:r w:rsidR="006F3818">
        <w:rPr>
          <w:rFonts w:asciiTheme="minorHAnsi" w:hAnsiTheme="minorHAnsi" w:cstheme="minorHAnsi"/>
          <w:color w:val="222222"/>
          <w:szCs w:val="22"/>
          <w:shd w:val="clear" w:color="auto" w:fill="FFFFFF"/>
        </w:rPr>
        <w:t xml:space="preserve"> </w:t>
      </w:r>
      <w:r w:rsidRPr="003E16C4">
        <w:rPr>
          <w:rFonts w:asciiTheme="minorHAnsi" w:hAnsiTheme="minorHAnsi" w:cstheme="minorHAnsi"/>
          <w:color w:val="222222"/>
          <w:szCs w:val="22"/>
          <w:shd w:val="clear" w:color="auto" w:fill="FFFFFF"/>
        </w:rPr>
        <w:t xml:space="preserve">H, </w:t>
      </w:r>
      <w:proofErr w:type="spellStart"/>
      <w:r w:rsidRPr="003E16C4">
        <w:rPr>
          <w:rFonts w:asciiTheme="minorHAnsi" w:hAnsiTheme="minorHAnsi" w:cstheme="minorHAnsi"/>
          <w:color w:val="222222"/>
          <w:szCs w:val="22"/>
          <w:shd w:val="clear" w:color="auto" w:fill="FFFFFF"/>
        </w:rPr>
        <w:t>Landais</w:t>
      </w:r>
      <w:proofErr w:type="spellEnd"/>
      <w:r w:rsidR="006F3818">
        <w:rPr>
          <w:rFonts w:asciiTheme="minorHAnsi" w:hAnsiTheme="minorHAnsi" w:cstheme="minorHAnsi"/>
          <w:color w:val="222222"/>
          <w:szCs w:val="22"/>
          <w:shd w:val="clear" w:color="auto" w:fill="FFFFFF"/>
        </w:rPr>
        <w:t xml:space="preserve"> C</w:t>
      </w:r>
      <w:r w:rsidRPr="003E16C4">
        <w:rPr>
          <w:rFonts w:asciiTheme="minorHAnsi" w:hAnsiTheme="minorHAnsi" w:cstheme="minorHAnsi"/>
          <w:color w:val="222222"/>
          <w:szCs w:val="22"/>
          <w:shd w:val="clear" w:color="auto" w:fill="FFFFFF"/>
        </w:rPr>
        <w:t xml:space="preserve">, </w:t>
      </w:r>
      <w:proofErr w:type="spellStart"/>
      <w:r w:rsidRPr="003E16C4">
        <w:rPr>
          <w:rFonts w:asciiTheme="minorHAnsi" w:hAnsiTheme="minorHAnsi" w:cstheme="minorHAnsi"/>
          <w:color w:val="222222"/>
          <w:szCs w:val="22"/>
          <w:shd w:val="clear" w:color="auto" w:fill="FFFFFF"/>
        </w:rPr>
        <w:t>Posch</w:t>
      </w:r>
      <w:proofErr w:type="spellEnd"/>
      <w:r w:rsidR="006F3818">
        <w:rPr>
          <w:rFonts w:asciiTheme="minorHAnsi" w:hAnsiTheme="minorHAnsi" w:cstheme="minorHAnsi"/>
          <w:color w:val="222222"/>
          <w:szCs w:val="22"/>
          <w:shd w:val="clear" w:color="auto" w:fill="FFFFFF"/>
        </w:rPr>
        <w:t xml:space="preserve"> J</w:t>
      </w:r>
      <w:r w:rsidRPr="003E16C4">
        <w:rPr>
          <w:rFonts w:asciiTheme="minorHAnsi" w:hAnsiTheme="minorHAnsi" w:cstheme="minorHAnsi"/>
          <w:color w:val="222222"/>
          <w:szCs w:val="22"/>
          <w:shd w:val="clear" w:color="auto" w:fill="FFFFFF"/>
        </w:rPr>
        <w:t>,</w:t>
      </w:r>
      <w:r>
        <w:rPr>
          <w:rFonts w:asciiTheme="minorHAnsi" w:hAnsiTheme="minorHAnsi" w:cstheme="minorHAnsi"/>
          <w:color w:val="222222"/>
          <w:shd w:val="clear" w:color="auto" w:fill="FFFFFF"/>
        </w:rPr>
        <w:t xml:space="preserve"> </w:t>
      </w:r>
      <w:proofErr w:type="spellStart"/>
      <w:r w:rsidRPr="009E7DDA">
        <w:rPr>
          <w:rFonts w:asciiTheme="minorHAnsi" w:hAnsiTheme="minorHAnsi" w:cstheme="minorHAnsi"/>
          <w:color w:val="222222"/>
          <w:shd w:val="clear" w:color="auto" w:fill="FFFFFF"/>
        </w:rPr>
        <w:t>Steinhauer</w:t>
      </w:r>
      <w:proofErr w:type="spellEnd"/>
      <w:r>
        <w:rPr>
          <w:rFonts w:asciiTheme="minorHAnsi" w:hAnsiTheme="minorHAnsi" w:cstheme="minorHAnsi"/>
          <w:color w:val="222222"/>
          <w:shd w:val="clear" w:color="auto" w:fill="FFFFFF"/>
        </w:rPr>
        <w:t xml:space="preserve"> </w:t>
      </w:r>
      <w:r w:rsidR="006F3818">
        <w:rPr>
          <w:rFonts w:asciiTheme="minorHAnsi" w:hAnsiTheme="minorHAnsi" w:cstheme="minorHAnsi"/>
          <w:color w:val="222222"/>
          <w:shd w:val="clear" w:color="auto" w:fill="FFFFFF"/>
        </w:rPr>
        <w:t xml:space="preserve">A </w:t>
      </w:r>
      <w:r>
        <w:rPr>
          <w:rFonts w:asciiTheme="minorHAnsi" w:hAnsiTheme="minorHAnsi" w:cstheme="minorHAnsi"/>
          <w:color w:val="222222"/>
          <w:shd w:val="clear" w:color="auto" w:fill="FFFFFF"/>
        </w:rPr>
        <w:t xml:space="preserve">and </w:t>
      </w:r>
      <w:proofErr w:type="spellStart"/>
      <w:r w:rsidRPr="003E16C4">
        <w:rPr>
          <w:rFonts w:asciiTheme="minorHAnsi" w:hAnsiTheme="minorHAnsi" w:cstheme="minorHAnsi"/>
          <w:color w:val="222222"/>
          <w:szCs w:val="22"/>
          <w:shd w:val="clear" w:color="auto" w:fill="FFFFFF"/>
        </w:rPr>
        <w:t>Zweimüller</w:t>
      </w:r>
      <w:proofErr w:type="spellEnd"/>
      <w:r w:rsidR="006F3818">
        <w:rPr>
          <w:rFonts w:asciiTheme="minorHAnsi" w:hAnsiTheme="minorHAnsi" w:cstheme="minorHAnsi"/>
          <w:color w:val="222222"/>
          <w:szCs w:val="22"/>
          <w:shd w:val="clear" w:color="auto" w:fill="FFFFFF"/>
        </w:rPr>
        <w:t xml:space="preserve"> J</w:t>
      </w:r>
      <w:r w:rsidRPr="003E16C4">
        <w:rPr>
          <w:rFonts w:asciiTheme="minorHAnsi" w:hAnsiTheme="minorHAnsi" w:cstheme="minorHAnsi"/>
          <w:color w:val="222222"/>
          <w:szCs w:val="22"/>
          <w:shd w:val="clear" w:color="auto" w:fill="FFFFFF"/>
        </w:rPr>
        <w:t xml:space="preserve"> </w:t>
      </w:r>
      <w:r>
        <w:rPr>
          <w:rFonts w:asciiTheme="minorHAnsi" w:hAnsiTheme="minorHAnsi" w:cstheme="minorHAnsi"/>
          <w:color w:val="222222"/>
          <w:szCs w:val="22"/>
          <w:shd w:val="clear" w:color="auto" w:fill="FFFFFF"/>
        </w:rPr>
        <w:t>(</w:t>
      </w:r>
      <w:r w:rsidRPr="003E16C4">
        <w:rPr>
          <w:rFonts w:asciiTheme="minorHAnsi" w:hAnsiTheme="minorHAnsi" w:cstheme="minorHAnsi"/>
          <w:color w:val="222222"/>
          <w:szCs w:val="22"/>
          <w:shd w:val="clear" w:color="auto" w:fill="FFFFFF"/>
        </w:rPr>
        <w:t>2020</w:t>
      </w:r>
      <w:r>
        <w:rPr>
          <w:rFonts w:asciiTheme="minorHAnsi" w:hAnsiTheme="minorHAnsi" w:cstheme="minorHAnsi"/>
          <w:color w:val="222222"/>
          <w:szCs w:val="22"/>
          <w:shd w:val="clear" w:color="auto" w:fill="FFFFFF"/>
        </w:rPr>
        <w:t>)</w:t>
      </w:r>
      <w:r w:rsidRPr="003E16C4">
        <w:rPr>
          <w:rFonts w:asciiTheme="minorHAnsi" w:hAnsiTheme="minorHAnsi" w:cstheme="minorHAnsi"/>
          <w:color w:val="222222"/>
          <w:szCs w:val="22"/>
          <w:shd w:val="clear" w:color="auto" w:fill="FFFFFF"/>
        </w:rPr>
        <w:t> </w:t>
      </w:r>
      <w:r w:rsidR="00A67FE4">
        <w:rPr>
          <w:rFonts w:asciiTheme="minorHAnsi" w:hAnsiTheme="minorHAnsi" w:cstheme="minorHAnsi"/>
          <w:color w:val="222222"/>
          <w:szCs w:val="22"/>
          <w:shd w:val="clear" w:color="auto" w:fill="FFFFFF"/>
        </w:rPr>
        <w:t>‘</w:t>
      </w:r>
      <w:hyperlink r:id="rId97" w:history="1">
        <w:r w:rsidRPr="00B20168">
          <w:rPr>
            <w:rStyle w:val="Hyperlink"/>
            <w:rFonts w:asciiTheme="minorHAnsi" w:hAnsiTheme="minorHAnsi" w:cstheme="minorHAnsi"/>
            <w:szCs w:val="22"/>
            <w:shd w:val="clear" w:color="auto" w:fill="FFFFFF"/>
          </w:rPr>
          <w:t>Do family policies reduce gender inequality? Evidence from 60 years of policy experimentation</w:t>
        </w:r>
      </w:hyperlink>
      <w:r w:rsidR="00A67FE4">
        <w:rPr>
          <w:rFonts w:asciiTheme="minorHAnsi" w:hAnsiTheme="minorHAnsi" w:cstheme="minorHAnsi"/>
          <w:color w:val="222222"/>
          <w:szCs w:val="22"/>
          <w:shd w:val="clear" w:color="auto" w:fill="FFFFFF"/>
        </w:rPr>
        <w:t>’</w:t>
      </w:r>
      <w:r>
        <w:rPr>
          <w:rFonts w:asciiTheme="minorHAnsi" w:hAnsiTheme="minorHAnsi" w:cstheme="minorHAnsi"/>
          <w:color w:val="222222"/>
          <w:szCs w:val="22"/>
          <w:shd w:val="clear" w:color="auto" w:fill="FFFFFF"/>
        </w:rPr>
        <w:t xml:space="preserve">, </w:t>
      </w:r>
      <w:r w:rsidR="0097358B" w:rsidRPr="006A790F">
        <w:rPr>
          <w:rFonts w:asciiTheme="minorHAnsi" w:hAnsiTheme="minorHAnsi" w:cstheme="minorHAnsi"/>
          <w:i/>
          <w:iCs/>
          <w:color w:val="222222"/>
          <w:szCs w:val="22"/>
          <w:shd w:val="clear" w:color="auto" w:fill="FFFFFF"/>
        </w:rPr>
        <w:t>National Bureau of Economic Research</w:t>
      </w:r>
      <w:r w:rsidRPr="00B50228">
        <w:rPr>
          <w:rFonts w:asciiTheme="minorHAnsi" w:hAnsiTheme="minorHAnsi" w:cstheme="minorHAnsi"/>
          <w:i/>
          <w:color w:val="222222"/>
          <w:szCs w:val="22"/>
          <w:shd w:val="clear" w:color="auto" w:fill="FFFFFF"/>
        </w:rPr>
        <w:t xml:space="preserve"> Working Paper No. 28082</w:t>
      </w:r>
      <w:r>
        <w:rPr>
          <w:rFonts w:asciiTheme="minorHAnsi" w:hAnsiTheme="minorHAnsi" w:cstheme="minorHAnsi"/>
          <w:color w:val="222222"/>
          <w:szCs w:val="22"/>
          <w:shd w:val="clear" w:color="auto" w:fill="FFFFFF"/>
        </w:rPr>
        <w:t xml:space="preserve">. </w:t>
      </w:r>
    </w:p>
    <w:p w14:paraId="2FF9092A" w14:textId="757FC131" w:rsidR="00790909" w:rsidRPr="00EA1AAC" w:rsidRDefault="00790909" w:rsidP="001F1F0E">
      <w:pPr>
        <w:rPr>
          <w:rFonts w:asciiTheme="minorHAnsi" w:hAnsiTheme="minorHAnsi" w:cstheme="minorHAnsi"/>
          <w:color w:val="222222"/>
          <w:szCs w:val="22"/>
          <w:shd w:val="clear" w:color="auto" w:fill="FFFFFF"/>
        </w:rPr>
      </w:pPr>
      <w:proofErr w:type="spellStart"/>
      <w:r>
        <w:rPr>
          <w:rFonts w:asciiTheme="minorHAnsi" w:hAnsiTheme="minorHAnsi" w:cstheme="minorHAnsi"/>
          <w:color w:val="222222"/>
          <w:szCs w:val="22"/>
          <w:shd w:val="clear" w:color="auto" w:fill="FFFFFF"/>
        </w:rPr>
        <w:t>Kleven</w:t>
      </w:r>
      <w:proofErr w:type="spellEnd"/>
      <w:r w:rsidR="006F3818">
        <w:rPr>
          <w:rFonts w:asciiTheme="minorHAnsi" w:hAnsiTheme="minorHAnsi" w:cstheme="minorHAnsi"/>
          <w:color w:val="222222"/>
          <w:szCs w:val="22"/>
          <w:shd w:val="clear" w:color="auto" w:fill="FFFFFF"/>
        </w:rPr>
        <w:t xml:space="preserve"> </w:t>
      </w:r>
      <w:r>
        <w:rPr>
          <w:rFonts w:asciiTheme="minorHAnsi" w:hAnsiTheme="minorHAnsi" w:cstheme="minorHAnsi"/>
          <w:color w:val="222222"/>
          <w:szCs w:val="22"/>
          <w:shd w:val="clear" w:color="auto" w:fill="FFFFFF"/>
        </w:rPr>
        <w:t>H (2022</w:t>
      </w:r>
      <w:r w:rsidRPr="00B50228">
        <w:rPr>
          <w:rFonts w:asciiTheme="minorHAnsi" w:hAnsiTheme="minorHAnsi" w:cstheme="minorHAnsi"/>
          <w:color w:val="222222"/>
          <w:szCs w:val="22"/>
          <w:shd w:val="clear" w:color="auto" w:fill="FFFFFF"/>
        </w:rPr>
        <w:t>)</w:t>
      </w:r>
      <w:r w:rsidR="006F3818">
        <w:rPr>
          <w:rFonts w:asciiTheme="minorHAnsi" w:hAnsiTheme="minorHAnsi" w:cstheme="minorHAnsi"/>
          <w:color w:val="222222"/>
          <w:szCs w:val="22"/>
          <w:shd w:val="clear" w:color="auto" w:fill="FFFFFF"/>
        </w:rPr>
        <w:t xml:space="preserve"> </w:t>
      </w:r>
      <w:r w:rsidR="00A67FE4">
        <w:rPr>
          <w:rFonts w:asciiTheme="minorHAnsi" w:hAnsiTheme="minorHAnsi" w:cstheme="minorHAnsi"/>
          <w:color w:val="222222"/>
          <w:szCs w:val="22"/>
          <w:shd w:val="clear" w:color="auto" w:fill="FFFFFF"/>
        </w:rPr>
        <w:t>‘</w:t>
      </w:r>
      <w:hyperlink r:id="rId98" w:history="1">
        <w:r w:rsidRPr="00B20168">
          <w:rPr>
            <w:rStyle w:val="Hyperlink"/>
            <w:rFonts w:asciiTheme="minorHAnsi" w:hAnsiTheme="minorHAnsi" w:cstheme="minorHAnsi"/>
            <w:szCs w:val="22"/>
            <w:shd w:val="clear" w:color="auto" w:fill="FFFFFF"/>
          </w:rPr>
          <w:t>The Geography of Child Penalties and Gender Norms: Evidence from the United States</w:t>
        </w:r>
      </w:hyperlink>
      <w:r w:rsidR="00A67FE4">
        <w:rPr>
          <w:rFonts w:asciiTheme="minorHAnsi" w:hAnsiTheme="minorHAnsi" w:cstheme="minorHAnsi"/>
          <w:color w:val="222222"/>
          <w:szCs w:val="22"/>
          <w:shd w:val="clear" w:color="auto" w:fill="FFFFFF"/>
        </w:rPr>
        <w:t>’</w:t>
      </w:r>
      <w:r w:rsidRPr="00B50228">
        <w:rPr>
          <w:rFonts w:asciiTheme="minorHAnsi" w:hAnsiTheme="minorHAnsi" w:cstheme="minorHAnsi"/>
          <w:color w:val="222222"/>
          <w:szCs w:val="22"/>
          <w:shd w:val="clear" w:color="auto" w:fill="FFFFFF"/>
        </w:rPr>
        <w:t>,</w:t>
      </w:r>
      <w:r>
        <w:rPr>
          <w:rFonts w:asciiTheme="minorHAnsi" w:hAnsiTheme="minorHAnsi" w:cstheme="minorHAnsi"/>
          <w:color w:val="222222"/>
          <w:szCs w:val="22"/>
          <w:shd w:val="clear" w:color="auto" w:fill="FFFFFF"/>
        </w:rPr>
        <w:t xml:space="preserve"> </w:t>
      </w:r>
      <w:r w:rsidR="0097358B" w:rsidRPr="006A790F">
        <w:rPr>
          <w:rFonts w:asciiTheme="minorHAnsi" w:hAnsiTheme="minorHAnsi" w:cstheme="minorHAnsi"/>
          <w:i/>
          <w:iCs/>
          <w:color w:val="222222"/>
          <w:szCs w:val="22"/>
          <w:shd w:val="clear" w:color="auto" w:fill="FFFFFF"/>
        </w:rPr>
        <w:t>National Bureau of Economic Research</w:t>
      </w:r>
      <w:r w:rsidR="0097358B" w:rsidRPr="006A790F">
        <w:rPr>
          <w:i/>
          <w:iCs/>
        </w:rPr>
        <w:t xml:space="preserve"> </w:t>
      </w:r>
      <w:r w:rsidRPr="00B50228">
        <w:rPr>
          <w:rFonts w:asciiTheme="minorHAnsi" w:hAnsiTheme="minorHAnsi" w:cstheme="minorHAnsi"/>
          <w:i/>
          <w:color w:val="222222"/>
          <w:szCs w:val="22"/>
          <w:shd w:val="clear" w:color="auto" w:fill="FFFFFF"/>
        </w:rPr>
        <w:t>Working Paper No. 30176</w:t>
      </w:r>
      <w:r w:rsidR="0097358B">
        <w:rPr>
          <w:rFonts w:asciiTheme="minorHAnsi" w:hAnsiTheme="minorHAnsi" w:cstheme="minorHAnsi"/>
          <w:color w:val="222222"/>
          <w:szCs w:val="22"/>
          <w:shd w:val="clear" w:color="auto" w:fill="FFFFFF"/>
        </w:rPr>
        <w:t>.</w:t>
      </w:r>
    </w:p>
    <w:p w14:paraId="7FE15A5C" w14:textId="577A210A" w:rsidR="00790909" w:rsidRPr="00716051" w:rsidRDefault="00790909" w:rsidP="001F1F0E">
      <w:pPr>
        <w:rPr>
          <w:rFonts w:asciiTheme="minorHAnsi" w:hAnsiTheme="minorHAnsi" w:cstheme="minorHAnsi"/>
          <w:color w:val="222222"/>
          <w:szCs w:val="22"/>
          <w:shd w:val="clear" w:color="auto" w:fill="FFFFFF"/>
        </w:rPr>
      </w:pPr>
      <w:proofErr w:type="spellStart"/>
      <w:r w:rsidRPr="003E16C4">
        <w:rPr>
          <w:rFonts w:asciiTheme="minorHAnsi" w:hAnsiTheme="minorHAnsi" w:cstheme="minorHAnsi"/>
          <w:color w:val="222222"/>
          <w:szCs w:val="22"/>
          <w:shd w:val="clear" w:color="auto" w:fill="FFFFFF"/>
        </w:rPr>
        <w:t>Kuziemko</w:t>
      </w:r>
      <w:proofErr w:type="spellEnd"/>
      <w:r w:rsidR="006F3818">
        <w:rPr>
          <w:rFonts w:asciiTheme="minorHAnsi" w:hAnsiTheme="minorHAnsi" w:cstheme="minorHAnsi"/>
          <w:color w:val="222222"/>
          <w:szCs w:val="22"/>
          <w:shd w:val="clear" w:color="auto" w:fill="FFFFFF"/>
        </w:rPr>
        <w:t xml:space="preserve"> </w:t>
      </w:r>
      <w:r w:rsidRPr="003E16C4">
        <w:rPr>
          <w:rFonts w:asciiTheme="minorHAnsi" w:hAnsiTheme="minorHAnsi" w:cstheme="minorHAnsi"/>
          <w:color w:val="222222"/>
          <w:szCs w:val="22"/>
          <w:shd w:val="clear" w:color="auto" w:fill="FFFFFF"/>
        </w:rPr>
        <w:t>I, Pan</w:t>
      </w:r>
      <w:r w:rsidR="006F3818">
        <w:rPr>
          <w:rFonts w:asciiTheme="minorHAnsi" w:hAnsiTheme="minorHAnsi" w:cstheme="minorHAnsi"/>
          <w:color w:val="222222"/>
          <w:szCs w:val="22"/>
          <w:shd w:val="clear" w:color="auto" w:fill="FFFFFF"/>
        </w:rPr>
        <w:t xml:space="preserve"> J</w:t>
      </w:r>
      <w:r w:rsidRPr="003E16C4">
        <w:rPr>
          <w:rFonts w:asciiTheme="minorHAnsi" w:hAnsiTheme="minorHAnsi" w:cstheme="minorHAnsi"/>
          <w:color w:val="222222"/>
          <w:szCs w:val="22"/>
          <w:shd w:val="clear" w:color="auto" w:fill="FFFFFF"/>
        </w:rPr>
        <w:t>, Shen</w:t>
      </w:r>
      <w:r w:rsidR="006F3818">
        <w:rPr>
          <w:rFonts w:asciiTheme="minorHAnsi" w:hAnsiTheme="minorHAnsi" w:cstheme="minorHAnsi"/>
          <w:color w:val="222222"/>
          <w:szCs w:val="22"/>
          <w:shd w:val="clear" w:color="auto" w:fill="FFFFFF"/>
        </w:rPr>
        <w:t xml:space="preserve"> J</w:t>
      </w:r>
      <w:r>
        <w:rPr>
          <w:rFonts w:asciiTheme="minorHAnsi" w:hAnsiTheme="minorHAnsi" w:cstheme="minorHAnsi"/>
          <w:color w:val="222222"/>
          <w:szCs w:val="22"/>
          <w:shd w:val="clear" w:color="auto" w:fill="FFFFFF"/>
        </w:rPr>
        <w:t xml:space="preserve"> </w:t>
      </w:r>
      <w:r w:rsidRPr="003E16C4">
        <w:rPr>
          <w:rFonts w:asciiTheme="minorHAnsi" w:hAnsiTheme="minorHAnsi" w:cstheme="minorHAnsi"/>
          <w:color w:val="222222"/>
          <w:szCs w:val="22"/>
          <w:shd w:val="clear" w:color="auto" w:fill="FFFFFF"/>
        </w:rPr>
        <w:t>and Washington</w:t>
      </w:r>
      <w:r w:rsidR="006F3818">
        <w:rPr>
          <w:rFonts w:asciiTheme="minorHAnsi" w:hAnsiTheme="minorHAnsi" w:cstheme="minorHAnsi"/>
          <w:color w:val="222222"/>
          <w:szCs w:val="22"/>
          <w:shd w:val="clear" w:color="auto" w:fill="FFFFFF"/>
        </w:rPr>
        <w:t xml:space="preserve"> E</w:t>
      </w:r>
      <w:r>
        <w:rPr>
          <w:rFonts w:asciiTheme="minorHAnsi" w:hAnsiTheme="minorHAnsi" w:cstheme="minorHAnsi"/>
          <w:color w:val="222222"/>
          <w:szCs w:val="22"/>
          <w:shd w:val="clear" w:color="auto" w:fill="FFFFFF"/>
        </w:rPr>
        <w:t xml:space="preserve"> (</w:t>
      </w:r>
      <w:r w:rsidRPr="003E16C4">
        <w:rPr>
          <w:rFonts w:asciiTheme="minorHAnsi" w:hAnsiTheme="minorHAnsi" w:cstheme="minorHAnsi"/>
          <w:color w:val="222222"/>
          <w:szCs w:val="22"/>
          <w:shd w:val="clear" w:color="auto" w:fill="FFFFFF"/>
        </w:rPr>
        <w:t>2018</w:t>
      </w:r>
      <w:r>
        <w:rPr>
          <w:rFonts w:asciiTheme="minorHAnsi" w:hAnsiTheme="minorHAnsi" w:cstheme="minorHAnsi"/>
          <w:color w:val="222222"/>
          <w:szCs w:val="22"/>
          <w:shd w:val="clear" w:color="auto" w:fill="FFFFFF"/>
        </w:rPr>
        <w:t>)</w:t>
      </w:r>
      <w:r w:rsidRPr="003E16C4">
        <w:rPr>
          <w:rFonts w:asciiTheme="minorHAnsi" w:hAnsiTheme="minorHAnsi" w:cstheme="minorHAnsi"/>
          <w:color w:val="222222"/>
          <w:szCs w:val="22"/>
          <w:shd w:val="clear" w:color="auto" w:fill="FFFFFF"/>
        </w:rPr>
        <w:t> </w:t>
      </w:r>
      <w:r w:rsidR="00A67FE4">
        <w:rPr>
          <w:rFonts w:asciiTheme="minorHAnsi" w:hAnsiTheme="minorHAnsi" w:cstheme="minorHAnsi"/>
          <w:color w:val="222222"/>
          <w:szCs w:val="22"/>
          <w:shd w:val="clear" w:color="auto" w:fill="FFFFFF"/>
        </w:rPr>
        <w:t>‘</w:t>
      </w:r>
      <w:hyperlink r:id="rId99" w:history="1">
        <w:r w:rsidRPr="00B20168">
          <w:rPr>
            <w:rStyle w:val="Hyperlink"/>
            <w:rFonts w:asciiTheme="minorHAnsi" w:hAnsiTheme="minorHAnsi" w:cstheme="minorHAnsi"/>
            <w:szCs w:val="22"/>
            <w:shd w:val="clear" w:color="auto" w:fill="FFFFFF"/>
          </w:rPr>
          <w:t>The mommy effect: Do women anticipate the employment effects of motherhood?</w:t>
        </w:r>
      </w:hyperlink>
      <w:r w:rsidR="00A67FE4">
        <w:rPr>
          <w:rFonts w:asciiTheme="minorHAnsi" w:hAnsiTheme="minorHAnsi" w:cstheme="minorHAnsi"/>
          <w:color w:val="222222"/>
          <w:szCs w:val="22"/>
          <w:shd w:val="clear" w:color="auto" w:fill="FFFFFF"/>
        </w:rPr>
        <w:t>’</w:t>
      </w:r>
      <w:r>
        <w:rPr>
          <w:rFonts w:asciiTheme="minorHAnsi" w:hAnsiTheme="minorHAnsi" w:cstheme="minorHAnsi"/>
          <w:color w:val="222222"/>
          <w:szCs w:val="22"/>
          <w:shd w:val="clear" w:color="auto" w:fill="FFFFFF"/>
        </w:rPr>
        <w:t>,</w:t>
      </w:r>
      <w:r w:rsidRPr="00B50228">
        <w:rPr>
          <w:rFonts w:asciiTheme="minorHAnsi" w:hAnsiTheme="minorHAnsi" w:cstheme="minorHAnsi"/>
          <w:color w:val="222222"/>
          <w:szCs w:val="22"/>
          <w:shd w:val="clear" w:color="auto" w:fill="FFFFFF"/>
        </w:rPr>
        <w:t> </w:t>
      </w:r>
      <w:r w:rsidR="0097358B" w:rsidRPr="006A790F">
        <w:rPr>
          <w:rFonts w:asciiTheme="minorHAnsi" w:hAnsiTheme="minorHAnsi" w:cstheme="minorHAnsi"/>
          <w:i/>
          <w:iCs/>
          <w:color w:val="222222"/>
          <w:szCs w:val="22"/>
          <w:shd w:val="clear" w:color="auto" w:fill="FFFFFF"/>
        </w:rPr>
        <w:t>National Bureau of Economic Research</w:t>
      </w:r>
      <w:r w:rsidR="0097358B" w:rsidRPr="006A790F">
        <w:rPr>
          <w:i/>
          <w:iCs/>
        </w:rPr>
        <w:t xml:space="preserve"> </w:t>
      </w:r>
      <w:r w:rsidRPr="00B50228">
        <w:rPr>
          <w:rFonts w:asciiTheme="minorHAnsi" w:hAnsiTheme="minorHAnsi" w:cstheme="minorHAnsi"/>
          <w:i/>
          <w:color w:val="222222"/>
          <w:szCs w:val="22"/>
          <w:shd w:val="clear" w:color="auto" w:fill="FFFFFF"/>
        </w:rPr>
        <w:t>Working Paper No. 2</w:t>
      </w:r>
      <w:r>
        <w:rPr>
          <w:rFonts w:asciiTheme="minorHAnsi" w:hAnsiTheme="minorHAnsi" w:cstheme="minorHAnsi"/>
          <w:i/>
          <w:color w:val="222222"/>
          <w:szCs w:val="22"/>
          <w:shd w:val="clear" w:color="auto" w:fill="FFFFFF"/>
        </w:rPr>
        <w:t>4740</w:t>
      </w:r>
      <w:r>
        <w:rPr>
          <w:rFonts w:asciiTheme="minorHAnsi" w:hAnsiTheme="minorHAnsi" w:cstheme="minorHAnsi"/>
          <w:color w:val="222222"/>
          <w:szCs w:val="22"/>
          <w:shd w:val="clear" w:color="auto" w:fill="FFFFFF"/>
        </w:rPr>
        <w:t>.</w:t>
      </w:r>
    </w:p>
    <w:p w14:paraId="03546DEB" w14:textId="73B45F60" w:rsidR="00790909" w:rsidRPr="00B033FE" w:rsidRDefault="00790909" w:rsidP="001F1F0E">
      <w:pPr>
        <w:rPr>
          <w:rFonts w:asciiTheme="minorHAnsi" w:hAnsiTheme="minorHAnsi" w:cstheme="minorHAnsi"/>
          <w:color w:val="222222"/>
          <w:szCs w:val="22"/>
          <w:shd w:val="clear" w:color="auto" w:fill="FFFFFF"/>
        </w:rPr>
      </w:pPr>
      <w:proofErr w:type="spellStart"/>
      <w:r w:rsidRPr="00A10205">
        <w:rPr>
          <w:rFonts w:asciiTheme="minorHAnsi" w:hAnsiTheme="minorHAnsi" w:cstheme="minorHAnsi"/>
          <w:color w:val="222222"/>
          <w:shd w:val="clear" w:color="auto" w:fill="FFFFFF"/>
        </w:rPr>
        <w:t>Ostry</w:t>
      </w:r>
      <w:proofErr w:type="spellEnd"/>
      <w:r>
        <w:rPr>
          <w:rFonts w:asciiTheme="minorHAnsi" w:hAnsiTheme="minorHAnsi" w:cstheme="minorHAnsi"/>
          <w:color w:val="222222"/>
          <w:shd w:val="clear" w:color="auto" w:fill="FFFFFF"/>
        </w:rPr>
        <w:t xml:space="preserve"> JD,</w:t>
      </w:r>
      <w:r w:rsidRPr="00A10205">
        <w:rPr>
          <w:rFonts w:asciiTheme="minorHAnsi" w:hAnsiTheme="minorHAnsi" w:cstheme="minorHAnsi"/>
          <w:color w:val="222222"/>
          <w:shd w:val="clear" w:color="auto" w:fill="FFFFFF"/>
        </w:rPr>
        <w:t xml:space="preserve"> Alvarez</w:t>
      </w:r>
      <w:r w:rsidR="006F3818">
        <w:rPr>
          <w:rFonts w:asciiTheme="minorHAnsi" w:hAnsiTheme="minorHAnsi" w:cstheme="minorHAnsi"/>
          <w:color w:val="222222"/>
          <w:shd w:val="clear" w:color="auto" w:fill="FFFFFF"/>
        </w:rPr>
        <w:t xml:space="preserve"> J</w:t>
      </w:r>
      <w:r>
        <w:rPr>
          <w:rFonts w:asciiTheme="minorHAnsi" w:hAnsiTheme="minorHAnsi" w:cstheme="minorHAnsi"/>
          <w:color w:val="222222"/>
          <w:shd w:val="clear" w:color="auto" w:fill="FFFFFF"/>
        </w:rPr>
        <w:t>,</w:t>
      </w:r>
      <w:r w:rsidRPr="00A10205">
        <w:rPr>
          <w:rFonts w:asciiTheme="minorHAnsi" w:hAnsiTheme="minorHAnsi" w:cstheme="minorHAnsi"/>
          <w:color w:val="222222"/>
          <w:shd w:val="clear" w:color="auto" w:fill="FFFFFF"/>
        </w:rPr>
        <w:t xml:space="preserve"> Espinoza</w:t>
      </w:r>
      <w:r w:rsidR="006F3818">
        <w:rPr>
          <w:rFonts w:asciiTheme="minorHAnsi" w:hAnsiTheme="minorHAnsi" w:cstheme="minorHAnsi"/>
          <w:color w:val="222222"/>
          <w:shd w:val="clear" w:color="auto" w:fill="FFFFFF"/>
        </w:rPr>
        <w:t xml:space="preserve"> R</w:t>
      </w:r>
      <w:r>
        <w:rPr>
          <w:rFonts w:asciiTheme="minorHAnsi" w:hAnsiTheme="minorHAnsi" w:cstheme="minorHAnsi"/>
          <w:color w:val="222222"/>
          <w:shd w:val="clear" w:color="auto" w:fill="FFFFFF"/>
        </w:rPr>
        <w:t xml:space="preserve"> and </w:t>
      </w:r>
      <w:proofErr w:type="spellStart"/>
      <w:r w:rsidRPr="00A10205">
        <w:rPr>
          <w:rFonts w:asciiTheme="minorHAnsi" w:hAnsiTheme="minorHAnsi" w:cstheme="minorHAnsi"/>
          <w:color w:val="222222"/>
          <w:shd w:val="clear" w:color="auto" w:fill="FFFFFF"/>
        </w:rPr>
        <w:t>Papageorgiou</w:t>
      </w:r>
      <w:proofErr w:type="spellEnd"/>
      <w:r w:rsidR="006F3818">
        <w:rPr>
          <w:rFonts w:asciiTheme="minorHAnsi" w:hAnsiTheme="minorHAnsi" w:cstheme="minorHAnsi"/>
          <w:color w:val="222222"/>
          <w:shd w:val="clear" w:color="auto" w:fill="FFFFFF"/>
        </w:rPr>
        <w:t xml:space="preserve"> C</w:t>
      </w:r>
      <w:r>
        <w:rPr>
          <w:rFonts w:asciiTheme="minorHAnsi" w:hAnsiTheme="minorHAnsi" w:cstheme="minorHAnsi"/>
          <w:color w:val="222222"/>
          <w:shd w:val="clear" w:color="auto" w:fill="FFFFFF"/>
        </w:rPr>
        <w:t xml:space="preserve"> (2018) </w:t>
      </w:r>
      <w:r w:rsidR="00A67FE4">
        <w:rPr>
          <w:rFonts w:asciiTheme="minorHAnsi" w:hAnsiTheme="minorHAnsi" w:cstheme="minorHAnsi"/>
          <w:color w:val="222222"/>
          <w:shd w:val="clear" w:color="auto" w:fill="FFFFFF"/>
        </w:rPr>
        <w:t>‘</w:t>
      </w:r>
      <w:hyperlink r:id="rId100" w:history="1">
        <w:r w:rsidRPr="00B20168">
          <w:rPr>
            <w:rStyle w:val="Hyperlink"/>
            <w:rFonts w:asciiTheme="minorHAnsi" w:hAnsiTheme="minorHAnsi" w:cstheme="minorHAnsi"/>
            <w:shd w:val="clear" w:color="auto" w:fill="FFFFFF"/>
          </w:rPr>
          <w:t>Economic Gains from Gender Inclusion: New Mechanisms, New Evidence</w:t>
        </w:r>
      </w:hyperlink>
      <w:r w:rsidR="00A67FE4">
        <w:rPr>
          <w:rFonts w:asciiTheme="minorHAnsi" w:hAnsiTheme="minorHAnsi" w:cstheme="minorHAnsi"/>
          <w:color w:val="222222"/>
          <w:shd w:val="clear" w:color="auto" w:fill="FFFFFF"/>
        </w:rPr>
        <w:t>’</w:t>
      </w:r>
      <w:r>
        <w:rPr>
          <w:rFonts w:asciiTheme="minorHAnsi" w:hAnsiTheme="minorHAnsi" w:cstheme="minorHAnsi"/>
          <w:color w:val="222222"/>
          <w:shd w:val="clear" w:color="auto" w:fill="FFFFFF"/>
        </w:rPr>
        <w:t xml:space="preserve">, </w:t>
      </w:r>
      <w:r w:rsidR="00C22B02" w:rsidRPr="00C22B02">
        <w:rPr>
          <w:rFonts w:asciiTheme="minorHAnsi" w:hAnsiTheme="minorHAnsi" w:cstheme="minorHAnsi"/>
          <w:i/>
          <w:iCs/>
          <w:color w:val="222222"/>
          <w:shd w:val="clear" w:color="auto" w:fill="FFFFFF"/>
        </w:rPr>
        <w:t xml:space="preserve">International Monetary Fund </w:t>
      </w:r>
      <w:r w:rsidRPr="00C22B02">
        <w:rPr>
          <w:rFonts w:asciiTheme="minorHAnsi" w:hAnsiTheme="minorHAnsi" w:cstheme="minorHAnsi"/>
          <w:i/>
          <w:iCs/>
          <w:color w:val="222222"/>
          <w:shd w:val="clear" w:color="auto" w:fill="FFFFFF"/>
        </w:rPr>
        <w:t>Staff Discussion Note No. 2018/006</w:t>
      </w:r>
      <w:r w:rsidRPr="00333014">
        <w:rPr>
          <w:rFonts w:asciiTheme="minorHAnsi" w:hAnsiTheme="minorHAnsi" w:cstheme="minorHAnsi"/>
          <w:color w:val="222222"/>
          <w:szCs w:val="22"/>
          <w:shd w:val="clear" w:color="auto" w:fill="FFFFFF"/>
        </w:rPr>
        <w:t xml:space="preserve">. </w:t>
      </w:r>
      <w:r w:rsidRPr="007D2E1C">
        <w:rPr>
          <w:rFonts w:asciiTheme="minorHAnsi" w:hAnsiTheme="minorHAnsi" w:cstheme="minorHAnsi"/>
          <w:color w:val="222222"/>
          <w:szCs w:val="22"/>
          <w:shd w:val="clear" w:color="auto" w:fill="FFFFFF"/>
        </w:rPr>
        <w:t xml:space="preserve"> </w:t>
      </w:r>
    </w:p>
    <w:p w14:paraId="59097276" w14:textId="7A17FC82" w:rsidR="00790909" w:rsidRPr="00333014" w:rsidRDefault="00790909" w:rsidP="001F1F0E">
      <w:pPr>
        <w:rPr>
          <w:rFonts w:asciiTheme="minorHAnsi" w:hAnsiTheme="minorHAnsi" w:cstheme="minorHAnsi"/>
          <w:color w:val="222222"/>
          <w:szCs w:val="22"/>
          <w:shd w:val="clear" w:color="auto" w:fill="FFFFFF"/>
        </w:rPr>
      </w:pPr>
      <w:r w:rsidRPr="003E16C4">
        <w:rPr>
          <w:rFonts w:asciiTheme="minorHAnsi" w:hAnsiTheme="minorHAnsi" w:cstheme="minorHAnsi"/>
          <w:color w:val="222222"/>
          <w:szCs w:val="22"/>
          <w:shd w:val="clear" w:color="auto" w:fill="FFFFFF"/>
        </w:rPr>
        <w:t>Pan</w:t>
      </w:r>
      <w:r w:rsidR="006F3818">
        <w:rPr>
          <w:rFonts w:asciiTheme="minorHAnsi" w:hAnsiTheme="minorHAnsi" w:cstheme="minorHAnsi"/>
          <w:color w:val="222222"/>
          <w:szCs w:val="22"/>
          <w:shd w:val="clear" w:color="auto" w:fill="FFFFFF"/>
        </w:rPr>
        <w:t xml:space="preserve"> </w:t>
      </w:r>
      <w:r w:rsidRPr="003E16C4">
        <w:rPr>
          <w:rFonts w:asciiTheme="minorHAnsi" w:hAnsiTheme="minorHAnsi" w:cstheme="minorHAnsi"/>
          <w:color w:val="222222"/>
          <w:szCs w:val="22"/>
          <w:shd w:val="clear" w:color="auto" w:fill="FFFFFF"/>
        </w:rPr>
        <w:t>J</w:t>
      </w:r>
      <w:r>
        <w:rPr>
          <w:rFonts w:asciiTheme="minorHAnsi" w:hAnsiTheme="minorHAnsi" w:cstheme="minorHAnsi"/>
          <w:color w:val="222222"/>
          <w:szCs w:val="22"/>
          <w:shd w:val="clear" w:color="auto" w:fill="FFFFFF"/>
        </w:rPr>
        <w:t xml:space="preserve"> (</w:t>
      </w:r>
      <w:r w:rsidRPr="003E16C4">
        <w:rPr>
          <w:rFonts w:asciiTheme="minorHAnsi" w:hAnsiTheme="minorHAnsi" w:cstheme="minorHAnsi"/>
          <w:color w:val="222222"/>
          <w:szCs w:val="22"/>
          <w:shd w:val="clear" w:color="auto" w:fill="FFFFFF"/>
        </w:rPr>
        <w:t>2015</w:t>
      </w:r>
      <w:r>
        <w:rPr>
          <w:rFonts w:asciiTheme="minorHAnsi" w:hAnsiTheme="minorHAnsi" w:cstheme="minorHAnsi"/>
          <w:color w:val="222222"/>
          <w:szCs w:val="22"/>
          <w:shd w:val="clear" w:color="auto" w:fill="FFFFFF"/>
        </w:rPr>
        <w:t xml:space="preserve">) </w:t>
      </w:r>
      <w:r w:rsidR="00A67FE4">
        <w:rPr>
          <w:rFonts w:asciiTheme="minorHAnsi" w:hAnsiTheme="minorHAnsi" w:cstheme="minorHAnsi"/>
          <w:color w:val="222222"/>
          <w:szCs w:val="22"/>
          <w:shd w:val="clear" w:color="auto" w:fill="FFFFFF"/>
        </w:rPr>
        <w:t>‘</w:t>
      </w:r>
      <w:hyperlink r:id="rId101" w:history="1">
        <w:r w:rsidRPr="00B20168">
          <w:rPr>
            <w:rStyle w:val="Hyperlink"/>
            <w:rFonts w:asciiTheme="minorHAnsi" w:hAnsiTheme="minorHAnsi" w:cstheme="minorHAnsi"/>
            <w:szCs w:val="22"/>
            <w:shd w:val="clear" w:color="auto" w:fill="FFFFFF"/>
          </w:rPr>
          <w:t>Gender segregation in occupations: The role of tipping and social interactions</w:t>
        </w:r>
      </w:hyperlink>
      <w:r w:rsidR="00A67FE4">
        <w:rPr>
          <w:rFonts w:asciiTheme="minorHAnsi" w:hAnsiTheme="minorHAnsi" w:cstheme="minorHAnsi"/>
          <w:color w:val="222222"/>
          <w:szCs w:val="22"/>
          <w:shd w:val="clear" w:color="auto" w:fill="FFFFFF"/>
        </w:rPr>
        <w:t>’</w:t>
      </w:r>
      <w:r>
        <w:rPr>
          <w:rFonts w:asciiTheme="minorHAnsi" w:hAnsiTheme="minorHAnsi" w:cstheme="minorHAnsi"/>
          <w:color w:val="222222"/>
          <w:szCs w:val="22"/>
          <w:shd w:val="clear" w:color="auto" w:fill="FFFFFF"/>
        </w:rPr>
        <w:t>,</w:t>
      </w:r>
      <w:r w:rsidRPr="003E16C4">
        <w:rPr>
          <w:rFonts w:asciiTheme="minorHAnsi" w:hAnsiTheme="minorHAnsi" w:cstheme="minorHAnsi"/>
          <w:color w:val="222222"/>
          <w:szCs w:val="22"/>
          <w:shd w:val="clear" w:color="auto" w:fill="FFFFFF"/>
        </w:rPr>
        <w:t> </w:t>
      </w:r>
      <w:r w:rsidRPr="003E16C4">
        <w:rPr>
          <w:rFonts w:asciiTheme="minorHAnsi" w:hAnsiTheme="minorHAnsi" w:cstheme="minorHAnsi"/>
          <w:i/>
          <w:iCs/>
          <w:color w:val="222222"/>
          <w:szCs w:val="22"/>
          <w:shd w:val="clear" w:color="auto" w:fill="FFFFFF"/>
        </w:rPr>
        <w:t xml:space="preserve">Journal of </w:t>
      </w:r>
      <w:proofErr w:type="spellStart"/>
      <w:r w:rsidRPr="003E16C4">
        <w:rPr>
          <w:rFonts w:asciiTheme="minorHAnsi" w:hAnsiTheme="minorHAnsi" w:cstheme="minorHAnsi"/>
          <w:i/>
          <w:iCs/>
          <w:color w:val="222222"/>
          <w:szCs w:val="22"/>
          <w:shd w:val="clear" w:color="auto" w:fill="FFFFFF"/>
        </w:rPr>
        <w:t>Labor</w:t>
      </w:r>
      <w:proofErr w:type="spellEnd"/>
      <w:r w:rsidRPr="003E16C4">
        <w:rPr>
          <w:rFonts w:asciiTheme="minorHAnsi" w:hAnsiTheme="minorHAnsi" w:cstheme="minorHAnsi"/>
          <w:i/>
          <w:iCs/>
          <w:color w:val="222222"/>
          <w:szCs w:val="22"/>
          <w:shd w:val="clear" w:color="auto" w:fill="FFFFFF"/>
        </w:rPr>
        <w:t xml:space="preserve"> Economics</w:t>
      </w:r>
      <w:r w:rsidRPr="00B50228">
        <w:rPr>
          <w:rFonts w:asciiTheme="minorHAnsi" w:hAnsiTheme="minorHAnsi" w:cstheme="minorHAnsi"/>
          <w:color w:val="222222"/>
          <w:szCs w:val="22"/>
          <w:shd w:val="clear" w:color="auto" w:fill="FFFFFF"/>
        </w:rPr>
        <w:t>, 33(2</w:t>
      </w:r>
      <w:r w:rsidRPr="003E16C4">
        <w:rPr>
          <w:rFonts w:asciiTheme="minorHAnsi" w:hAnsiTheme="minorHAnsi" w:cstheme="minorHAnsi"/>
          <w:color w:val="222222"/>
          <w:szCs w:val="22"/>
          <w:shd w:val="clear" w:color="auto" w:fill="FFFFFF"/>
        </w:rPr>
        <w:t>)</w:t>
      </w:r>
      <w:r w:rsidR="006F3818">
        <w:rPr>
          <w:rFonts w:asciiTheme="minorHAnsi" w:hAnsiTheme="minorHAnsi" w:cstheme="minorHAnsi"/>
          <w:color w:val="222222"/>
          <w:szCs w:val="22"/>
          <w:shd w:val="clear" w:color="auto" w:fill="FFFFFF"/>
        </w:rPr>
        <w:t>:</w:t>
      </w:r>
      <w:r w:rsidRPr="003E16C4">
        <w:rPr>
          <w:rFonts w:asciiTheme="minorHAnsi" w:hAnsiTheme="minorHAnsi" w:cstheme="minorHAnsi"/>
          <w:color w:val="222222"/>
          <w:szCs w:val="22"/>
          <w:shd w:val="clear" w:color="auto" w:fill="FFFFFF"/>
        </w:rPr>
        <w:t>365</w:t>
      </w:r>
      <w:r w:rsidR="006F3818">
        <w:rPr>
          <w:rFonts w:asciiTheme="minorHAnsi" w:hAnsiTheme="minorHAnsi" w:cstheme="minorHAnsi"/>
          <w:color w:val="222222"/>
          <w:szCs w:val="22"/>
          <w:shd w:val="clear" w:color="auto" w:fill="FFFFFF"/>
        </w:rPr>
        <w:t>–</w:t>
      </w:r>
      <w:r w:rsidRPr="003E16C4">
        <w:rPr>
          <w:rFonts w:asciiTheme="minorHAnsi" w:hAnsiTheme="minorHAnsi" w:cstheme="minorHAnsi"/>
          <w:color w:val="222222"/>
          <w:szCs w:val="22"/>
          <w:shd w:val="clear" w:color="auto" w:fill="FFFFFF"/>
        </w:rPr>
        <w:t>408</w:t>
      </w:r>
      <w:r>
        <w:rPr>
          <w:rFonts w:asciiTheme="minorHAnsi" w:hAnsiTheme="minorHAnsi" w:cstheme="minorHAnsi"/>
          <w:color w:val="222222"/>
          <w:szCs w:val="22"/>
          <w:shd w:val="clear" w:color="auto" w:fill="FFFFFF"/>
        </w:rPr>
        <w:t xml:space="preserve">. </w:t>
      </w:r>
    </w:p>
    <w:p w14:paraId="13071BE1" w14:textId="77777777" w:rsidR="005733B1" w:rsidRDefault="005733B1">
      <w:pPr>
        <w:spacing w:before="0" w:after="0"/>
        <w:rPr>
          <w:b/>
          <w:noProof/>
          <w:color w:val="2C384A" w:themeColor="accent1"/>
          <w:spacing w:val="-14"/>
          <w:sz w:val="44"/>
          <w:szCs w:val="68"/>
        </w:rPr>
      </w:pPr>
      <w:r>
        <w:rPr>
          <w:noProof/>
        </w:rPr>
        <w:br w:type="page"/>
      </w:r>
    </w:p>
    <w:p w14:paraId="66B590D3" w14:textId="7F89ECA7" w:rsidR="005733B1" w:rsidRDefault="005733B1" w:rsidP="001F1F0E">
      <w:pPr>
        <w:pStyle w:val="Reporttitle"/>
        <w:rPr>
          <w:noProof/>
        </w:rPr>
      </w:pPr>
      <w:bookmarkStart w:id="17" w:name="_Toc115880557"/>
      <w:r>
        <w:rPr>
          <w:noProof/>
        </w:rPr>
        <w:lastRenderedPageBreak/>
        <w:t xml:space="preserve">Data </w:t>
      </w:r>
      <w:r w:rsidR="006A12B8">
        <w:rPr>
          <w:noProof/>
        </w:rPr>
        <w:t>D</w:t>
      </w:r>
      <w:r>
        <w:rPr>
          <w:noProof/>
        </w:rPr>
        <w:t>isclaimers</w:t>
      </w:r>
      <w:bookmarkEnd w:id="17"/>
    </w:p>
    <w:p w14:paraId="3B2A0232" w14:textId="77777777" w:rsidR="008514DB" w:rsidRDefault="008514DB" w:rsidP="008514DB">
      <w:pPr>
        <w:pStyle w:val="Heading2"/>
      </w:pPr>
      <w:proofErr w:type="spellStart"/>
      <w:r>
        <w:t>ALife</w:t>
      </w:r>
      <w:proofErr w:type="spellEnd"/>
    </w:p>
    <w:p w14:paraId="16F1B352" w14:textId="408368DC" w:rsidR="008514DB" w:rsidRDefault="008514DB" w:rsidP="008514DB">
      <w:r>
        <w:t xml:space="preserve">The final article </w:t>
      </w:r>
      <w:r w:rsidR="00A67FE4">
        <w:t>‘</w:t>
      </w:r>
      <w:r>
        <w:t>Children and the gender earnings gap</w:t>
      </w:r>
      <w:r w:rsidR="00A67FE4">
        <w:t xml:space="preserve">’ </w:t>
      </w:r>
      <w:r>
        <w:t>uses data from the Australian Taxation Office (ATO) Longitudinal Information Files (</w:t>
      </w:r>
      <w:proofErr w:type="spellStart"/>
      <w:r>
        <w:t>ALife</w:t>
      </w:r>
      <w:proofErr w:type="spellEnd"/>
      <w:r>
        <w:t>), specifically the 2019 release of the individuals</w:t>
      </w:r>
      <w:r w:rsidR="00847E16">
        <w:t>’</w:t>
      </w:r>
      <w:r>
        <w:t xml:space="preserve"> file.  The findings and views reported are those of the authors and should not be attributed to the ATO or the Australian Government.  </w:t>
      </w:r>
    </w:p>
    <w:p w14:paraId="1C397533" w14:textId="0FB55B84" w:rsidR="005733B1" w:rsidRDefault="005733B1" w:rsidP="001F1F0E">
      <w:pPr>
        <w:pStyle w:val="Heading2"/>
      </w:pPr>
      <w:r>
        <w:t>BLADE</w:t>
      </w:r>
      <w:r w:rsidR="0018381D">
        <w:t>/MADIP</w:t>
      </w:r>
    </w:p>
    <w:p w14:paraId="2E56C909" w14:textId="3332C033" w:rsidR="005733B1" w:rsidRDefault="005733B1" w:rsidP="001F1F0E">
      <w:r>
        <w:t xml:space="preserve">The results presented here are based in part, on ABR data supplied by the Registrar to the ABS under A New Tax System (Australian Business Number) Act 1999 and tax data supplied by the ATO to the ABS under the Taxation Administration Act 1953. These require that such data is only used for the purpose of carrying out functions of the ABS. No individual information collected under the Census and Statistics Act 1905 is provided back to the Registrar or the ATO for administrative or regulatory purposes. Any discussion of data limitations or weaknesses is in the context of using the data for statistical purposes and is not related to the ability of the data to support the ABR’s core operational requirements. Legislative requirements to ensure privacy and secrecy of this data have been followed. Only people authorised under the Australian Bureau of Statistics Act 1975 have been allowed to view data about any </w:t>
      </w:r>
      <w:proofErr w:type="gramStart"/>
      <w:r>
        <w:t>particular firm</w:t>
      </w:r>
      <w:proofErr w:type="gramEnd"/>
      <w:r>
        <w:t xml:space="preserve"> in conducting these analyses. In accordance with the Census and Statistics Act 1905, results have been </w:t>
      </w:r>
      <w:proofErr w:type="spellStart"/>
      <w:r>
        <w:t>confidentialised</w:t>
      </w:r>
      <w:proofErr w:type="spellEnd"/>
      <w:r>
        <w:t xml:space="preserve"> to ensure </w:t>
      </w:r>
      <w:r w:rsidDel="00A67FE4">
        <w:t xml:space="preserve">that </w:t>
      </w:r>
      <w:r>
        <w:t>they are not likely to enable identification of a particular person or organisation.</w:t>
      </w:r>
    </w:p>
    <w:p w14:paraId="4A8D6F23" w14:textId="1DC767FF" w:rsidR="005733B1" w:rsidRDefault="005733B1" w:rsidP="001F1F0E">
      <w:pPr>
        <w:pStyle w:val="Heading2"/>
      </w:pPr>
      <w:r>
        <w:t>HILDA</w:t>
      </w:r>
    </w:p>
    <w:p w14:paraId="2A2C4101" w14:textId="77777777" w:rsidR="00952DCD" w:rsidRDefault="00952DCD" w:rsidP="001F1F0E">
      <w:r>
        <w:t xml:space="preserve">This article uses unit record data from the Household, Income and Labour Dynamics in Australia (HILDA) Survey. The HILDA Project was initiated and is funded by the Australian Government Department of Social Services (DSS) and is managed by the Melbourne Institute of Applied Economic and Social Research (Melbourne Institute). The findings and views reported in this paper, however, are those of the authors and should not be attributed to either DSS or the Melbourne Institute. </w:t>
      </w:r>
    </w:p>
    <w:p w14:paraId="0AEE3346" w14:textId="0B4714CA" w:rsidR="005733B1" w:rsidRDefault="006E2D80">
      <w:pPr>
        <w:pStyle w:val="Heading2"/>
      </w:pPr>
      <w:proofErr w:type="spellStart"/>
      <w:r>
        <w:t>Lightcast</w:t>
      </w:r>
      <w:proofErr w:type="spellEnd"/>
    </w:p>
    <w:p w14:paraId="63D581D9" w14:textId="6C7F4C09" w:rsidR="00B94D89" w:rsidRDefault="00B94D89" w:rsidP="00D13B54">
      <w:r>
        <w:t xml:space="preserve">The data is provided </w:t>
      </w:r>
      <w:r w:rsidR="00F73F65">
        <w:t>‘</w:t>
      </w:r>
      <w:r>
        <w:t>as is</w:t>
      </w:r>
      <w:r w:rsidR="00F73F65">
        <w:t>’</w:t>
      </w:r>
      <w:r w:rsidR="00AD7719" w:rsidRPr="00AD7719">
        <w:t>,</w:t>
      </w:r>
      <w:r>
        <w:t xml:space="preserve"> without warranty for a particular purpose or project. </w:t>
      </w:r>
      <w:proofErr w:type="spellStart"/>
      <w:r>
        <w:t>Lightcast</w:t>
      </w:r>
      <w:proofErr w:type="spellEnd"/>
      <w:r>
        <w:t xml:space="preserve"> is not liable for their misuse, or for </w:t>
      </w:r>
      <w:r w:rsidDel="00F73F65">
        <w:t xml:space="preserve">the results of </w:t>
      </w:r>
      <w:r>
        <w:t xml:space="preserve">any planning errors based </w:t>
      </w:r>
      <w:r w:rsidDel="00F73F65">
        <w:t>thereon</w:t>
      </w:r>
      <w:r>
        <w:t xml:space="preserve">. </w:t>
      </w:r>
      <w:r w:rsidDel="00F73F65">
        <w:t>L</w:t>
      </w:r>
      <w:r>
        <w:t xml:space="preserve">icensee is fully responsible for </w:t>
      </w:r>
      <w:r w:rsidDel="00F73F65">
        <w:t xml:space="preserve">the </w:t>
      </w:r>
      <w:r>
        <w:t xml:space="preserve">decisions </w:t>
      </w:r>
      <w:r w:rsidDel="00F73F65">
        <w:t xml:space="preserve">that are made </w:t>
      </w:r>
      <w:r>
        <w:t xml:space="preserve">based on the Subscription Services and the outcomes of those decisions, including any economic loss. </w:t>
      </w:r>
    </w:p>
    <w:p w14:paraId="7897859A" w14:textId="06CA9F73" w:rsidR="00B94D89" w:rsidRDefault="00B94D89" w:rsidP="00D13B54">
      <w:r>
        <w:t>The reports and forecasts in the Services are created using proprietary analytical processes applied to data from public, proprietary</w:t>
      </w:r>
      <w:r w:rsidDel="00F73F65">
        <w:t>,</w:t>
      </w:r>
      <w:r>
        <w:t xml:space="preserve"> and government data sources. </w:t>
      </w:r>
      <w:proofErr w:type="spellStart"/>
      <w:r>
        <w:t>Lightcast</w:t>
      </w:r>
      <w:proofErr w:type="spellEnd"/>
      <w:r>
        <w:t xml:space="preserve"> uses estimates when there are suppressed or missing data points, and such estimates are subject to error. Data, reports</w:t>
      </w:r>
      <w:r w:rsidDel="001E67C5">
        <w:t>,</w:t>
      </w:r>
      <w:r>
        <w:t xml:space="preserve"> and forecasts included in the Services may differ significantly from actual circumstances or outcomes. In addition, </w:t>
      </w:r>
      <w:proofErr w:type="spellStart"/>
      <w:r>
        <w:t>Lightcast</w:t>
      </w:r>
      <w:proofErr w:type="spellEnd"/>
      <w:r>
        <w:t xml:space="preserve"> cannot make any representation of the completeness of data aggregated from any source. </w:t>
      </w:r>
    </w:p>
    <w:p w14:paraId="17938878" w14:textId="0A16C311" w:rsidR="00B94D89" w:rsidRDefault="00B94D89" w:rsidP="00D13B54">
      <w:r>
        <w:t xml:space="preserve">The Services use global professional profiles built with data posted online by individuals about themselves. Such data comes from sources such as professional networking sites, talent hubs, blogs, </w:t>
      </w:r>
      <w:r>
        <w:lastRenderedPageBreak/>
        <w:t>publications, journals, and social networks. Any information obtained from such sources cannot be guaranteed or verified to be accurate or up to date.</w:t>
      </w:r>
    </w:p>
    <w:p w14:paraId="2661C0B0" w14:textId="6EEB2842" w:rsidR="00B94D89" w:rsidRPr="005B1D8F" w:rsidRDefault="00B94D89" w:rsidP="008C1596">
      <w:proofErr w:type="spellStart"/>
      <w:r>
        <w:t>Lightcast</w:t>
      </w:r>
      <w:proofErr w:type="spellEnd"/>
      <w:r>
        <w:t xml:space="preserve"> updates and upgrades products and services periodically. Except as expressly stated otherwise herein, </w:t>
      </w:r>
      <w:proofErr w:type="spellStart"/>
      <w:r>
        <w:t>Lightcast</w:t>
      </w:r>
      <w:proofErr w:type="spellEnd"/>
      <w:r>
        <w:t xml:space="preserve"> is not obligated to continue to support legacy versions of any product or service or make legacy versions of products or services available to Licensee.</w:t>
      </w:r>
      <w:r w:rsidDel="00B94D89">
        <w:t xml:space="preserve"> </w:t>
      </w:r>
    </w:p>
    <w:p w14:paraId="46CB7D41" w14:textId="77777777" w:rsidR="005733B1" w:rsidRPr="005733B1" w:rsidRDefault="005733B1" w:rsidP="001F1F0E"/>
    <w:p w14:paraId="1D6EF0DC" w14:textId="01243118" w:rsidR="00AF1A62" w:rsidRPr="00045C24" w:rsidRDefault="00AF1A62" w:rsidP="00D53A19"/>
    <w:sectPr w:rsidR="00AF1A62" w:rsidRPr="00045C24" w:rsidSect="00BB18A1">
      <w:footnotePr>
        <w:numRestart w:val="eachSect"/>
      </w:footnotePr>
      <w:pgSz w:w="11906" w:h="16838" w:code="9"/>
      <w:pgMar w:top="1843" w:right="1418" w:bottom="1418" w:left="1418" w:header="567" w:footer="249"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B8A88" w14:textId="77777777" w:rsidR="00EC088C" w:rsidRDefault="00EC088C" w:rsidP="00886BC4">
      <w:r>
        <w:separator/>
      </w:r>
    </w:p>
    <w:p w14:paraId="3AFE5CDF" w14:textId="77777777" w:rsidR="00EC088C" w:rsidRDefault="00EC088C"/>
  </w:endnote>
  <w:endnote w:type="continuationSeparator" w:id="0">
    <w:p w14:paraId="180434E3" w14:textId="77777777" w:rsidR="00EC088C" w:rsidRDefault="00EC088C" w:rsidP="00886BC4">
      <w:r>
        <w:continuationSeparator/>
      </w:r>
    </w:p>
    <w:p w14:paraId="746DB4D0" w14:textId="77777777" w:rsidR="00EC088C" w:rsidRDefault="00EC088C"/>
  </w:endnote>
  <w:endnote w:type="continuationNotice" w:id="1">
    <w:p w14:paraId="3D253DF2" w14:textId="77777777" w:rsidR="00EC088C" w:rsidRDefault="00EC08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9999999">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76ED9" w14:textId="77777777" w:rsidR="007E3D50" w:rsidRDefault="007E3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9F395" w14:textId="77777777" w:rsidR="007E3D50" w:rsidRDefault="007E3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49BE5" w14:textId="77777777" w:rsidR="007E3D50" w:rsidRDefault="007E3D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501F" w14:textId="150BD33D" w:rsidR="005E7CAE" w:rsidRPr="008F3B63" w:rsidRDefault="008F3B63" w:rsidP="005C63C4">
    <w:pPr>
      <w:pStyle w:val="Footer"/>
      <w:jc w:val="right"/>
    </w:pPr>
    <w:r w:rsidRPr="00103F3C">
      <w:rPr>
        <w:noProof/>
        <w:position w:val="-8"/>
      </w:rPr>
      <w:drawing>
        <wp:inline distT="0" distB="0" distL="0" distR="0" wp14:anchorId="4E5D1E6A" wp14:editId="6564B3A7">
          <wp:extent cx="1324800" cy="201600"/>
          <wp:effectExtent l="0" t="0" r="0" b="8255"/>
          <wp:docPr id="11" name="Picture 1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rsidR="00D7389E">
      <w:tab/>
    </w:r>
    <w:fldSimple w:instr=" STYLEREF  &quot;Subtitle,Theme subtitle&quot;  \* MERGEFORMAT ">
      <w:r w:rsidR="0072068C">
        <w:rPr>
          <w:noProof/>
        </w:rPr>
        <w:t>Productivity Edition</w:t>
      </w:r>
    </w:fldSimple>
    <w:r w:rsidR="002323AE">
      <w:t xml:space="preserve">  </w:t>
    </w:r>
    <w:r w:rsidR="00F8400B" w:rsidRPr="00D1425F">
      <w:t xml:space="preserve">|  </w:t>
    </w:r>
    <w:r w:rsidR="00F8400B" w:rsidRPr="00D1425F">
      <w:fldChar w:fldCharType="begin"/>
    </w:r>
    <w:r w:rsidR="00F8400B" w:rsidRPr="00D1425F">
      <w:instrText xml:space="preserve"> PAGE   \* MERGEFORMAT </w:instrText>
    </w:r>
    <w:r w:rsidR="00F8400B" w:rsidRPr="00D1425F">
      <w:fldChar w:fldCharType="separate"/>
    </w:r>
    <w:r w:rsidR="00F8400B">
      <w:t>1</w:t>
    </w:r>
    <w:r w:rsidR="00F8400B" w:rsidRPr="00D1425F">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F222F" w14:textId="2D4987BD" w:rsidR="00300C95" w:rsidRDefault="00300C95" w:rsidP="00DA3E0F">
    <w:pPr>
      <w:spacing w:before="360" w:after="240"/>
      <w:rPr>
        <w:sz w:val="18"/>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01956" w14:textId="44C49F54" w:rsidR="00722F7C" w:rsidRPr="008F3B63" w:rsidRDefault="00722F7C" w:rsidP="005C63C4">
    <w:pPr>
      <w:pStyle w:val="Footer"/>
      <w:jc w:val="right"/>
    </w:pPr>
    <w:r w:rsidRPr="00103F3C">
      <w:rPr>
        <w:noProof/>
        <w:position w:val="-8"/>
      </w:rPr>
      <w:drawing>
        <wp:inline distT="0" distB="0" distL="0" distR="0" wp14:anchorId="5646CA0A" wp14:editId="74C1B4CD">
          <wp:extent cx="1324800" cy="201600"/>
          <wp:effectExtent l="0" t="0" r="0" b="8255"/>
          <wp:docPr id="6" name="Picture 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 STYLEREF  &quot;Report title&quot;  \* MERGEFORMAT ">
      <w:r w:rsidR="0072068C">
        <w:rPr>
          <w:noProof/>
        </w:rPr>
        <w:t>Overview: Understanding productivity in Australia and the global slowdown</w:t>
      </w:r>
    </w:fldSimple>
    <w:r w:rsidRPr="00D1425F">
      <w:t xml:space="preserve">  |  </w:t>
    </w:r>
    <w:r w:rsidRPr="00D1425F">
      <w:fldChar w:fldCharType="begin"/>
    </w:r>
    <w:r w:rsidRPr="00D1425F">
      <w:instrText xml:space="preserve"> PAGE   \* MERGEFORMAT </w:instrText>
    </w:r>
    <w:r w:rsidRPr="00D1425F">
      <w:fldChar w:fldCharType="separate"/>
    </w:r>
    <w:r>
      <w:t>1</w:t>
    </w:r>
    <w:r w:rsidRPr="00D1425F">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B7775" w14:textId="5C57407B" w:rsidR="003A1591" w:rsidRPr="008F3B63" w:rsidRDefault="003A1591" w:rsidP="005C63C4">
    <w:pPr>
      <w:pStyle w:val="Footer"/>
      <w:jc w:val="right"/>
    </w:pPr>
    <w:r w:rsidRPr="00103F3C">
      <w:rPr>
        <w:noProof/>
        <w:position w:val="-8"/>
      </w:rPr>
      <w:drawing>
        <wp:inline distT="0" distB="0" distL="0" distR="0" wp14:anchorId="0062A032" wp14:editId="62A845B9">
          <wp:extent cx="1324800" cy="201600"/>
          <wp:effectExtent l="0" t="0" r="0" b="8255"/>
          <wp:docPr id="17" name="Picture 1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 STYLEREF  &quot;Report title&quot;  \* MERGEFORMAT ">
      <w:r w:rsidR="0072068C">
        <w:rPr>
          <w:noProof/>
        </w:rPr>
        <w:t>Competition in Australia and its impact on productivity growth</w:t>
      </w:r>
    </w:fldSimple>
    <w:r w:rsidRPr="00D1425F">
      <w:t xml:space="preserve">  |  </w:t>
    </w:r>
    <w:r w:rsidRPr="00D1425F">
      <w:fldChar w:fldCharType="begin"/>
    </w:r>
    <w:r w:rsidRPr="00D1425F">
      <w:instrText xml:space="preserve"> PAGE   \* MERGEFORMAT </w:instrText>
    </w:r>
    <w:r w:rsidRPr="00D1425F">
      <w:fldChar w:fldCharType="separate"/>
    </w:r>
    <w:r>
      <w:t>1</w:t>
    </w:r>
    <w:r w:rsidRPr="00D1425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99EEC" w14:textId="77777777" w:rsidR="00EC088C" w:rsidRPr="003D327E" w:rsidRDefault="00EC088C" w:rsidP="003D327E">
      <w:pPr>
        <w:spacing w:before="60" w:after="60"/>
        <w:rPr>
          <w:color w:val="D9D9D9" w:themeColor="background1" w:themeShade="D9"/>
        </w:rPr>
      </w:pPr>
      <w:r w:rsidRPr="003D327E">
        <w:rPr>
          <w:color w:val="D9D9D9" w:themeColor="background1" w:themeShade="D9"/>
        </w:rPr>
        <w:separator/>
      </w:r>
    </w:p>
  </w:footnote>
  <w:footnote w:type="continuationSeparator" w:id="0">
    <w:p w14:paraId="43A4D06E" w14:textId="77777777" w:rsidR="00EC088C" w:rsidRDefault="00EC088C" w:rsidP="00886BC4">
      <w:r>
        <w:continuationSeparator/>
      </w:r>
    </w:p>
    <w:p w14:paraId="24DCE26E" w14:textId="77777777" w:rsidR="00EC088C" w:rsidRDefault="00EC088C"/>
  </w:footnote>
  <w:footnote w:type="continuationNotice" w:id="1">
    <w:p w14:paraId="6F7FB6C0" w14:textId="77777777" w:rsidR="00EC088C" w:rsidRDefault="00EC088C"/>
  </w:footnote>
  <w:footnote w:id="2">
    <w:p w14:paraId="1534E1FE" w14:textId="732CBD09" w:rsidR="00503913" w:rsidRDefault="00503913" w:rsidP="005F43D9">
      <w:pPr>
        <w:pStyle w:val="FootnoteText"/>
      </w:pPr>
      <w:r>
        <w:rPr>
          <w:rStyle w:val="FootnoteReference"/>
        </w:rPr>
        <w:t>*</w:t>
      </w:r>
      <w:r>
        <w:t xml:space="preserve"> </w:t>
      </w:r>
      <w:r w:rsidR="004A6502">
        <w:t>The authors completed this work while in</w:t>
      </w:r>
      <w:r>
        <w:t xml:space="preserve"> </w:t>
      </w:r>
      <w:r w:rsidRPr="00503913">
        <w:t>Macroeconomic Analysis and Policy Division, Macroeconomic Group. The authors would like to thank Thomas Goh for his input and quality assurance. The views expressed are those of the authors and do not necessarily reflect those of The Australian Treasury or the Australian Government.</w:t>
      </w:r>
    </w:p>
  </w:footnote>
  <w:footnote w:id="3">
    <w:p w14:paraId="7587CD14" w14:textId="07394CFF" w:rsidR="00503913" w:rsidRDefault="00503913" w:rsidP="005F43D9">
      <w:pPr>
        <w:pStyle w:val="FootnoteText"/>
      </w:pPr>
      <w:r>
        <w:rPr>
          <w:rStyle w:val="FootnoteReference"/>
        </w:rPr>
        <w:footnoteRef/>
      </w:r>
      <w:r>
        <w:t xml:space="preserve"> </w:t>
      </w:r>
      <w:r w:rsidRPr="00503913">
        <w:t>The market sector excludes industries such as Public Administration and Safety, Health</w:t>
      </w:r>
      <w:r w:rsidR="00AB1032">
        <w:t>,</w:t>
      </w:r>
      <w:r w:rsidRPr="00503913">
        <w:t xml:space="preserve"> and Education.</w:t>
      </w:r>
    </w:p>
  </w:footnote>
  <w:footnote w:id="4">
    <w:p w14:paraId="00A4E437" w14:textId="77777777" w:rsidR="00021D2B" w:rsidRDefault="00021D2B" w:rsidP="00021D2B">
      <w:pPr>
        <w:pStyle w:val="FootnoteText"/>
      </w:pPr>
      <w:r>
        <w:rPr>
          <w:rStyle w:val="FootnoteReference"/>
        </w:rPr>
        <w:footnoteRef/>
      </w:r>
      <w:r>
        <w:t xml:space="preserve"> Capital deepening occurs when there is more capital for each worker and MFP growth occurs when labour and capital are used more efficiently.</w:t>
      </w:r>
    </w:p>
  </w:footnote>
  <w:footnote w:id="5">
    <w:p w14:paraId="7099EE80" w14:textId="77777777" w:rsidR="00FA5D75" w:rsidRDefault="00FA5D75" w:rsidP="00FA5D75">
      <w:pPr>
        <w:pStyle w:val="FootnoteText"/>
      </w:pPr>
      <w:r>
        <w:rPr>
          <w:rStyle w:val="FootnoteReference"/>
        </w:rPr>
        <w:footnoteRef/>
      </w:r>
      <w:r>
        <w:t xml:space="preserve"> </w:t>
      </w:r>
      <w:r w:rsidRPr="000202FE">
        <w:t>MFP growth is likely to have been understated, and capital deepening overstated</w:t>
      </w:r>
      <w:r>
        <w:t>,</w:t>
      </w:r>
      <w:r w:rsidRPr="000202FE">
        <w:t xml:space="preserve"> in the investment phase of the mining boom in the late 2000s before production ramped up. The reverse is true as output ramped up over the early 2010s.</w:t>
      </w:r>
    </w:p>
  </w:footnote>
  <w:footnote w:id="6">
    <w:p w14:paraId="192B80A4" w14:textId="77777777" w:rsidR="00E33476" w:rsidRDefault="00E33476" w:rsidP="000F00C7">
      <w:pPr>
        <w:pStyle w:val="FootnoteText"/>
      </w:pPr>
      <w:r>
        <w:rPr>
          <w:rStyle w:val="FootnoteReference"/>
        </w:rPr>
        <w:footnoteRef/>
      </w:r>
      <w:r>
        <w:t xml:space="preserve"> The challenges of measuring productivity in the service sector are outlined in Productivity Commission (2021). </w:t>
      </w:r>
    </w:p>
  </w:footnote>
  <w:footnote w:id="7">
    <w:p w14:paraId="6DE2C615" w14:textId="188FC967" w:rsidR="00AE3AD8" w:rsidRDefault="00AE3AD8">
      <w:pPr>
        <w:pStyle w:val="FootnoteText"/>
      </w:pPr>
      <w:r>
        <w:rPr>
          <w:rStyle w:val="FootnoteReference"/>
        </w:rPr>
        <w:footnoteRef/>
      </w:r>
      <w:r>
        <w:t xml:space="preserve"> OECD data on BERD as a percentage of GDP &lt;</w:t>
      </w:r>
      <w:hyperlink r:id="rId1" w:history="1">
        <w:r w:rsidRPr="00277201">
          <w:rPr>
            <w:rStyle w:val="Hyperlink"/>
          </w:rPr>
          <w:t>https://stats.oecd.org/Index.aspx?DataSetCode=MSTI_PUB#</w:t>
        </w:r>
      </w:hyperlink>
      <w:r>
        <w:t>&gt;.</w:t>
      </w:r>
    </w:p>
  </w:footnote>
  <w:footnote w:id="8">
    <w:p w14:paraId="5A7BAFC4" w14:textId="6DC18042" w:rsidR="00AE3AD8" w:rsidRDefault="00AE3AD8">
      <w:pPr>
        <w:pStyle w:val="FootnoteText"/>
      </w:pPr>
      <w:r>
        <w:rPr>
          <w:rStyle w:val="FootnoteReference"/>
        </w:rPr>
        <w:footnoteRef/>
      </w:r>
      <w:r>
        <w:t xml:space="preserve"> Treasury calculations </w:t>
      </w:r>
      <w:r w:rsidR="00E47400">
        <w:t>using</w:t>
      </w:r>
      <w:r>
        <w:t xml:space="preserve"> ABS Research and Experimental Development, Businesses </w:t>
      </w:r>
      <w:r w:rsidR="006976B9">
        <w:t>2019-20</w:t>
      </w:r>
      <w:r>
        <w:t xml:space="preserve">, and </w:t>
      </w:r>
      <w:r w:rsidR="00B53CE0">
        <w:t>A</w:t>
      </w:r>
      <w:r>
        <w:t>ustralian Indu</w:t>
      </w:r>
      <w:r w:rsidR="00B53CE0">
        <w:t xml:space="preserve">stry </w:t>
      </w:r>
      <w:r w:rsidR="006976B9">
        <w:t>2020-21</w:t>
      </w:r>
      <w:r w:rsidR="00B53CE0">
        <w:t xml:space="preserve">. </w:t>
      </w:r>
    </w:p>
  </w:footnote>
  <w:footnote w:id="9">
    <w:p w14:paraId="3A02CE36" w14:textId="02FE7B40" w:rsidR="00510AF2" w:rsidRDefault="00510AF2">
      <w:pPr>
        <w:pStyle w:val="FootnoteText"/>
      </w:pPr>
      <w:r>
        <w:rPr>
          <w:rStyle w:val="FootnoteReference"/>
        </w:rPr>
        <w:footnoteRef/>
      </w:r>
      <w:r>
        <w:t xml:space="preserve"> </w:t>
      </w:r>
      <w:r w:rsidRPr="00510AF2">
        <w:t>Human resources devoted to R&amp;D is measured using person</w:t>
      </w:r>
      <w:r>
        <w:t xml:space="preserve"> </w:t>
      </w:r>
      <w:r w:rsidRPr="00510AF2">
        <w:t>year</w:t>
      </w:r>
      <w:r>
        <w:t xml:space="preserve">s effort </w:t>
      </w:r>
      <w:r w:rsidR="008F578F">
        <w:t>(PYE)</w:t>
      </w:r>
      <w:r>
        <w:t xml:space="preserve"> </w:t>
      </w:r>
      <w:r w:rsidRPr="00510AF2">
        <w:t xml:space="preserve">and labour force is measured using the number of persons. One </w:t>
      </w:r>
      <w:r w:rsidR="008F578F">
        <w:t xml:space="preserve">PYE </w:t>
      </w:r>
      <w:r w:rsidRPr="00510AF2">
        <w:t>is equal to a full-time employee devoted to R&amp;D for a whole year.</w:t>
      </w:r>
      <w:r w:rsidR="00B53CE0">
        <w:t xml:space="preserve"> Treasury calculations </w:t>
      </w:r>
      <w:r w:rsidR="00E47400">
        <w:t>using</w:t>
      </w:r>
      <w:r w:rsidR="00B53CE0">
        <w:t xml:space="preserve"> ABS Research and Experimental Development, Businesses, and Labour Force data.</w:t>
      </w:r>
    </w:p>
  </w:footnote>
  <w:footnote w:id="10">
    <w:p w14:paraId="5137E5B8" w14:textId="065BB5C0" w:rsidR="00580659" w:rsidRDefault="00580659" w:rsidP="000F00C7">
      <w:pPr>
        <w:pStyle w:val="FootnoteText"/>
      </w:pPr>
      <w:r>
        <w:rPr>
          <w:rStyle w:val="FootnoteReference"/>
        </w:rPr>
        <w:t>*</w:t>
      </w:r>
      <w:r>
        <w:t xml:space="preserve"> </w:t>
      </w:r>
      <w:r w:rsidR="004A6502">
        <w:t>Iris Day, Zac Duretto and Patrick Hartigan completed this work while in</w:t>
      </w:r>
      <w:r>
        <w:t xml:space="preserve"> </w:t>
      </w:r>
      <w:r w:rsidRPr="001243AE">
        <w:t xml:space="preserve">Macroeconomic Analysis and Policy Division, Macroeconomic Group. </w:t>
      </w:r>
      <w:r w:rsidR="001243AE">
        <w:t xml:space="preserve">Jonathan Hambur completed some of this work while on secondment from the </w:t>
      </w:r>
      <w:r w:rsidR="007F2B5F">
        <w:t>Reserve Bank of Australia</w:t>
      </w:r>
      <w:r>
        <w:t xml:space="preserve"> to </w:t>
      </w:r>
      <w:r w:rsidR="001243AE">
        <w:t>Treasury.</w:t>
      </w:r>
      <w:r w:rsidR="0023382B">
        <w:t xml:space="preserve"> The authors would like to thank</w:t>
      </w:r>
      <w:r>
        <w:t xml:space="preserve"> </w:t>
      </w:r>
      <w:r w:rsidR="00BB18CF">
        <w:t xml:space="preserve">Treasury’s </w:t>
      </w:r>
      <w:r w:rsidR="00D70E99">
        <w:t>Market Conduct Division</w:t>
      </w:r>
      <w:r w:rsidR="00BB18CF">
        <w:t xml:space="preserve"> </w:t>
      </w:r>
      <w:r w:rsidR="0023382B">
        <w:t xml:space="preserve">for their helpful feedback. </w:t>
      </w:r>
      <w:r w:rsidRPr="001243AE">
        <w:t>The views expressed are those of the authors and do not necessarily reflect those of The Australian Treasury or the Australian Government.</w:t>
      </w:r>
      <w:r w:rsidR="004B4A48" w:rsidRPr="004B4A48">
        <w:t xml:space="preserve"> </w:t>
      </w:r>
      <w:r w:rsidR="004B4A48">
        <w:t>This article uses data from BLADE (see Data Disclaimers below).</w:t>
      </w:r>
      <w:r w:rsidR="002B7ADB">
        <w:t xml:space="preserve">  Analysis in this article featured in the 2022 FH Gruen Lecture delivered by the Hon. Dr Andrew Leigh, Assistant Minister for Competition, Charities and Treasury (</w:t>
      </w:r>
      <w:r w:rsidR="00271086">
        <w:t>Leigh 2022</w:t>
      </w:r>
      <w:r w:rsidR="002B7ADB">
        <w:t xml:space="preserve">).  </w:t>
      </w:r>
    </w:p>
  </w:footnote>
  <w:footnote w:id="11">
    <w:p w14:paraId="592D3C7B" w14:textId="34202EAC" w:rsidR="00AA442B" w:rsidRDefault="00AA442B" w:rsidP="000F00C7">
      <w:pPr>
        <w:pStyle w:val="FootnoteText"/>
      </w:pPr>
      <w:r>
        <w:rPr>
          <w:rStyle w:val="FootnoteReference"/>
        </w:rPr>
        <w:footnoteRef/>
      </w:r>
      <w:r>
        <w:t xml:space="preserve"> For example, </w:t>
      </w:r>
      <w:r w:rsidDel="001B78E4">
        <w:t>Backus (2020) examines the US read</w:t>
      </w:r>
      <w:r>
        <w:t>y</w:t>
      </w:r>
      <w:r w:rsidR="002B75D0">
        <w:noBreakHyphen/>
      </w:r>
      <w:r w:rsidDel="001B78E4">
        <w:t>mix concrete market</w:t>
      </w:r>
      <w:r>
        <w:t>, where the uniformity of the product simplifies the analysi</w:t>
      </w:r>
      <w:r w:rsidR="00C93668">
        <w:t>s</w:t>
      </w:r>
      <w:r w:rsidR="009F3244">
        <w:t>. It</w:t>
      </w:r>
      <w:r>
        <w:t xml:space="preserve"> finds that within</w:t>
      </w:r>
      <w:r w:rsidR="002B75D0">
        <w:noBreakHyphen/>
      </w:r>
      <w:r>
        <w:t>firm improvements in productivity</w:t>
      </w:r>
      <w:r w:rsidDel="001B78E4">
        <w:t xml:space="preserve"> are </w:t>
      </w:r>
      <w:r>
        <w:t xml:space="preserve">largely </w:t>
      </w:r>
      <w:r w:rsidDel="001B78E4">
        <w:t>responsible for the correlation between competition and productivity. Bloom et al. (2015) finds evidence of a positive relationship</w:t>
      </w:r>
      <w:r>
        <w:t xml:space="preserve"> in the public sector,</w:t>
      </w:r>
      <w:r w:rsidDel="001B78E4">
        <w:t xml:space="preserve"> </w:t>
      </w:r>
      <w:r>
        <w:t xml:space="preserve">showing that </w:t>
      </w:r>
      <w:r w:rsidDel="001B78E4">
        <w:t>management quality</w:t>
      </w:r>
      <w:r>
        <w:t xml:space="preserve"> improves with competition</w:t>
      </w:r>
      <w:r w:rsidDel="001B78E4">
        <w:t xml:space="preserve"> in the UK National Health Service.</w:t>
      </w:r>
    </w:p>
  </w:footnote>
  <w:footnote w:id="12">
    <w:p w14:paraId="2AEDD0DB" w14:textId="6AA8D0BF" w:rsidR="000634B4" w:rsidRDefault="000634B4" w:rsidP="00BC0EB4">
      <w:pPr>
        <w:pStyle w:val="FootnoteText"/>
      </w:pPr>
      <w:r>
        <w:rPr>
          <w:rStyle w:val="FootnoteReference"/>
        </w:rPr>
        <w:footnoteRef/>
      </w:r>
      <w:r>
        <w:t xml:space="preserve"> This metric also has the advantage of better capturing international </w:t>
      </w:r>
      <w:r w:rsidR="00342AD6">
        <w:t xml:space="preserve">competition given that overseas competition would influence a firm’s ability to increase their </w:t>
      </w:r>
      <w:r w:rsidR="00342AD6" w:rsidRPr="00F23D04">
        <w:t>mark</w:t>
      </w:r>
      <w:r w:rsidR="00F23D04" w:rsidRPr="00BE6A50">
        <w:t>-</w:t>
      </w:r>
      <w:r w:rsidR="00342AD6" w:rsidRPr="00F23D04">
        <w:t>up</w:t>
      </w:r>
      <w:r w:rsidR="00342AD6">
        <w:t xml:space="preserve">. </w:t>
      </w:r>
    </w:p>
  </w:footnote>
  <w:footnote w:id="13">
    <w:p w14:paraId="57B62D25" w14:textId="7309D6BC" w:rsidR="00F1001F" w:rsidRDefault="00F1001F" w:rsidP="000F00C7">
      <w:pPr>
        <w:pStyle w:val="FootnoteText"/>
      </w:pPr>
      <w:r>
        <w:rPr>
          <w:rStyle w:val="FootnoteReference"/>
        </w:rPr>
        <w:t>*</w:t>
      </w:r>
      <w:r>
        <w:t xml:space="preserve"> </w:t>
      </w:r>
      <w:r w:rsidR="00680E2A">
        <w:t>The authors completed this work in</w:t>
      </w:r>
      <w:r>
        <w:t xml:space="preserve"> </w:t>
      </w:r>
      <w:r w:rsidRPr="00F1001F">
        <w:t>Macroeconomic Analysis and Policy Division, Macroeconomic Group. The authors would like to thank Iris Day, Jonathan Hambur and Patrick Hartigan for their helpful feedback and assistance in the construction of this article. The views expressed are those of the authors and do not necessarily reflect those of The Australian Treasury or the Australian Government.</w:t>
      </w:r>
      <w:r w:rsidR="0078269D">
        <w:t xml:space="preserve"> This article uses data from </w:t>
      </w:r>
      <w:r w:rsidR="0078269D">
        <w:t xml:space="preserve">Lightcast (see Data </w:t>
      </w:r>
      <w:r w:rsidR="00854A41">
        <w:t>D</w:t>
      </w:r>
      <w:r w:rsidR="0078269D">
        <w:t>isclaimers below).</w:t>
      </w:r>
      <w:r w:rsidR="00AD70BA">
        <w:t xml:space="preserve"> </w:t>
      </w:r>
    </w:p>
  </w:footnote>
  <w:footnote w:id="14">
    <w:p w14:paraId="44662AA3" w14:textId="77777777" w:rsidR="00BF0CE3" w:rsidRDefault="00BF0CE3" w:rsidP="000F00C7">
      <w:pPr>
        <w:pStyle w:val="FootnoteText"/>
        <w:spacing w:after="0"/>
      </w:pPr>
      <w:r>
        <w:rPr>
          <w:rStyle w:val="FootnoteReference"/>
        </w:rPr>
        <w:t>1</w:t>
      </w:r>
      <w:r>
        <w:t xml:space="preserve"> </w:t>
      </w:r>
      <w:r>
        <w:t xml:space="preserve">Lightcast was previously known as Emsi Burning Glass. </w:t>
      </w:r>
    </w:p>
  </w:footnote>
  <w:footnote w:id="15">
    <w:p w14:paraId="1E7E92CC" w14:textId="7E2B0B74" w:rsidR="00BF0CE3" w:rsidRDefault="00BF0CE3" w:rsidP="000F00C7">
      <w:pPr>
        <w:pStyle w:val="FootnoteText"/>
      </w:pPr>
      <w:r>
        <w:rPr>
          <w:rStyle w:val="FootnoteReference"/>
        </w:rPr>
        <w:t>2</w:t>
      </w:r>
      <w:r>
        <w:t xml:space="preserve"> Data will necessarily only include job ads posted online and will not perfectly represent the number of new hires in the economy. </w:t>
      </w:r>
    </w:p>
  </w:footnote>
  <w:footnote w:id="16">
    <w:p w14:paraId="573E98B8" w14:textId="0F0E6736" w:rsidR="00BF0CE3" w:rsidRDefault="00BF0CE3" w:rsidP="000F00C7">
      <w:pPr>
        <w:pStyle w:val="FootnoteText"/>
      </w:pPr>
      <w:r>
        <w:rPr>
          <w:rStyle w:val="FootnoteReference"/>
        </w:rPr>
        <w:t>3</w:t>
      </w:r>
      <w:r>
        <w:t xml:space="preserve"> </w:t>
      </w:r>
      <w:r w:rsidRPr="002866A6">
        <w:t xml:space="preserve">A </w:t>
      </w:r>
      <w:r w:rsidRPr="002F7124">
        <w:t>recent report</w:t>
      </w:r>
      <w:r w:rsidRPr="002866A6">
        <w:t xml:space="preserve"> by the National Skills Commission indicates that digital skills are growing in Australia, and that this demand is creating new occupations. However, the report also notes Australia remains behind Singapore, the US and Canada</w:t>
      </w:r>
      <w:r>
        <w:t xml:space="preserve"> (Hope et al</w:t>
      </w:r>
      <w:r w:rsidR="00CB4374">
        <w:t>.</w:t>
      </w:r>
      <w:r>
        <w:t xml:space="preserve"> 2022)</w:t>
      </w:r>
      <w:r w:rsidRPr="002866A6">
        <w:t>.</w:t>
      </w:r>
    </w:p>
  </w:footnote>
  <w:footnote w:id="17">
    <w:p w14:paraId="24B479EF" w14:textId="24B5BC1B" w:rsidR="004B3608" w:rsidRDefault="004B3608" w:rsidP="000F00C7">
      <w:pPr>
        <w:pStyle w:val="FootnoteText"/>
      </w:pPr>
      <w:r w:rsidRPr="003633F4">
        <w:rPr>
          <w:rStyle w:val="FootnoteReference"/>
        </w:rPr>
        <w:t>*</w:t>
      </w:r>
      <w:r w:rsidRPr="003633F4">
        <w:t xml:space="preserve"> </w:t>
      </w:r>
      <w:r w:rsidR="00680E2A">
        <w:t>Patrick Hartigan completed this work in</w:t>
      </w:r>
      <w:r w:rsidRPr="003633F4">
        <w:t xml:space="preserve"> </w:t>
      </w:r>
      <w:r w:rsidR="00BE6565" w:rsidRPr="003633F4">
        <w:t>Macroeconomic Analysis and Policy Division, Macroeconomic Group</w:t>
      </w:r>
      <w:r w:rsidR="003633F4" w:rsidRPr="003633F4">
        <w:t xml:space="preserve">. </w:t>
      </w:r>
      <w:r w:rsidR="0097332E">
        <w:t>Jonathan Hambur completed some of this work while on secondment from the R</w:t>
      </w:r>
      <w:r w:rsidR="0097076D">
        <w:t>eserve Bank of Australia</w:t>
      </w:r>
      <w:r w:rsidR="0097332E">
        <w:t xml:space="preserve"> to Treasury. </w:t>
      </w:r>
      <w:r w:rsidR="00BE6565" w:rsidRPr="003633F4">
        <w:t xml:space="preserve">The authors would like to thank </w:t>
      </w:r>
      <w:r w:rsidR="00B00E01" w:rsidRPr="003633F4">
        <w:t>the Gradient Institute and Dr Daniel Steinberg in particular</w:t>
      </w:r>
      <w:r w:rsidR="00250902">
        <w:t>, and participants in presentations to the ABS, Data Insights at DESE, and from the Productivity Commission</w:t>
      </w:r>
      <w:r w:rsidR="00BE6565" w:rsidRPr="003633F4">
        <w:t>.</w:t>
      </w:r>
      <w:r w:rsidR="00841E18">
        <w:t xml:space="preserve"> The authors would also like to thank participants at the 2022 Australian Conference of Economists for helpful feedback and suggestions.</w:t>
      </w:r>
      <w:r w:rsidR="00BE6565" w:rsidRPr="003633F4">
        <w:t xml:space="preserve"> The views expressed are those of the authors and do not necessarily reflect those of The Australian Treasury or the Australian Government.</w:t>
      </w:r>
      <w:r w:rsidR="002C446E" w:rsidRPr="003633F4">
        <w:t xml:space="preserve"> This article uses data from </w:t>
      </w:r>
      <w:r w:rsidR="003633F4" w:rsidRPr="003633F4">
        <w:t>BLADE/MADIP</w:t>
      </w:r>
      <w:r w:rsidR="002C446E" w:rsidRPr="003633F4">
        <w:t xml:space="preserve"> (see Data Disclaimers below).</w:t>
      </w:r>
    </w:p>
  </w:footnote>
  <w:footnote w:id="18">
    <w:p w14:paraId="35D6AD45" w14:textId="77777777" w:rsidR="00BE6565" w:rsidRDefault="00BE6565" w:rsidP="000F00C7">
      <w:pPr>
        <w:pStyle w:val="FootnoteText"/>
      </w:pPr>
      <w:r>
        <w:rPr>
          <w:rStyle w:val="FootnoteReference"/>
        </w:rPr>
        <w:footnoteRef/>
      </w:r>
      <w:r>
        <w:t xml:space="preserve"> </w:t>
      </w:r>
      <w:r w:rsidRPr="00DC62DE">
        <w:t>From here on, ‘graduates’ refers to bachelor’s degree graduates, unless specified otherwise.</w:t>
      </w:r>
    </w:p>
  </w:footnote>
  <w:footnote w:id="19">
    <w:p w14:paraId="718D4F20" w14:textId="6BB6CC5F" w:rsidR="00580C1D" w:rsidRDefault="00580C1D" w:rsidP="000F00C7">
      <w:pPr>
        <w:pStyle w:val="FootnoteText"/>
        <w:rPr>
          <w:sz w:val="18"/>
          <w:szCs w:val="18"/>
        </w:rPr>
      </w:pPr>
      <w:r>
        <w:rPr>
          <w:rStyle w:val="FootnoteReference"/>
        </w:rPr>
        <w:footnoteRef/>
      </w:r>
      <w:r>
        <w:t xml:space="preserve"> </w:t>
      </w:r>
      <w:r w:rsidRPr="00DC62DE">
        <w:t xml:space="preserve">The reforms were implemented in response to the Bradley Review and aimed to improve equity of access to higher education and to ensure there would be enough bachelor’s </w:t>
      </w:r>
      <w:r w:rsidR="00942DC6">
        <w:t xml:space="preserve">degree </w:t>
      </w:r>
      <w:r w:rsidRPr="00DC62DE">
        <w:t>graduates to meet the modern economy’s needs (Productivity Commission 2019).</w:t>
      </w:r>
    </w:p>
  </w:footnote>
  <w:footnote w:id="20">
    <w:p w14:paraId="102CB2DE" w14:textId="3C2FB37B" w:rsidR="002C0111" w:rsidRDefault="002C0111" w:rsidP="000F00C7">
      <w:pPr>
        <w:pStyle w:val="FootnoteText"/>
        <w:rPr>
          <w:sz w:val="18"/>
          <w:szCs w:val="18"/>
        </w:rPr>
      </w:pPr>
      <w:r>
        <w:rPr>
          <w:rStyle w:val="FootnoteReference"/>
          <w:sz w:val="18"/>
          <w:szCs w:val="18"/>
        </w:rPr>
        <w:footnoteRef/>
      </w:r>
      <w:r>
        <w:rPr>
          <w:sz w:val="18"/>
          <w:szCs w:val="18"/>
        </w:rPr>
        <w:t xml:space="preserve"> </w:t>
      </w:r>
      <w:r w:rsidRPr="00FF0856">
        <w:t>One of our key assumptions is that macroeconomic conditions do not affect the cohort of graduates, beyond whether to re</w:t>
      </w:r>
      <w:r w:rsidR="002B75D0">
        <w:noBreakHyphen/>
      </w:r>
      <w:r w:rsidRPr="00FF0856">
        <w:t>enrol in university post</w:t>
      </w:r>
      <w:r w:rsidR="002B75D0">
        <w:noBreakHyphen/>
      </w:r>
      <w:r w:rsidRPr="00FF0856">
        <w:t>graduation, which we account for in our model.</w:t>
      </w:r>
    </w:p>
  </w:footnote>
  <w:footnote w:id="21">
    <w:p w14:paraId="49544833" w14:textId="36FA6379" w:rsidR="002C0111" w:rsidRDefault="002C0111" w:rsidP="000F00C7">
      <w:pPr>
        <w:pStyle w:val="FootnoteText"/>
      </w:pPr>
      <w:r>
        <w:rPr>
          <w:rStyle w:val="FootnoteReference"/>
        </w:rPr>
        <w:footnoteRef/>
      </w:r>
      <w:r>
        <w:t xml:space="preserve"> </w:t>
      </w:r>
      <w:r w:rsidRPr="002C0111">
        <w:t xml:space="preserve">We estimate the causal forest models as per </w:t>
      </w:r>
      <w:r w:rsidRPr="002C0111">
        <w:t>Athey and Wager (2021). For a more technical discussion about causal forests, see Athey, Tibshinrani and Wager (2019).</w:t>
      </w:r>
    </w:p>
  </w:footnote>
  <w:footnote w:id="22">
    <w:p w14:paraId="4B5549BF" w14:textId="6FA8C762" w:rsidR="002C0111" w:rsidRPr="00CD7452" w:rsidRDefault="002C0111" w:rsidP="000F00C7">
      <w:pPr>
        <w:pStyle w:val="FootnoteText"/>
      </w:pPr>
      <w:r>
        <w:rPr>
          <w:rStyle w:val="FootnoteReference"/>
        </w:rPr>
        <w:footnoteRef/>
      </w:r>
      <w:r>
        <w:t xml:space="preserve"> Graduates have become more likely to re</w:t>
      </w:r>
      <w:r w:rsidR="002B75D0">
        <w:noBreakHyphen/>
      </w:r>
      <w:r>
        <w:t>enrol in post</w:t>
      </w:r>
      <w:r w:rsidR="002B75D0">
        <w:noBreakHyphen/>
      </w:r>
      <w:r>
        <w:t xml:space="preserve">graduate study since the reforms. </w:t>
      </w:r>
      <w:r w:rsidR="00AB1435">
        <w:t>T</w:t>
      </w:r>
      <w:r w:rsidR="00AB1435" w:rsidRPr="00AB1435">
        <w:t>his compositional change is lik</w:t>
      </w:r>
      <w:r w:rsidR="00131B31">
        <w:t>e</w:t>
      </w:r>
      <w:r w:rsidR="00AB1435" w:rsidRPr="00AB1435">
        <w:t xml:space="preserve">ly to have had </w:t>
      </w:r>
      <w:r w:rsidR="00AB1435">
        <w:t xml:space="preserve">a negative effect immediately following graduation, as </w:t>
      </w:r>
      <w:r w:rsidR="00073715">
        <w:t>more graduates re</w:t>
      </w:r>
      <w:r w:rsidR="00131B31">
        <w:t>-</w:t>
      </w:r>
      <w:r w:rsidR="00073715">
        <w:t xml:space="preserve">enrol rather </w:t>
      </w:r>
      <w:r w:rsidR="00131B31">
        <w:t xml:space="preserve">than </w:t>
      </w:r>
      <w:r w:rsidR="00073715">
        <w:t>enter work, and become positive as these gradu</w:t>
      </w:r>
      <w:r w:rsidR="00131B31">
        <w:t>a</w:t>
      </w:r>
      <w:r w:rsidR="00073715">
        <w:t>tes enter the workforce after their further studies.</w:t>
      </w:r>
    </w:p>
  </w:footnote>
  <w:footnote w:id="23">
    <w:p w14:paraId="7DD7B3B4" w14:textId="3B06988F" w:rsidR="002C0111" w:rsidRDefault="002C0111" w:rsidP="000F00C7">
      <w:pPr>
        <w:pStyle w:val="FootnoteText"/>
      </w:pPr>
      <w:r>
        <w:rPr>
          <w:rStyle w:val="FootnoteReference"/>
        </w:rPr>
        <w:footnoteRef/>
      </w:r>
      <w:r>
        <w:t xml:space="preserve"> The analysis is robust to using markets that grew faster than average, and the </w:t>
      </w:r>
      <w:r w:rsidR="00131B31">
        <w:t xml:space="preserve">10 </w:t>
      </w:r>
      <w:r>
        <w:t xml:space="preserve">fastest growing labour markets. We exclude very small markets with </w:t>
      </w:r>
      <w:r w:rsidR="00F429C8">
        <w:t xml:space="preserve">fewer </w:t>
      </w:r>
      <w:r>
        <w:t xml:space="preserve">than 500 graduates in 2011. </w:t>
      </w:r>
    </w:p>
  </w:footnote>
  <w:footnote w:id="24">
    <w:p w14:paraId="7F38969F" w14:textId="77777777" w:rsidR="002C0111" w:rsidRDefault="002C0111" w:rsidP="000F00C7">
      <w:pPr>
        <w:pStyle w:val="FootnoteText"/>
      </w:pPr>
      <w:r>
        <w:rPr>
          <w:rStyle w:val="FootnoteReference"/>
        </w:rPr>
        <w:footnoteRef/>
      </w:r>
      <w:r>
        <w:t xml:space="preserve"> If between 2009 and 2013 the distribution of graduates across subjects changed because of expectations of higher/lower future wage growth, our macro effect estimates would be understated and would not include these </w:t>
      </w:r>
      <w:r>
        <w:rPr>
          <w:i/>
          <w:iCs/>
        </w:rPr>
        <w:t xml:space="preserve">anticipated </w:t>
      </w:r>
      <w:r>
        <w:t xml:space="preserve">macro effects. </w:t>
      </w:r>
    </w:p>
  </w:footnote>
  <w:footnote w:id="25">
    <w:p w14:paraId="5C32C568" w14:textId="3B33F184" w:rsidR="006B6F4C" w:rsidRDefault="006B6F4C" w:rsidP="000F00C7">
      <w:pPr>
        <w:pStyle w:val="FootnoteText"/>
      </w:pPr>
      <w:r>
        <w:rPr>
          <w:rStyle w:val="FootnoteReference"/>
        </w:rPr>
        <w:t>*</w:t>
      </w:r>
      <w:r>
        <w:t xml:space="preserve"> </w:t>
      </w:r>
      <w:r w:rsidR="00680E2A">
        <w:t>The authors completed this work in</w:t>
      </w:r>
      <w:r>
        <w:t xml:space="preserve"> </w:t>
      </w:r>
      <w:r w:rsidRPr="00CA5C73">
        <w:t>Macroeconomic Analysis and Policy Division, Macroeconomic Group</w:t>
      </w:r>
      <w:r w:rsidR="00AA3CCB">
        <w:t>.</w:t>
      </w:r>
      <w:r w:rsidRPr="00AA3CCB">
        <w:t xml:space="preserve"> The authors would like to thank </w:t>
      </w:r>
      <w:r w:rsidR="00FC3438" w:rsidRPr="00AA3CCB">
        <w:t>Mark Cully, Rebecca Cassells, colleagues in Social Policy Division</w:t>
      </w:r>
      <w:r w:rsidRPr="00AA3CCB">
        <w:t xml:space="preserve">, and seminar participants at </w:t>
      </w:r>
      <w:r w:rsidR="00FC3438" w:rsidRPr="00AA3CCB">
        <w:t xml:space="preserve">the </w:t>
      </w:r>
      <w:r w:rsidRPr="00AA3CCB">
        <w:t>Treasury</w:t>
      </w:r>
      <w:r w:rsidR="002E340B">
        <w:t xml:space="preserve">, </w:t>
      </w:r>
      <w:r w:rsidRPr="00AA3CCB">
        <w:t>the Australian Conference of Economists 2022</w:t>
      </w:r>
      <w:r w:rsidR="002E340B">
        <w:t>, and the e61 Institute</w:t>
      </w:r>
      <w:r w:rsidR="00FC3438" w:rsidRPr="00AA3CCB">
        <w:t xml:space="preserve"> for helpful feedback and suggestions</w:t>
      </w:r>
      <w:r w:rsidR="002E340B">
        <w:t>. We also thank</w:t>
      </w:r>
      <w:r w:rsidR="00374B27">
        <w:t xml:space="preserve"> Pauline Grosjean and Kristen </w:t>
      </w:r>
      <w:r w:rsidR="00374B27">
        <w:t xml:space="preserve">Sobeck for invaluable comments on the related working paper. </w:t>
      </w:r>
      <w:r w:rsidRPr="00CA5C73">
        <w:t xml:space="preserve">The views expressed are those of the authors and do not necessarily reflect those of </w:t>
      </w:r>
      <w:r>
        <w:t>T</w:t>
      </w:r>
      <w:r w:rsidRPr="00CA5C73">
        <w:t>he Australian Treasury or the Australian Government.</w:t>
      </w:r>
      <w:r w:rsidRPr="000808B7">
        <w:t xml:space="preserve"> </w:t>
      </w:r>
      <w:r w:rsidR="00952DCD">
        <w:t>This article uses data from HILDA and Alife (see Data Disclaimers</w:t>
      </w:r>
      <w:r w:rsidR="004B4A48">
        <w:t xml:space="preserve"> below</w:t>
      </w:r>
      <w:r w:rsidR="00952DCD">
        <w:t>).</w:t>
      </w:r>
    </w:p>
    <w:p w14:paraId="22CC0425" w14:textId="06B94936" w:rsidR="006B6F4C" w:rsidRDefault="006B6F4C" w:rsidP="006B6F4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10126" w14:textId="77777777" w:rsidR="007E3D50" w:rsidRDefault="007E3D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DE967" w14:textId="77777777" w:rsidR="007E3D50" w:rsidRDefault="007E3D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F39A2" w14:textId="77777777" w:rsidR="007E3D50" w:rsidRDefault="007E3D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99B4C" w14:textId="369E2B4B" w:rsidR="006D3EE7" w:rsidRPr="007F53C0" w:rsidRDefault="00D7389E" w:rsidP="00BB18A1">
    <w:pPr>
      <w:pStyle w:val="Header"/>
    </w:pPr>
    <w:r>
      <w:t>Treasury Round Up</w:t>
    </w:r>
    <w:r w:rsidR="00FC2E34">
      <w:rPr>
        <w:noProof/>
      </w:rPr>
      <w:drawing>
        <wp:anchor distT="0" distB="0" distL="114300" distR="114300" simplePos="0" relativeHeight="251658240" behindDoc="1" locked="0" layoutInCell="1" allowOverlap="1" wp14:anchorId="2112A4DF" wp14:editId="161F36AE">
          <wp:simplePos x="0" y="0"/>
          <wp:positionH relativeFrom="page">
            <wp:align>left</wp:align>
          </wp:positionH>
          <wp:positionV relativeFrom="page">
            <wp:align>top</wp:align>
          </wp:positionV>
          <wp:extent cx="7524000" cy="1036800"/>
          <wp:effectExtent l="0" t="0" r="127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4000" cy="10368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 xml:space="preserve">  |  </w:t>
    </w:r>
    <w:r w:rsidR="00BE6E3E">
      <w:t>October</w:t>
    </w:r>
    <w:r>
      <w:t xml:space="preserv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F80778"/>
    <w:multiLevelType w:val="hybridMultilevel"/>
    <w:tmpl w:val="B8DC3E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6"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7"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8"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79C65FA"/>
    <w:multiLevelType w:val="hybridMultilevel"/>
    <w:tmpl w:val="E578E69C"/>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11" w15:restartNumberingAfterBreak="0">
    <w:nsid w:val="7D6B5224"/>
    <w:multiLevelType w:val="multilevel"/>
    <w:tmpl w:val="58D0B304"/>
    <w:lvl w:ilvl="0">
      <w:start w:val="1"/>
      <w:numFmt w:val="bullet"/>
      <w:pStyle w:val="Bullet"/>
      <w:lvlText w:val="•"/>
      <w:lvlJc w:val="left"/>
      <w:pPr>
        <w:tabs>
          <w:tab w:val="num" w:pos="1030"/>
        </w:tabs>
        <w:ind w:left="1030" w:hanging="520"/>
      </w:pPr>
      <w:rPr>
        <w:rFonts w:ascii="Times New Roman" w:hAnsi="Times New Roman" w:cs="Times New Roman"/>
        <w:color w:val="auto"/>
      </w:rPr>
    </w:lvl>
    <w:lvl w:ilvl="1">
      <w:start w:val="1"/>
      <w:numFmt w:val="bullet"/>
      <w:lvlText w:val="–"/>
      <w:lvlJc w:val="left"/>
      <w:pPr>
        <w:tabs>
          <w:tab w:val="num" w:pos="1550"/>
        </w:tabs>
        <w:ind w:left="1550" w:hanging="520"/>
      </w:pPr>
      <w:rPr>
        <w:rFonts w:ascii="Times New Roman" w:hAnsi="Times New Roman" w:cs="Times New Roman"/>
      </w:rPr>
    </w:lvl>
    <w:lvl w:ilvl="2">
      <w:start w:val="1"/>
      <w:numFmt w:val="bullet"/>
      <w:lvlText w:val=":"/>
      <w:lvlJc w:val="left"/>
      <w:pPr>
        <w:tabs>
          <w:tab w:val="num" w:pos="2070"/>
        </w:tabs>
        <w:ind w:left="2070" w:hanging="520"/>
      </w:pPr>
      <w:rPr>
        <w:rFonts w:ascii="Times New Roman" w:hAnsi="Times New Roman" w:cs="Times New Roman"/>
      </w:rPr>
    </w:lvl>
    <w:lvl w:ilvl="3">
      <w:start w:val="1"/>
      <w:numFmt w:val="decimal"/>
      <w:lvlText w:val="(%4)"/>
      <w:lvlJc w:val="left"/>
      <w:pPr>
        <w:ind w:left="1950" w:hanging="360"/>
      </w:pPr>
    </w:lvl>
    <w:lvl w:ilvl="4">
      <w:start w:val="1"/>
      <w:numFmt w:val="lowerLetter"/>
      <w:lvlText w:val="(%5)"/>
      <w:lvlJc w:val="left"/>
      <w:pPr>
        <w:ind w:left="2310" w:hanging="360"/>
      </w:pPr>
    </w:lvl>
    <w:lvl w:ilvl="5">
      <w:start w:val="1"/>
      <w:numFmt w:val="lowerRoman"/>
      <w:lvlText w:val="(%6)"/>
      <w:lvlJc w:val="left"/>
      <w:pPr>
        <w:ind w:left="2670" w:hanging="360"/>
      </w:pPr>
    </w:lvl>
    <w:lvl w:ilvl="6">
      <w:start w:val="1"/>
      <w:numFmt w:val="decimal"/>
      <w:lvlText w:val="%7."/>
      <w:lvlJc w:val="left"/>
      <w:pPr>
        <w:ind w:left="3030" w:hanging="360"/>
      </w:pPr>
    </w:lvl>
    <w:lvl w:ilvl="7">
      <w:start w:val="1"/>
      <w:numFmt w:val="lowerLetter"/>
      <w:lvlText w:val="%8."/>
      <w:lvlJc w:val="left"/>
      <w:pPr>
        <w:ind w:left="3390" w:hanging="360"/>
      </w:pPr>
    </w:lvl>
    <w:lvl w:ilvl="8">
      <w:start w:val="1"/>
      <w:numFmt w:val="lowerRoman"/>
      <w:lvlText w:val="%9."/>
      <w:lvlJc w:val="left"/>
      <w:pPr>
        <w:ind w:left="3750" w:hanging="360"/>
      </w:pPr>
    </w:lvl>
  </w:abstractNum>
  <w:num w:numId="1">
    <w:abstractNumId w:val="3"/>
  </w:num>
  <w:num w:numId="2">
    <w:abstractNumId w:val="9"/>
  </w:num>
  <w:num w:numId="3">
    <w:abstractNumId w:val="7"/>
  </w:num>
  <w:num w:numId="4">
    <w:abstractNumId w:val="8"/>
  </w:num>
  <w:num w:numId="5">
    <w:abstractNumId w:val="5"/>
  </w:num>
  <w:num w:numId="6">
    <w:abstractNumId w:val="0"/>
  </w:num>
  <w:num w:numId="7">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6"/>
  </w:num>
  <w:num w:numId="10">
    <w:abstractNumId w:val="2"/>
  </w:num>
  <w:num w:numId="11">
    <w:abstractNumId w:val="4"/>
  </w:num>
  <w:num w:numId="12">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E55870"/>
    <w:rsid w:val="000009B1"/>
    <w:rsid w:val="00000C7E"/>
    <w:rsid w:val="00000E4D"/>
    <w:rsid w:val="0000162B"/>
    <w:rsid w:val="00002776"/>
    <w:rsid w:val="00003922"/>
    <w:rsid w:val="00004026"/>
    <w:rsid w:val="0000407B"/>
    <w:rsid w:val="00004FAB"/>
    <w:rsid w:val="000050AA"/>
    <w:rsid w:val="00005DDE"/>
    <w:rsid w:val="000065DA"/>
    <w:rsid w:val="00007417"/>
    <w:rsid w:val="00010838"/>
    <w:rsid w:val="00010CE4"/>
    <w:rsid w:val="000121DD"/>
    <w:rsid w:val="00012BF2"/>
    <w:rsid w:val="00013B69"/>
    <w:rsid w:val="00014455"/>
    <w:rsid w:val="00015A7F"/>
    <w:rsid w:val="00015C2A"/>
    <w:rsid w:val="00015E7D"/>
    <w:rsid w:val="00016015"/>
    <w:rsid w:val="00016670"/>
    <w:rsid w:val="0001683D"/>
    <w:rsid w:val="00016AFF"/>
    <w:rsid w:val="00016B6C"/>
    <w:rsid w:val="0001718B"/>
    <w:rsid w:val="000177E8"/>
    <w:rsid w:val="00017B78"/>
    <w:rsid w:val="00020051"/>
    <w:rsid w:val="000202FE"/>
    <w:rsid w:val="00020D9C"/>
    <w:rsid w:val="0002151A"/>
    <w:rsid w:val="00021D2B"/>
    <w:rsid w:val="0002288E"/>
    <w:rsid w:val="000239E4"/>
    <w:rsid w:val="00023B6B"/>
    <w:rsid w:val="000263C0"/>
    <w:rsid w:val="000264E6"/>
    <w:rsid w:val="00027926"/>
    <w:rsid w:val="00027C08"/>
    <w:rsid w:val="00030884"/>
    <w:rsid w:val="0003099A"/>
    <w:rsid w:val="00031597"/>
    <w:rsid w:val="00031914"/>
    <w:rsid w:val="00032AA0"/>
    <w:rsid w:val="000336F7"/>
    <w:rsid w:val="00033798"/>
    <w:rsid w:val="00033942"/>
    <w:rsid w:val="00034146"/>
    <w:rsid w:val="00034D65"/>
    <w:rsid w:val="00035470"/>
    <w:rsid w:val="00035B9D"/>
    <w:rsid w:val="0003745F"/>
    <w:rsid w:val="00040575"/>
    <w:rsid w:val="00040848"/>
    <w:rsid w:val="00040FC6"/>
    <w:rsid w:val="00041358"/>
    <w:rsid w:val="00041F6D"/>
    <w:rsid w:val="0004217D"/>
    <w:rsid w:val="000421F9"/>
    <w:rsid w:val="00044192"/>
    <w:rsid w:val="00044559"/>
    <w:rsid w:val="00045755"/>
    <w:rsid w:val="00045C24"/>
    <w:rsid w:val="00046A88"/>
    <w:rsid w:val="00052ED1"/>
    <w:rsid w:val="00056626"/>
    <w:rsid w:val="00057683"/>
    <w:rsid w:val="000602E8"/>
    <w:rsid w:val="00060AB8"/>
    <w:rsid w:val="00060C76"/>
    <w:rsid w:val="000634B4"/>
    <w:rsid w:val="000638E5"/>
    <w:rsid w:val="0006472C"/>
    <w:rsid w:val="00065F99"/>
    <w:rsid w:val="0006656B"/>
    <w:rsid w:val="00067E65"/>
    <w:rsid w:val="0007047A"/>
    <w:rsid w:val="0007133E"/>
    <w:rsid w:val="000719CF"/>
    <w:rsid w:val="00073070"/>
    <w:rsid w:val="000731F4"/>
    <w:rsid w:val="00073715"/>
    <w:rsid w:val="00073ED6"/>
    <w:rsid w:val="000753CE"/>
    <w:rsid w:val="00076821"/>
    <w:rsid w:val="00080838"/>
    <w:rsid w:val="00082A38"/>
    <w:rsid w:val="000832A3"/>
    <w:rsid w:val="00085745"/>
    <w:rsid w:val="00086D63"/>
    <w:rsid w:val="00090050"/>
    <w:rsid w:val="000915D9"/>
    <w:rsid w:val="00093AA1"/>
    <w:rsid w:val="00094A0F"/>
    <w:rsid w:val="00094B4F"/>
    <w:rsid w:val="0009678D"/>
    <w:rsid w:val="00097A3F"/>
    <w:rsid w:val="000A1CD2"/>
    <w:rsid w:val="000A2B50"/>
    <w:rsid w:val="000A2F8F"/>
    <w:rsid w:val="000A4495"/>
    <w:rsid w:val="000A4B9F"/>
    <w:rsid w:val="000A4D2D"/>
    <w:rsid w:val="000A5784"/>
    <w:rsid w:val="000A7387"/>
    <w:rsid w:val="000A7C94"/>
    <w:rsid w:val="000A7F87"/>
    <w:rsid w:val="000B0841"/>
    <w:rsid w:val="000B0BB7"/>
    <w:rsid w:val="000B0CD6"/>
    <w:rsid w:val="000B1EC3"/>
    <w:rsid w:val="000B2B9F"/>
    <w:rsid w:val="000B3128"/>
    <w:rsid w:val="000B3C90"/>
    <w:rsid w:val="000B49E5"/>
    <w:rsid w:val="000B5EDA"/>
    <w:rsid w:val="000B6B67"/>
    <w:rsid w:val="000B7AD7"/>
    <w:rsid w:val="000B7DA4"/>
    <w:rsid w:val="000C02C9"/>
    <w:rsid w:val="000C0833"/>
    <w:rsid w:val="000C29E8"/>
    <w:rsid w:val="000C2C1D"/>
    <w:rsid w:val="000C43EF"/>
    <w:rsid w:val="000C4CE3"/>
    <w:rsid w:val="000C5EB0"/>
    <w:rsid w:val="000C6004"/>
    <w:rsid w:val="000C6159"/>
    <w:rsid w:val="000C6E3C"/>
    <w:rsid w:val="000C7742"/>
    <w:rsid w:val="000C7BE8"/>
    <w:rsid w:val="000D2E20"/>
    <w:rsid w:val="000D33F2"/>
    <w:rsid w:val="000D34E3"/>
    <w:rsid w:val="000D3B1E"/>
    <w:rsid w:val="000D6093"/>
    <w:rsid w:val="000D60E5"/>
    <w:rsid w:val="000D79F5"/>
    <w:rsid w:val="000D7D2F"/>
    <w:rsid w:val="000E0E9B"/>
    <w:rsid w:val="000E161B"/>
    <w:rsid w:val="000E2E34"/>
    <w:rsid w:val="000E324C"/>
    <w:rsid w:val="000E397A"/>
    <w:rsid w:val="000E62D6"/>
    <w:rsid w:val="000E67B8"/>
    <w:rsid w:val="000E78B8"/>
    <w:rsid w:val="000F00C7"/>
    <w:rsid w:val="000F0C0B"/>
    <w:rsid w:val="000F0DB3"/>
    <w:rsid w:val="000F0EC1"/>
    <w:rsid w:val="000F20D3"/>
    <w:rsid w:val="000F2493"/>
    <w:rsid w:val="000F2562"/>
    <w:rsid w:val="000F33C9"/>
    <w:rsid w:val="000F3546"/>
    <w:rsid w:val="000F42D2"/>
    <w:rsid w:val="000F5823"/>
    <w:rsid w:val="000F59FD"/>
    <w:rsid w:val="000F62A6"/>
    <w:rsid w:val="000F6FA0"/>
    <w:rsid w:val="000F79A9"/>
    <w:rsid w:val="00101D6F"/>
    <w:rsid w:val="00102238"/>
    <w:rsid w:val="0010259A"/>
    <w:rsid w:val="0010302F"/>
    <w:rsid w:val="0010369A"/>
    <w:rsid w:val="00104825"/>
    <w:rsid w:val="00104CA7"/>
    <w:rsid w:val="00105EBE"/>
    <w:rsid w:val="00106578"/>
    <w:rsid w:val="00107038"/>
    <w:rsid w:val="001072CE"/>
    <w:rsid w:val="00110CA0"/>
    <w:rsid w:val="001112C2"/>
    <w:rsid w:val="00111B78"/>
    <w:rsid w:val="0011210D"/>
    <w:rsid w:val="00112143"/>
    <w:rsid w:val="0011252E"/>
    <w:rsid w:val="001127A5"/>
    <w:rsid w:val="001145FD"/>
    <w:rsid w:val="001147D0"/>
    <w:rsid w:val="00115B2E"/>
    <w:rsid w:val="00115E0E"/>
    <w:rsid w:val="0011628E"/>
    <w:rsid w:val="001168AC"/>
    <w:rsid w:val="00116C65"/>
    <w:rsid w:val="00117754"/>
    <w:rsid w:val="00117B3E"/>
    <w:rsid w:val="00121DD4"/>
    <w:rsid w:val="00122A14"/>
    <w:rsid w:val="00123DD3"/>
    <w:rsid w:val="001240BD"/>
    <w:rsid w:val="001243AE"/>
    <w:rsid w:val="00124EC4"/>
    <w:rsid w:val="00126108"/>
    <w:rsid w:val="00126C00"/>
    <w:rsid w:val="0012729F"/>
    <w:rsid w:val="001272EF"/>
    <w:rsid w:val="00127C18"/>
    <w:rsid w:val="00130406"/>
    <w:rsid w:val="00131B31"/>
    <w:rsid w:val="00132184"/>
    <w:rsid w:val="00134183"/>
    <w:rsid w:val="00135CE3"/>
    <w:rsid w:val="00135E0F"/>
    <w:rsid w:val="001363E7"/>
    <w:rsid w:val="001376CC"/>
    <w:rsid w:val="00137EE9"/>
    <w:rsid w:val="00140697"/>
    <w:rsid w:val="0014178A"/>
    <w:rsid w:val="00141D5C"/>
    <w:rsid w:val="001420ED"/>
    <w:rsid w:val="00143706"/>
    <w:rsid w:val="00144B84"/>
    <w:rsid w:val="0014565D"/>
    <w:rsid w:val="00145F20"/>
    <w:rsid w:val="00146777"/>
    <w:rsid w:val="00146CBA"/>
    <w:rsid w:val="00147D2A"/>
    <w:rsid w:val="00150011"/>
    <w:rsid w:val="00151014"/>
    <w:rsid w:val="00151597"/>
    <w:rsid w:val="00151CEF"/>
    <w:rsid w:val="00152B81"/>
    <w:rsid w:val="001532E7"/>
    <w:rsid w:val="00154868"/>
    <w:rsid w:val="00154F6F"/>
    <w:rsid w:val="0015577B"/>
    <w:rsid w:val="00155D7B"/>
    <w:rsid w:val="001578CE"/>
    <w:rsid w:val="00157915"/>
    <w:rsid w:val="00157B6F"/>
    <w:rsid w:val="00160988"/>
    <w:rsid w:val="00161D1C"/>
    <w:rsid w:val="00162551"/>
    <w:rsid w:val="00162984"/>
    <w:rsid w:val="00163402"/>
    <w:rsid w:val="0016352A"/>
    <w:rsid w:val="001649D8"/>
    <w:rsid w:val="00165653"/>
    <w:rsid w:val="00166A45"/>
    <w:rsid w:val="00166B2E"/>
    <w:rsid w:val="00167067"/>
    <w:rsid w:val="0016720F"/>
    <w:rsid w:val="00167695"/>
    <w:rsid w:val="00167B7A"/>
    <w:rsid w:val="00167DEC"/>
    <w:rsid w:val="00170BEE"/>
    <w:rsid w:val="00170C97"/>
    <w:rsid w:val="001712FC"/>
    <w:rsid w:val="001733B3"/>
    <w:rsid w:val="00173D6B"/>
    <w:rsid w:val="00173F24"/>
    <w:rsid w:val="001747CD"/>
    <w:rsid w:val="00174954"/>
    <w:rsid w:val="0017559E"/>
    <w:rsid w:val="00177070"/>
    <w:rsid w:val="0017778B"/>
    <w:rsid w:val="00180428"/>
    <w:rsid w:val="00181EED"/>
    <w:rsid w:val="00182038"/>
    <w:rsid w:val="001821E4"/>
    <w:rsid w:val="00182E9E"/>
    <w:rsid w:val="0018381D"/>
    <w:rsid w:val="00183F40"/>
    <w:rsid w:val="00187345"/>
    <w:rsid w:val="00190216"/>
    <w:rsid w:val="00190C4A"/>
    <w:rsid w:val="00190D7B"/>
    <w:rsid w:val="001912C5"/>
    <w:rsid w:val="00191F39"/>
    <w:rsid w:val="00192367"/>
    <w:rsid w:val="001929D8"/>
    <w:rsid w:val="00192F06"/>
    <w:rsid w:val="00194A05"/>
    <w:rsid w:val="00194C40"/>
    <w:rsid w:val="00194D88"/>
    <w:rsid w:val="00195A80"/>
    <w:rsid w:val="00197414"/>
    <w:rsid w:val="001A2458"/>
    <w:rsid w:val="001A3497"/>
    <w:rsid w:val="001A44A8"/>
    <w:rsid w:val="001A4E2D"/>
    <w:rsid w:val="001A4EE3"/>
    <w:rsid w:val="001A5155"/>
    <w:rsid w:val="001A5278"/>
    <w:rsid w:val="001A5DCC"/>
    <w:rsid w:val="001A730B"/>
    <w:rsid w:val="001A76A3"/>
    <w:rsid w:val="001A7902"/>
    <w:rsid w:val="001B0322"/>
    <w:rsid w:val="001B069A"/>
    <w:rsid w:val="001B2564"/>
    <w:rsid w:val="001B314D"/>
    <w:rsid w:val="001B37A4"/>
    <w:rsid w:val="001B3A29"/>
    <w:rsid w:val="001B472C"/>
    <w:rsid w:val="001B540E"/>
    <w:rsid w:val="001B621D"/>
    <w:rsid w:val="001B6531"/>
    <w:rsid w:val="001B7F37"/>
    <w:rsid w:val="001C0B1D"/>
    <w:rsid w:val="001C0E9C"/>
    <w:rsid w:val="001C11E1"/>
    <w:rsid w:val="001C1C72"/>
    <w:rsid w:val="001C25C2"/>
    <w:rsid w:val="001C3FD7"/>
    <w:rsid w:val="001C5117"/>
    <w:rsid w:val="001C54AD"/>
    <w:rsid w:val="001C620A"/>
    <w:rsid w:val="001C6EBB"/>
    <w:rsid w:val="001C78AE"/>
    <w:rsid w:val="001C7BF0"/>
    <w:rsid w:val="001D29EB"/>
    <w:rsid w:val="001D2DB6"/>
    <w:rsid w:val="001D4449"/>
    <w:rsid w:val="001D45A4"/>
    <w:rsid w:val="001D4EFA"/>
    <w:rsid w:val="001D6085"/>
    <w:rsid w:val="001D6398"/>
    <w:rsid w:val="001D734D"/>
    <w:rsid w:val="001E07C9"/>
    <w:rsid w:val="001E29B4"/>
    <w:rsid w:val="001E557A"/>
    <w:rsid w:val="001E5623"/>
    <w:rsid w:val="001E61CF"/>
    <w:rsid w:val="001E67C5"/>
    <w:rsid w:val="001E68A0"/>
    <w:rsid w:val="001E6D44"/>
    <w:rsid w:val="001E6DC2"/>
    <w:rsid w:val="001E6FA6"/>
    <w:rsid w:val="001E7502"/>
    <w:rsid w:val="001E7840"/>
    <w:rsid w:val="001E7CF5"/>
    <w:rsid w:val="001F09E3"/>
    <w:rsid w:val="001F18E1"/>
    <w:rsid w:val="001F1F0E"/>
    <w:rsid w:val="001F214D"/>
    <w:rsid w:val="001F4662"/>
    <w:rsid w:val="001F50DA"/>
    <w:rsid w:val="001F57F2"/>
    <w:rsid w:val="001F78BB"/>
    <w:rsid w:val="002006E2"/>
    <w:rsid w:val="002014F6"/>
    <w:rsid w:val="00202231"/>
    <w:rsid w:val="0020262C"/>
    <w:rsid w:val="00202AD5"/>
    <w:rsid w:val="00202C9C"/>
    <w:rsid w:val="00202EC3"/>
    <w:rsid w:val="00202FBB"/>
    <w:rsid w:val="00203245"/>
    <w:rsid w:val="0020324B"/>
    <w:rsid w:val="002040A7"/>
    <w:rsid w:val="00204F25"/>
    <w:rsid w:val="00205E7C"/>
    <w:rsid w:val="00205F44"/>
    <w:rsid w:val="0020642E"/>
    <w:rsid w:val="002066E2"/>
    <w:rsid w:val="00206F28"/>
    <w:rsid w:val="0020760B"/>
    <w:rsid w:val="00207E0D"/>
    <w:rsid w:val="002105F8"/>
    <w:rsid w:val="0021283A"/>
    <w:rsid w:val="00214C5E"/>
    <w:rsid w:val="00215766"/>
    <w:rsid w:val="00215885"/>
    <w:rsid w:val="00215EE7"/>
    <w:rsid w:val="002219BC"/>
    <w:rsid w:val="002219CA"/>
    <w:rsid w:val="00221ADE"/>
    <w:rsid w:val="00221FA9"/>
    <w:rsid w:val="002229FD"/>
    <w:rsid w:val="00223D87"/>
    <w:rsid w:val="00223E12"/>
    <w:rsid w:val="002245BB"/>
    <w:rsid w:val="00225F20"/>
    <w:rsid w:val="0022653C"/>
    <w:rsid w:val="002268AB"/>
    <w:rsid w:val="00226C1E"/>
    <w:rsid w:val="00226F00"/>
    <w:rsid w:val="00226FD0"/>
    <w:rsid w:val="0022749C"/>
    <w:rsid w:val="00227C77"/>
    <w:rsid w:val="0023042B"/>
    <w:rsid w:val="00230487"/>
    <w:rsid w:val="00230BF5"/>
    <w:rsid w:val="00230F18"/>
    <w:rsid w:val="0023118F"/>
    <w:rsid w:val="002319CA"/>
    <w:rsid w:val="002323AE"/>
    <w:rsid w:val="00232B2C"/>
    <w:rsid w:val="0023382B"/>
    <w:rsid w:val="00233887"/>
    <w:rsid w:val="00233A88"/>
    <w:rsid w:val="00234D23"/>
    <w:rsid w:val="00235633"/>
    <w:rsid w:val="00235758"/>
    <w:rsid w:val="00236475"/>
    <w:rsid w:val="00236F62"/>
    <w:rsid w:val="00237350"/>
    <w:rsid w:val="00240A23"/>
    <w:rsid w:val="00241B9A"/>
    <w:rsid w:val="00241D0D"/>
    <w:rsid w:val="0024226F"/>
    <w:rsid w:val="00242D42"/>
    <w:rsid w:val="00243792"/>
    <w:rsid w:val="00244CF8"/>
    <w:rsid w:val="00245342"/>
    <w:rsid w:val="002458E4"/>
    <w:rsid w:val="0024597D"/>
    <w:rsid w:val="00245F82"/>
    <w:rsid w:val="002462BD"/>
    <w:rsid w:val="00246447"/>
    <w:rsid w:val="00246502"/>
    <w:rsid w:val="00246BF1"/>
    <w:rsid w:val="00246D0E"/>
    <w:rsid w:val="00250902"/>
    <w:rsid w:val="0025108C"/>
    <w:rsid w:val="00251E42"/>
    <w:rsid w:val="0025216A"/>
    <w:rsid w:val="002531E9"/>
    <w:rsid w:val="002538D6"/>
    <w:rsid w:val="002547ED"/>
    <w:rsid w:val="002556FA"/>
    <w:rsid w:val="00256484"/>
    <w:rsid w:val="002569BF"/>
    <w:rsid w:val="00256B69"/>
    <w:rsid w:val="00256F11"/>
    <w:rsid w:val="00256F9C"/>
    <w:rsid w:val="002570F0"/>
    <w:rsid w:val="002573A2"/>
    <w:rsid w:val="00260712"/>
    <w:rsid w:val="00260B80"/>
    <w:rsid w:val="00261FE3"/>
    <w:rsid w:val="00262A02"/>
    <w:rsid w:val="00263339"/>
    <w:rsid w:val="0026411F"/>
    <w:rsid w:val="00264BA1"/>
    <w:rsid w:val="002660D1"/>
    <w:rsid w:val="00267210"/>
    <w:rsid w:val="00270113"/>
    <w:rsid w:val="0027033A"/>
    <w:rsid w:val="00271086"/>
    <w:rsid w:val="00273ECE"/>
    <w:rsid w:val="00274144"/>
    <w:rsid w:val="00274F0B"/>
    <w:rsid w:val="002753DE"/>
    <w:rsid w:val="00275951"/>
    <w:rsid w:val="00275FB2"/>
    <w:rsid w:val="0027702C"/>
    <w:rsid w:val="00277A26"/>
    <w:rsid w:val="00277E81"/>
    <w:rsid w:val="00280405"/>
    <w:rsid w:val="002809F6"/>
    <w:rsid w:val="00281128"/>
    <w:rsid w:val="002829F6"/>
    <w:rsid w:val="00282EDB"/>
    <w:rsid w:val="00282F6F"/>
    <w:rsid w:val="00283303"/>
    <w:rsid w:val="002838D5"/>
    <w:rsid w:val="00284542"/>
    <w:rsid w:val="00285404"/>
    <w:rsid w:val="0028543F"/>
    <w:rsid w:val="00287F32"/>
    <w:rsid w:val="00290907"/>
    <w:rsid w:val="00290EE9"/>
    <w:rsid w:val="002912E9"/>
    <w:rsid w:val="0029134D"/>
    <w:rsid w:val="002916A2"/>
    <w:rsid w:val="00292835"/>
    <w:rsid w:val="00292CA9"/>
    <w:rsid w:val="00292CE0"/>
    <w:rsid w:val="00293248"/>
    <w:rsid w:val="00295561"/>
    <w:rsid w:val="00295DEB"/>
    <w:rsid w:val="00296905"/>
    <w:rsid w:val="002978C8"/>
    <w:rsid w:val="00297D81"/>
    <w:rsid w:val="002A0120"/>
    <w:rsid w:val="002A0B32"/>
    <w:rsid w:val="002A25AF"/>
    <w:rsid w:val="002A3A6D"/>
    <w:rsid w:val="002A413F"/>
    <w:rsid w:val="002A4B83"/>
    <w:rsid w:val="002A607E"/>
    <w:rsid w:val="002A6363"/>
    <w:rsid w:val="002A6430"/>
    <w:rsid w:val="002A7302"/>
    <w:rsid w:val="002A79C5"/>
    <w:rsid w:val="002B63AA"/>
    <w:rsid w:val="002B6A89"/>
    <w:rsid w:val="002B75D0"/>
    <w:rsid w:val="002B7ADB"/>
    <w:rsid w:val="002B7C5A"/>
    <w:rsid w:val="002C0111"/>
    <w:rsid w:val="002C08E6"/>
    <w:rsid w:val="002C0C50"/>
    <w:rsid w:val="002C1120"/>
    <w:rsid w:val="002C26D9"/>
    <w:rsid w:val="002C3909"/>
    <w:rsid w:val="002C446E"/>
    <w:rsid w:val="002C54B8"/>
    <w:rsid w:val="002C611C"/>
    <w:rsid w:val="002C6F5A"/>
    <w:rsid w:val="002D06A0"/>
    <w:rsid w:val="002D2498"/>
    <w:rsid w:val="002D3663"/>
    <w:rsid w:val="002D40F0"/>
    <w:rsid w:val="002D49D1"/>
    <w:rsid w:val="002D4AE7"/>
    <w:rsid w:val="002D752E"/>
    <w:rsid w:val="002D7E5E"/>
    <w:rsid w:val="002E03F5"/>
    <w:rsid w:val="002E1E92"/>
    <w:rsid w:val="002E22BB"/>
    <w:rsid w:val="002E2F86"/>
    <w:rsid w:val="002E301F"/>
    <w:rsid w:val="002E340B"/>
    <w:rsid w:val="002E45FA"/>
    <w:rsid w:val="002E4B15"/>
    <w:rsid w:val="002E4DAA"/>
    <w:rsid w:val="002E55E4"/>
    <w:rsid w:val="002E6417"/>
    <w:rsid w:val="002F0061"/>
    <w:rsid w:val="002F36F4"/>
    <w:rsid w:val="002F417B"/>
    <w:rsid w:val="002F57D8"/>
    <w:rsid w:val="002F5D06"/>
    <w:rsid w:val="002F5EDA"/>
    <w:rsid w:val="002F63F6"/>
    <w:rsid w:val="002F6ADC"/>
    <w:rsid w:val="002F6BD8"/>
    <w:rsid w:val="002F6DCF"/>
    <w:rsid w:val="003009F6"/>
    <w:rsid w:val="00300C95"/>
    <w:rsid w:val="00301753"/>
    <w:rsid w:val="00301DEE"/>
    <w:rsid w:val="00302052"/>
    <w:rsid w:val="00303168"/>
    <w:rsid w:val="00304650"/>
    <w:rsid w:val="003054A8"/>
    <w:rsid w:val="003064FD"/>
    <w:rsid w:val="00306770"/>
    <w:rsid w:val="003079C7"/>
    <w:rsid w:val="00307DA3"/>
    <w:rsid w:val="003100DB"/>
    <w:rsid w:val="00310233"/>
    <w:rsid w:val="003105E1"/>
    <w:rsid w:val="003128FE"/>
    <w:rsid w:val="003159BA"/>
    <w:rsid w:val="00315CE5"/>
    <w:rsid w:val="003162CA"/>
    <w:rsid w:val="00317326"/>
    <w:rsid w:val="00320399"/>
    <w:rsid w:val="00321A19"/>
    <w:rsid w:val="00321D86"/>
    <w:rsid w:val="00323188"/>
    <w:rsid w:val="0032335F"/>
    <w:rsid w:val="00327D31"/>
    <w:rsid w:val="003305CA"/>
    <w:rsid w:val="003309D1"/>
    <w:rsid w:val="00330AB8"/>
    <w:rsid w:val="003316B5"/>
    <w:rsid w:val="003327ED"/>
    <w:rsid w:val="003372E8"/>
    <w:rsid w:val="003378E9"/>
    <w:rsid w:val="00340128"/>
    <w:rsid w:val="003404E4"/>
    <w:rsid w:val="0034064A"/>
    <w:rsid w:val="00342666"/>
    <w:rsid w:val="00342AD6"/>
    <w:rsid w:val="00343297"/>
    <w:rsid w:val="003439C1"/>
    <w:rsid w:val="0034456B"/>
    <w:rsid w:val="00344DE6"/>
    <w:rsid w:val="0034564D"/>
    <w:rsid w:val="0034690E"/>
    <w:rsid w:val="00346AA6"/>
    <w:rsid w:val="0035013A"/>
    <w:rsid w:val="00350C75"/>
    <w:rsid w:val="00351CAA"/>
    <w:rsid w:val="0035239D"/>
    <w:rsid w:val="0035260A"/>
    <w:rsid w:val="00352EAD"/>
    <w:rsid w:val="00353390"/>
    <w:rsid w:val="00353BF0"/>
    <w:rsid w:val="00355CB3"/>
    <w:rsid w:val="00357842"/>
    <w:rsid w:val="00360684"/>
    <w:rsid w:val="00361672"/>
    <w:rsid w:val="00362EEB"/>
    <w:rsid w:val="003633F4"/>
    <w:rsid w:val="0036495F"/>
    <w:rsid w:val="00364D5B"/>
    <w:rsid w:val="003663D0"/>
    <w:rsid w:val="003667C4"/>
    <w:rsid w:val="00367200"/>
    <w:rsid w:val="003703CA"/>
    <w:rsid w:val="00371D5E"/>
    <w:rsid w:val="0037294C"/>
    <w:rsid w:val="00372AC1"/>
    <w:rsid w:val="00373437"/>
    <w:rsid w:val="00374B09"/>
    <w:rsid w:val="00374B27"/>
    <w:rsid w:val="00375F3C"/>
    <w:rsid w:val="00376D5B"/>
    <w:rsid w:val="003775F9"/>
    <w:rsid w:val="00377F66"/>
    <w:rsid w:val="003801E1"/>
    <w:rsid w:val="003802F4"/>
    <w:rsid w:val="00380367"/>
    <w:rsid w:val="003805D9"/>
    <w:rsid w:val="00380EA2"/>
    <w:rsid w:val="003825DD"/>
    <w:rsid w:val="003831AB"/>
    <w:rsid w:val="0038378A"/>
    <w:rsid w:val="00383D3B"/>
    <w:rsid w:val="00385AEA"/>
    <w:rsid w:val="003864D4"/>
    <w:rsid w:val="003869EB"/>
    <w:rsid w:val="00390C06"/>
    <w:rsid w:val="00391633"/>
    <w:rsid w:val="003917D0"/>
    <w:rsid w:val="00391958"/>
    <w:rsid w:val="00392B32"/>
    <w:rsid w:val="003946B5"/>
    <w:rsid w:val="00394F61"/>
    <w:rsid w:val="0039577D"/>
    <w:rsid w:val="003A01B8"/>
    <w:rsid w:val="003A1591"/>
    <w:rsid w:val="003A2A97"/>
    <w:rsid w:val="003A4A60"/>
    <w:rsid w:val="003A63D1"/>
    <w:rsid w:val="003B00CF"/>
    <w:rsid w:val="003B02B7"/>
    <w:rsid w:val="003B0A7E"/>
    <w:rsid w:val="003B1265"/>
    <w:rsid w:val="003B288E"/>
    <w:rsid w:val="003B2AF8"/>
    <w:rsid w:val="003B35AE"/>
    <w:rsid w:val="003B4FB4"/>
    <w:rsid w:val="003B61F2"/>
    <w:rsid w:val="003B6B81"/>
    <w:rsid w:val="003B70DA"/>
    <w:rsid w:val="003B7A9A"/>
    <w:rsid w:val="003B7E44"/>
    <w:rsid w:val="003C047D"/>
    <w:rsid w:val="003C24E4"/>
    <w:rsid w:val="003C2728"/>
    <w:rsid w:val="003C359A"/>
    <w:rsid w:val="003C4601"/>
    <w:rsid w:val="003C4F86"/>
    <w:rsid w:val="003C506F"/>
    <w:rsid w:val="003C5079"/>
    <w:rsid w:val="003C56BE"/>
    <w:rsid w:val="003C5BD1"/>
    <w:rsid w:val="003C5C89"/>
    <w:rsid w:val="003C5D8C"/>
    <w:rsid w:val="003C789B"/>
    <w:rsid w:val="003C7CCE"/>
    <w:rsid w:val="003D18CA"/>
    <w:rsid w:val="003D2E92"/>
    <w:rsid w:val="003D327E"/>
    <w:rsid w:val="003D356F"/>
    <w:rsid w:val="003D3FD0"/>
    <w:rsid w:val="003D4256"/>
    <w:rsid w:val="003D4477"/>
    <w:rsid w:val="003D46A8"/>
    <w:rsid w:val="003D4797"/>
    <w:rsid w:val="003D5168"/>
    <w:rsid w:val="003D5186"/>
    <w:rsid w:val="003D5324"/>
    <w:rsid w:val="003D5963"/>
    <w:rsid w:val="003D709B"/>
    <w:rsid w:val="003D77E3"/>
    <w:rsid w:val="003E0A58"/>
    <w:rsid w:val="003E1FE8"/>
    <w:rsid w:val="003E26C5"/>
    <w:rsid w:val="003E2730"/>
    <w:rsid w:val="003E3B1B"/>
    <w:rsid w:val="003E7124"/>
    <w:rsid w:val="003E7490"/>
    <w:rsid w:val="003F19B8"/>
    <w:rsid w:val="003F1C60"/>
    <w:rsid w:val="003F1F59"/>
    <w:rsid w:val="003F2E2F"/>
    <w:rsid w:val="003F424B"/>
    <w:rsid w:val="003F73AE"/>
    <w:rsid w:val="003F78E8"/>
    <w:rsid w:val="0040105E"/>
    <w:rsid w:val="004021A8"/>
    <w:rsid w:val="0040264F"/>
    <w:rsid w:val="00403D7B"/>
    <w:rsid w:val="00405422"/>
    <w:rsid w:val="0040556F"/>
    <w:rsid w:val="004056B6"/>
    <w:rsid w:val="00405F7E"/>
    <w:rsid w:val="00407AC4"/>
    <w:rsid w:val="004121E5"/>
    <w:rsid w:val="00413EBD"/>
    <w:rsid w:val="00414813"/>
    <w:rsid w:val="0041642C"/>
    <w:rsid w:val="00416609"/>
    <w:rsid w:val="00417CF5"/>
    <w:rsid w:val="00420A63"/>
    <w:rsid w:val="00424E11"/>
    <w:rsid w:val="00425E05"/>
    <w:rsid w:val="004260F2"/>
    <w:rsid w:val="00427336"/>
    <w:rsid w:val="00427997"/>
    <w:rsid w:val="00432506"/>
    <w:rsid w:val="004405DE"/>
    <w:rsid w:val="0044127F"/>
    <w:rsid w:val="00441354"/>
    <w:rsid w:val="00441569"/>
    <w:rsid w:val="00442A36"/>
    <w:rsid w:val="00442A63"/>
    <w:rsid w:val="00442C7E"/>
    <w:rsid w:val="0044370B"/>
    <w:rsid w:val="0044418F"/>
    <w:rsid w:val="0044447A"/>
    <w:rsid w:val="00444B62"/>
    <w:rsid w:val="00444F93"/>
    <w:rsid w:val="00445194"/>
    <w:rsid w:val="00445A2F"/>
    <w:rsid w:val="004462E7"/>
    <w:rsid w:val="004462F2"/>
    <w:rsid w:val="00447D27"/>
    <w:rsid w:val="00450CCE"/>
    <w:rsid w:val="00451C25"/>
    <w:rsid w:val="004521B9"/>
    <w:rsid w:val="004523DA"/>
    <w:rsid w:val="00454071"/>
    <w:rsid w:val="004542B7"/>
    <w:rsid w:val="004546DC"/>
    <w:rsid w:val="00455CE5"/>
    <w:rsid w:val="00456167"/>
    <w:rsid w:val="00456271"/>
    <w:rsid w:val="0045692B"/>
    <w:rsid w:val="00456F32"/>
    <w:rsid w:val="00460670"/>
    <w:rsid w:val="00460D7A"/>
    <w:rsid w:val="00460F39"/>
    <w:rsid w:val="00461980"/>
    <w:rsid w:val="00461999"/>
    <w:rsid w:val="00461AD0"/>
    <w:rsid w:val="004624F7"/>
    <w:rsid w:val="004626BD"/>
    <w:rsid w:val="0046271C"/>
    <w:rsid w:val="0046295F"/>
    <w:rsid w:val="00463D4E"/>
    <w:rsid w:val="00463E40"/>
    <w:rsid w:val="00463FD3"/>
    <w:rsid w:val="00463FE3"/>
    <w:rsid w:val="004663D0"/>
    <w:rsid w:val="00466FBD"/>
    <w:rsid w:val="004675C4"/>
    <w:rsid w:val="004701BC"/>
    <w:rsid w:val="00470BA0"/>
    <w:rsid w:val="0047333F"/>
    <w:rsid w:val="0047348E"/>
    <w:rsid w:val="0047507F"/>
    <w:rsid w:val="00475E1E"/>
    <w:rsid w:val="00475EC8"/>
    <w:rsid w:val="0047739E"/>
    <w:rsid w:val="00477439"/>
    <w:rsid w:val="00477818"/>
    <w:rsid w:val="004778AA"/>
    <w:rsid w:val="00477EC5"/>
    <w:rsid w:val="00480483"/>
    <w:rsid w:val="00480EB3"/>
    <w:rsid w:val="004812A5"/>
    <w:rsid w:val="00482B18"/>
    <w:rsid w:val="00482F7A"/>
    <w:rsid w:val="00483AB6"/>
    <w:rsid w:val="004852AC"/>
    <w:rsid w:val="004859B0"/>
    <w:rsid w:val="00485A3D"/>
    <w:rsid w:val="0048656D"/>
    <w:rsid w:val="00486B7C"/>
    <w:rsid w:val="00487131"/>
    <w:rsid w:val="00487CFA"/>
    <w:rsid w:val="00490C62"/>
    <w:rsid w:val="00493506"/>
    <w:rsid w:val="004945FC"/>
    <w:rsid w:val="004957BA"/>
    <w:rsid w:val="00495B2F"/>
    <w:rsid w:val="00496135"/>
    <w:rsid w:val="0049673E"/>
    <w:rsid w:val="004968DE"/>
    <w:rsid w:val="00496925"/>
    <w:rsid w:val="00496C34"/>
    <w:rsid w:val="00497F9B"/>
    <w:rsid w:val="004A1536"/>
    <w:rsid w:val="004A2AFD"/>
    <w:rsid w:val="004A366B"/>
    <w:rsid w:val="004A37EA"/>
    <w:rsid w:val="004A4424"/>
    <w:rsid w:val="004A64FD"/>
    <w:rsid w:val="004A6502"/>
    <w:rsid w:val="004A7958"/>
    <w:rsid w:val="004A7EF7"/>
    <w:rsid w:val="004B00FC"/>
    <w:rsid w:val="004B08DC"/>
    <w:rsid w:val="004B1F82"/>
    <w:rsid w:val="004B23F4"/>
    <w:rsid w:val="004B2E80"/>
    <w:rsid w:val="004B2E9B"/>
    <w:rsid w:val="004B3608"/>
    <w:rsid w:val="004B4A48"/>
    <w:rsid w:val="004B503A"/>
    <w:rsid w:val="004B56B0"/>
    <w:rsid w:val="004B723B"/>
    <w:rsid w:val="004B799C"/>
    <w:rsid w:val="004B7FC2"/>
    <w:rsid w:val="004C01A7"/>
    <w:rsid w:val="004C0A1F"/>
    <w:rsid w:val="004C0A2B"/>
    <w:rsid w:val="004C1ABD"/>
    <w:rsid w:val="004C275E"/>
    <w:rsid w:val="004C28D7"/>
    <w:rsid w:val="004C37AD"/>
    <w:rsid w:val="004C416C"/>
    <w:rsid w:val="004C5725"/>
    <w:rsid w:val="004C589B"/>
    <w:rsid w:val="004C5917"/>
    <w:rsid w:val="004C5CB1"/>
    <w:rsid w:val="004C5E48"/>
    <w:rsid w:val="004C6307"/>
    <w:rsid w:val="004C7D89"/>
    <w:rsid w:val="004D05CA"/>
    <w:rsid w:val="004D0778"/>
    <w:rsid w:val="004D1E0E"/>
    <w:rsid w:val="004D2F61"/>
    <w:rsid w:val="004D4EB1"/>
    <w:rsid w:val="004D6170"/>
    <w:rsid w:val="004D6801"/>
    <w:rsid w:val="004D75F6"/>
    <w:rsid w:val="004E0E6C"/>
    <w:rsid w:val="004E15EC"/>
    <w:rsid w:val="004E3B29"/>
    <w:rsid w:val="004E424B"/>
    <w:rsid w:val="004E428E"/>
    <w:rsid w:val="004E4674"/>
    <w:rsid w:val="004E4B84"/>
    <w:rsid w:val="004E4C38"/>
    <w:rsid w:val="004E50DD"/>
    <w:rsid w:val="004E71FE"/>
    <w:rsid w:val="004E77BA"/>
    <w:rsid w:val="004F1459"/>
    <w:rsid w:val="004F18C9"/>
    <w:rsid w:val="004F21BF"/>
    <w:rsid w:val="004F24D0"/>
    <w:rsid w:val="004F2BE4"/>
    <w:rsid w:val="004F3407"/>
    <w:rsid w:val="004F4024"/>
    <w:rsid w:val="004F4A49"/>
    <w:rsid w:val="004F75E6"/>
    <w:rsid w:val="004F79FE"/>
    <w:rsid w:val="00500BE0"/>
    <w:rsid w:val="00501954"/>
    <w:rsid w:val="00501F00"/>
    <w:rsid w:val="00502848"/>
    <w:rsid w:val="00502E10"/>
    <w:rsid w:val="00503913"/>
    <w:rsid w:val="00505009"/>
    <w:rsid w:val="00505517"/>
    <w:rsid w:val="00506103"/>
    <w:rsid w:val="0050647F"/>
    <w:rsid w:val="00506BF4"/>
    <w:rsid w:val="00507097"/>
    <w:rsid w:val="005104CF"/>
    <w:rsid w:val="00510AF2"/>
    <w:rsid w:val="005115E8"/>
    <w:rsid w:val="0051303E"/>
    <w:rsid w:val="00513305"/>
    <w:rsid w:val="00514178"/>
    <w:rsid w:val="00514254"/>
    <w:rsid w:val="00514DDB"/>
    <w:rsid w:val="0051600D"/>
    <w:rsid w:val="00516FA1"/>
    <w:rsid w:val="00516FB2"/>
    <w:rsid w:val="00517513"/>
    <w:rsid w:val="00522760"/>
    <w:rsid w:val="00522BD2"/>
    <w:rsid w:val="00523B9F"/>
    <w:rsid w:val="005241E9"/>
    <w:rsid w:val="00524DCE"/>
    <w:rsid w:val="00524E8E"/>
    <w:rsid w:val="00525050"/>
    <w:rsid w:val="0052538C"/>
    <w:rsid w:val="00525D60"/>
    <w:rsid w:val="005303FA"/>
    <w:rsid w:val="005306A7"/>
    <w:rsid w:val="0053110F"/>
    <w:rsid w:val="00532840"/>
    <w:rsid w:val="00533FEF"/>
    <w:rsid w:val="00534BA9"/>
    <w:rsid w:val="005356DE"/>
    <w:rsid w:val="005359CD"/>
    <w:rsid w:val="00535C81"/>
    <w:rsid w:val="0053725E"/>
    <w:rsid w:val="005400A4"/>
    <w:rsid w:val="00540793"/>
    <w:rsid w:val="00540A09"/>
    <w:rsid w:val="00540D88"/>
    <w:rsid w:val="00541862"/>
    <w:rsid w:val="00542531"/>
    <w:rsid w:val="005430AD"/>
    <w:rsid w:val="00543A2B"/>
    <w:rsid w:val="00543B6A"/>
    <w:rsid w:val="00543DA6"/>
    <w:rsid w:val="00544D59"/>
    <w:rsid w:val="00546D8E"/>
    <w:rsid w:val="00546FDD"/>
    <w:rsid w:val="00547258"/>
    <w:rsid w:val="00551340"/>
    <w:rsid w:val="00551E19"/>
    <w:rsid w:val="00553901"/>
    <w:rsid w:val="005556F1"/>
    <w:rsid w:val="005559CF"/>
    <w:rsid w:val="00555A2D"/>
    <w:rsid w:val="00555A37"/>
    <w:rsid w:val="00557605"/>
    <w:rsid w:val="005606FD"/>
    <w:rsid w:val="00561240"/>
    <w:rsid w:val="005639E6"/>
    <w:rsid w:val="00564B82"/>
    <w:rsid w:val="00565A52"/>
    <w:rsid w:val="00566257"/>
    <w:rsid w:val="005666EF"/>
    <w:rsid w:val="005667C9"/>
    <w:rsid w:val="00566AD8"/>
    <w:rsid w:val="005676F0"/>
    <w:rsid w:val="00570B86"/>
    <w:rsid w:val="00570CD1"/>
    <w:rsid w:val="0057123D"/>
    <w:rsid w:val="0057188A"/>
    <w:rsid w:val="00572887"/>
    <w:rsid w:val="00572F5B"/>
    <w:rsid w:val="005732EB"/>
    <w:rsid w:val="005733B1"/>
    <w:rsid w:val="00573CC3"/>
    <w:rsid w:val="00574C84"/>
    <w:rsid w:val="0057617B"/>
    <w:rsid w:val="00577155"/>
    <w:rsid w:val="005803BF"/>
    <w:rsid w:val="00580659"/>
    <w:rsid w:val="00580819"/>
    <w:rsid w:val="00580C1D"/>
    <w:rsid w:val="00581603"/>
    <w:rsid w:val="00581EA0"/>
    <w:rsid w:val="00582FAD"/>
    <w:rsid w:val="00585F7E"/>
    <w:rsid w:val="00586445"/>
    <w:rsid w:val="0059003F"/>
    <w:rsid w:val="00590C64"/>
    <w:rsid w:val="00592C87"/>
    <w:rsid w:val="00592F14"/>
    <w:rsid w:val="00593962"/>
    <w:rsid w:val="00594493"/>
    <w:rsid w:val="00594ABF"/>
    <w:rsid w:val="00595AD5"/>
    <w:rsid w:val="005A0C80"/>
    <w:rsid w:val="005A11E6"/>
    <w:rsid w:val="005A21A7"/>
    <w:rsid w:val="005A2328"/>
    <w:rsid w:val="005A2484"/>
    <w:rsid w:val="005A2B38"/>
    <w:rsid w:val="005A3E2F"/>
    <w:rsid w:val="005A40FA"/>
    <w:rsid w:val="005A5BDA"/>
    <w:rsid w:val="005A5C8B"/>
    <w:rsid w:val="005A64CB"/>
    <w:rsid w:val="005A6A61"/>
    <w:rsid w:val="005A73EF"/>
    <w:rsid w:val="005B092E"/>
    <w:rsid w:val="005B0968"/>
    <w:rsid w:val="005B0D24"/>
    <w:rsid w:val="005B1D8F"/>
    <w:rsid w:val="005B207E"/>
    <w:rsid w:val="005B2484"/>
    <w:rsid w:val="005B260F"/>
    <w:rsid w:val="005B2907"/>
    <w:rsid w:val="005B3871"/>
    <w:rsid w:val="005B3D59"/>
    <w:rsid w:val="005B4038"/>
    <w:rsid w:val="005B46E1"/>
    <w:rsid w:val="005B5287"/>
    <w:rsid w:val="005B5FD6"/>
    <w:rsid w:val="005B659D"/>
    <w:rsid w:val="005B66D8"/>
    <w:rsid w:val="005B6904"/>
    <w:rsid w:val="005B6B98"/>
    <w:rsid w:val="005B7B1F"/>
    <w:rsid w:val="005B7B73"/>
    <w:rsid w:val="005C10C4"/>
    <w:rsid w:val="005C1326"/>
    <w:rsid w:val="005C2234"/>
    <w:rsid w:val="005C3527"/>
    <w:rsid w:val="005C39E4"/>
    <w:rsid w:val="005C4077"/>
    <w:rsid w:val="005C48D7"/>
    <w:rsid w:val="005C4B02"/>
    <w:rsid w:val="005C50D6"/>
    <w:rsid w:val="005C63C4"/>
    <w:rsid w:val="005D125D"/>
    <w:rsid w:val="005D3EE7"/>
    <w:rsid w:val="005D5F73"/>
    <w:rsid w:val="005D6A9B"/>
    <w:rsid w:val="005D7CE7"/>
    <w:rsid w:val="005E055C"/>
    <w:rsid w:val="005E0575"/>
    <w:rsid w:val="005E1927"/>
    <w:rsid w:val="005E206B"/>
    <w:rsid w:val="005E234D"/>
    <w:rsid w:val="005E527B"/>
    <w:rsid w:val="005E55A4"/>
    <w:rsid w:val="005E62D6"/>
    <w:rsid w:val="005E70A1"/>
    <w:rsid w:val="005E74CA"/>
    <w:rsid w:val="005E7CAE"/>
    <w:rsid w:val="005E7E9B"/>
    <w:rsid w:val="005F0FBF"/>
    <w:rsid w:val="005F1274"/>
    <w:rsid w:val="005F19BC"/>
    <w:rsid w:val="005F255F"/>
    <w:rsid w:val="005F26A8"/>
    <w:rsid w:val="005F2F7D"/>
    <w:rsid w:val="005F31FA"/>
    <w:rsid w:val="005F36D1"/>
    <w:rsid w:val="005F43D9"/>
    <w:rsid w:val="005F5707"/>
    <w:rsid w:val="005F618C"/>
    <w:rsid w:val="005F6D0E"/>
    <w:rsid w:val="005F742C"/>
    <w:rsid w:val="006014A0"/>
    <w:rsid w:val="00601D1F"/>
    <w:rsid w:val="00601E08"/>
    <w:rsid w:val="00602016"/>
    <w:rsid w:val="00602485"/>
    <w:rsid w:val="006027E9"/>
    <w:rsid w:val="00602FDC"/>
    <w:rsid w:val="0060348A"/>
    <w:rsid w:val="00607AAD"/>
    <w:rsid w:val="00607D00"/>
    <w:rsid w:val="006102D3"/>
    <w:rsid w:val="00611318"/>
    <w:rsid w:val="00613A4E"/>
    <w:rsid w:val="00614971"/>
    <w:rsid w:val="00614D3B"/>
    <w:rsid w:val="006152F3"/>
    <w:rsid w:val="0061614A"/>
    <w:rsid w:val="00616CC5"/>
    <w:rsid w:val="00616F3B"/>
    <w:rsid w:val="0061728C"/>
    <w:rsid w:val="0061793D"/>
    <w:rsid w:val="00620058"/>
    <w:rsid w:val="00622137"/>
    <w:rsid w:val="0062320B"/>
    <w:rsid w:val="00626C33"/>
    <w:rsid w:val="00626F03"/>
    <w:rsid w:val="00627218"/>
    <w:rsid w:val="00627716"/>
    <w:rsid w:val="006278ED"/>
    <w:rsid w:val="00627B28"/>
    <w:rsid w:val="00630B66"/>
    <w:rsid w:val="00633488"/>
    <w:rsid w:val="00633F63"/>
    <w:rsid w:val="006345B0"/>
    <w:rsid w:val="0063538D"/>
    <w:rsid w:val="006355D1"/>
    <w:rsid w:val="0063561F"/>
    <w:rsid w:val="00635DD4"/>
    <w:rsid w:val="00636002"/>
    <w:rsid w:val="00636960"/>
    <w:rsid w:val="00637400"/>
    <w:rsid w:val="00637692"/>
    <w:rsid w:val="006376EA"/>
    <w:rsid w:val="00637744"/>
    <w:rsid w:val="00637FF4"/>
    <w:rsid w:val="00640056"/>
    <w:rsid w:val="00640393"/>
    <w:rsid w:val="006405DB"/>
    <w:rsid w:val="00640A86"/>
    <w:rsid w:val="006420A0"/>
    <w:rsid w:val="0064276C"/>
    <w:rsid w:val="00644785"/>
    <w:rsid w:val="00644B51"/>
    <w:rsid w:val="00645876"/>
    <w:rsid w:val="0064704A"/>
    <w:rsid w:val="0064774B"/>
    <w:rsid w:val="00650D4E"/>
    <w:rsid w:val="0065117E"/>
    <w:rsid w:val="0065118F"/>
    <w:rsid w:val="0065119C"/>
    <w:rsid w:val="006511CE"/>
    <w:rsid w:val="0065205E"/>
    <w:rsid w:val="00653674"/>
    <w:rsid w:val="0065408C"/>
    <w:rsid w:val="00654D91"/>
    <w:rsid w:val="0065573E"/>
    <w:rsid w:val="00656D4F"/>
    <w:rsid w:val="00657250"/>
    <w:rsid w:val="006601C1"/>
    <w:rsid w:val="00660B94"/>
    <w:rsid w:val="006612BD"/>
    <w:rsid w:val="006627FE"/>
    <w:rsid w:val="00663A3C"/>
    <w:rsid w:val="006645C0"/>
    <w:rsid w:val="0066505A"/>
    <w:rsid w:val="00665E37"/>
    <w:rsid w:val="00666328"/>
    <w:rsid w:val="00666D19"/>
    <w:rsid w:val="006678D6"/>
    <w:rsid w:val="00667F0D"/>
    <w:rsid w:val="006709AE"/>
    <w:rsid w:val="00670B85"/>
    <w:rsid w:val="006710DE"/>
    <w:rsid w:val="00672974"/>
    <w:rsid w:val="00673D6D"/>
    <w:rsid w:val="00674143"/>
    <w:rsid w:val="006741D8"/>
    <w:rsid w:val="00674628"/>
    <w:rsid w:val="0067580B"/>
    <w:rsid w:val="00676AF2"/>
    <w:rsid w:val="00680E2A"/>
    <w:rsid w:val="00681973"/>
    <w:rsid w:val="00682F91"/>
    <w:rsid w:val="006832B6"/>
    <w:rsid w:val="006837A6"/>
    <w:rsid w:val="00683B85"/>
    <w:rsid w:val="00684C04"/>
    <w:rsid w:val="00684D50"/>
    <w:rsid w:val="00684ECE"/>
    <w:rsid w:val="0068545B"/>
    <w:rsid w:val="00685B71"/>
    <w:rsid w:val="006867D6"/>
    <w:rsid w:val="006907D9"/>
    <w:rsid w:val="00690B1B"/>
    <w:rsid w:val="006916AD"/>
    <w:rsid w:val="006920C0"/>
    <w:rsid w:val="0069324E"/>
    <w:rsid w:val="00694749"/>
    <w:rsid w:val="00694B4F"/>
    <w:rsid w:val="0069506E"/>
    <w:rsid w:val="006967CF"/>
    <w:rsid w:val="00696ACE"/>
    <w:rsid w:val="006976B9"/>
    <w:rsid w:val="006A118D"/>
    <w:rsid w:val="006A12B8"/>
    <w:rsid w:val="006A1A3E"/>
    <w:rsid w:val="006A29BB"/>
    <w:rsid w:val="006A3483"/>
    <w:rsid w:val="006A3578"/>
    <w:rsid w:val="006A3972"/>
    <w:rsid w:val="006A3CC7"/>
    <w:rsid w:val="006A4E77"/>
    <w:rsid w:val="006A5A9B"/>
    <w:rsid w:val="006A68EF"/>
    <w:rsid w:val="006A6A58"/>
    <w:rsid w:val="006A6CC4"/>
    <w:rsid w:val="006A712D"/>
    <w:rsid w:val="006A780F"/>
    <w:rsid w:val="006A7813"/>
    <w:rsid w:val="006A790F"/>
    <w:rsid w:val="006B44AF"/>
    <w:rsid w:val="006B4FC3"/>
    <w:rsid w:val="006B51D3"/>
    <w:rsid w:val="006B557C"/>
    <w:rsid w:val="006B59BA"/>
    <w:rsid w:val="006B6140"/>
    <w:rsid w:val="006B6ABA"/>
    <w:rsid w:val="006B6E8D"/>
    <w:rsid w:val="006B6F4C"/>
    <w:rsid w:val="006B725B"/>
    <w:rsid w:val="006C161C"/>
    <w:rsid w:val="006C205D"/>
    <w:rsid w:val="006C28BF"/>
    <w:rsid w:val="006C41EB"/>
    <w:rsid w:val="006C4849"/>
    <w:rsid w:val="006C50A3"/>
    <w:rsid w:val="006C526E"/>
    <w:rsid w:val="006C57C5"/>
    <w:rsid w:val="006C5951"/>
    <w:rsid w:val="006C7C00"/>
    <w:rsid w:val="006D003D"/>
    <w:rsid w:val="006D0566"/>
    <w:rsid w:val="006D27A6"/>
    <w:rsid w:val="006D3EE7"/>
    <w:rsid w:val="006D4861"/>
    <w:rsid w:val="006D55EB"/>
    <w:rsid w:val="006D657D"/>
    <w:rsid w:val="006D6960"/>
    <w:rsid w:val="006D6C9D"/>
    <w:rsid w:val="006D7882"/>
    <w:rsid w:val="006D7B29"/>
    <w:rsid w:val="006E0B52"/>
    <w:rsid w:val="006E101D"/>
    <w:rsid w:val="006E228D"/>
    <w:rsid w:val="006E2D80"/>
    <w:rsid w:val="006E3DD5"/>
    <w:rsid w:val="006E4589"/>
    <w:rsid w:val="006E5790"/>
    <w:rsid w:val="006E6C30"/>
    <w:rsid w:val="006E6F8C"/>
    <w:rsid w:val="006E76BE"/>
    <w:rsid w:val="006E7B38"/>
    <w:rsid w:val="006F080F"/>
    <w:rsid w:val="006F0918"/>
    <w:rsid w:val="006F0F50"/>
    <w:rsid w:val="006F1EB1"/>
    <w:rsid w:val="006F3818"/>
    <w:rsid w:val="006F5538"/>
    <w:rsid w:val="006F56A2"/>
    <w:rsid w:val="006F58C8"/>
    <w:rsid w:val="006F6E04"/>
    <w:rsid w:val="007008D0"/>
    <w:rsid w:val="00700DF1"/>
    <w:rsid w:val="00700EDB"/>
    <w:rsid w:val="007011EF"/>
    <w:rsid w:val="00701BFB"/>
    <w:rsid w:val="00701C4D"/>
    <w:rsid w:val="00701D68"/>
    <w:rsid w:val="00702435"/>
    <w:rsid w:val="00702D13"/>
    <w:rsid w:val="0070398F"/>
    <w:rsid w:val="007048A0"/>
    <w:rsid w:val="00705AD6"/>
    <w:rsid w:val="007062E9"/>
    <w:rsid w:val="0070704C"/>
    <w:rsid w:val="00710095"/>
    <w:rsid w:val="00710F31"/>
    <w:rsid w:val="00711678"/>
    <w:rsid w:val="00712468"/>
    <w:rsid w:val="007129A0"/>
    <w:rsid w:val="00712BF5"/>
    <w:rsid w:val="007135E6"/>
    <w:rsid w:val="00715122"/>
    <w:rsid w:val="00716B95"/>
    <w:rsid w:val="00716BE4"/>
    <w:rsid w:val="00717216"/>
    <w:rsid w:val="007178E8"/>
    <w:rsid w:val="0072067E"/>
    <w:rsid w:val="0072068C"/>
    <w:rsid w:val="00721A4C"/>
    <w:rsid w:val="00721F5B"/>
    <w:rsid w:val="007229C0"/>
    <w:rsid w:val="00722F56"/>
    <w:rsid w:val="00722F7C"/>
    <w:rsid w:val="00723E11"/>
    <w:rsid w:val="00730A2E"/>
    <w:rsid w:val="0073163D"/>
    <w:rsid w:val="0073319D"/>
    <w:rsid w:val="0073321D"/>
    <w:rsid w:val="007343B8"/>
    <w:rsid w:val="00735322"/>
    <w:rsid w:val="0073549A"/>
    <w:rsid w:val="00735E7E"/>
    <w:rsid w:val="00736715"/>
    <w:rsid w:val="00737F7F"/>
    <w:rsid w:val="00740EDF"/>
    <w:rsid w:val="00741242"/>
    <w:rsid w:val="00741246"/>
    <w:rsid w:val="00741383"/>
    <w:rsid w:val="00741633"/>
    <w:rsid w:val="007425BB"/>
    <w:rsid w:val="007434B9"/>
    <w:rsid w:val="007434C7"/>
    <w:rsid w:val="00744E79"/>
    <w:rsid w:val="007451C9"/>
    <w:rsid w:val="007510BC"/>
    <w:rsid w:val="007513B9"/>
    <w:rsid w:val="00751639"/>
    <w:rsid w:val="00752786"/>
    <w:rsid w:val="00753430"/>
    <w:rsid w:val="00754689"/>
    <w:rsid w:val="00754799"/>
    <w:rsid w:val="00754C4F"/>
    <w:rsid w:val="007554BA"/>
    <w:rsid w:val="00755619"/>
    <w:rsid w:val="00756677"/>
    <w:rsid w:val="00756D09"/>
    <w:rsid w:val="007600FA"/>
    <w:rsid w:val="0076093D"/>
    <w:rsid w:val="00761DA0"/>
    <w:rsid w:val="007622D7"/>
    <w:rsid w:val="00762E62"/>
    <w:rsid w:val="00763D02"/>
    <w:rsid w:val="00765FF3"/>
    <w:rsid w:val="0076791A"/>
    <w:rsid w:val="007679E6"/>
    <w:rsid w:val="00767AC4"/>
    <w:rsid w:val="00767C3A"/>
    <w:rsid w:val="00767ED6"/>
    <w:rsid w:val="0077009B"/>
    <w:rsid w:val="00770D6D"/>
    <w:rsid w:val="0077121E"/>
    <w:rsid w:val="00771AE5"/>
    <w:rsid w:val="00772E80"/>
    <w:rsid w:val="00774692"/>
    <w:rsid w:val="00775382"/>
    <w:rsid w:val="00775543"/>
    <w:rsid w:val="00775F44"/>
    <w:rsid w:val="00776331"/>
    <w:rsid w:val="00777062"/>
    <w:rsid w:val="00777232"/>
    <w:rsid w:val="0077764B"/>
    <w:rsid w:val="007806B9"/>
    <w:rsid w:val="00780A55"/>
    <w:rsid w:val="007822AD"/>
    <w:rsid w:val="007823E8"/>
    <w:rsid w:val="007825F2"/>
    <w:rsid w:val="0078269D"/>
    <w:rsid w:val="007835A6"/>
    <w:rsid w:val="00783E6D"/>
    <w:rsid w:val="007840DB"/>
    <w:rsid w:val="00784198"/>
    <w:rsid w:val="0078457D"/>
    <w:rsid w:val="00784A3C"/>
    <w:rsid w:val="0078585B"/>
    <w:rsid w:val="0078640E"/>
    <w:rsid w:val="00787454"/>
    <w:rsid w:val="00790909"/>
    <w:rsid w:val="00790CEC"/>
    <w:rsid w:val="0079274C"/>
    <w:rsid w:val="00792EA0"/>
    <w:rsid w:val="00793BD7"/>
    <w:rsid w:val="007944B2"/>
    <w:rsid w:val="0079466D"/>
    <w:rsid w:val="00794AD9"/>
    <w:rsid w:val="007955CA"/>
    <w:rsid w:val="007956C7"/>
    <w:rsid w:val="00795FD4"/>
    <w:rsid w:val="00797C2C"/>
    <w:rsid w:val="00797E05"/>
    <w:rsid w:val="007A2761"/>
    <w:rsid w:val="007A2DC3"/>
    <w:rsid w:val="007A3018"/>
    <w:rsid w:val="007A4195"/>
    <w:rsid w:val="007A48A3"/>
    <w:rsid w:val="007A5E44"/>
    <w:rsid w:val="007A664A"/>
    <w:rsid w:val="007A6DE2"/>
    <w:rsid w:val="007A6E4D"/>
    <w:rsid w:val="007A7104"/>
    <w:rsid w:val="007B1938"/>
    <w:rsid w:val="007B1CB1"/>
    <w:rsid w:val="007B3FD2"/>
    <w:rsid w:val="007B6953"/>
    <w:rsid w:val="007B6D06"/>
    <w:rsid w:val="007B7784"/>
    <w:rsid w:val="007B7CC9"/>
    <w:rsid w:val="007C00BB"/>
    <w:rsid w:val="007C0681"/>
    <w:rsid w:val="007C1094"/>
    <w:rsid w:val="007C15E7"/>
    <w:rsid w:val="007C29C5"/>
    <w:rsid w:val="007C2E94"/>
    <w:rsid w:val="007C3CD0"/>
    <w:rsid w:val="007C57F7"/>
    <w:rsid w:val="007C5997"/>
    <w:rsid w:val="007C5C7B"/>
    <w:rsid w:val="007C7AF8"/>
    <w:rsid w:val="007C7D88"/>
    <w:rsid w:val="007D042D"/>
    <w:rsid w:val="007D192A"/>
    <w:rsid w:val="007D2A57"/>
    <w:rsid w:val="007D3556"/>
    <w:rsid w:val="007D4EB7"/>
    <w:rsid w:val="007D5DBA"/>
    <w:rsid w:val="007D5DEE"/>
    <w:rsid w:val="007D6F47"/>
    <w:rsid w:val="007E013D"/>
    <w:rsid w:val="007E04B4"/>
    <w:rsid w:val="007E0975"/>
    <w:rsid w:val="007E1171"/>
    <w:rsid w:val="007E1D90"/>
    <w:rsid w:val="007E2C69"/>
    <w:rsid w:val="007E2C84"/>
    <w:rsid w:val="007E3255"/>
    <w:rsid w:val="007E36E4"/>
    <w:rsid w:val="007E3D50"/>
    <w:rsid w:val="007E4446"/>
    <w:rsid w:val="007E4826"/>
    <w:rsid w:val="007E5599"/>
    <w:rsid w:val="007E5885"/>
    <w:rsid w:val="007E5E07"/>
    <w:rsid w:val="007E7046"/>
    <w:rsid w:val="007F01B3"/>
    <w:rsid w:val="007F028A"/>
    <w:rsid w:val="007F1CDE"/>
    <w:rsid w:val="007F2B5F"/>
    <w:rsid w:val="007F3EDC"/>
    <w:rsid w:val="007F428B"/>
    <w:rsid w:val="007F4D5B"/>
    <w:rsid w:val="007F4DB6"/>
    <w:rsid w:val="007F4F2B"/>
    <w:rsid w:val="007F50AA"/>
    <w:rsid w:val="007F53C0"/>
    <w:rsid w:val="007F61E3"/>
    <w:rsid w:val="00800ACF"/>
    <w:rsid w:val="00802D8B"/>
    <w:rsid w:val="00802E63"/>
    <w:rsid w:val="00805BEC"/>
    <w:rsid w:val="00806495"/>
    <w:rsid w:val="0081071E"/>
    <w:rsid w:val="008111DA"/>
    <w:rsid w:val="00812463"/>
    <w:rsid w:val="00812A2F"/>
    <w:rsid w:val="008139FB"/>
    <w:rsid w:val="00817992"/>
    <w:rsid w:val="00817F82"/>
    <w:rsid w:val="008221F7"/>
    <w:rsid w:val="00822A40"/>
    <w:rsid w:val="00823A23"/>
    <w:rsid w:val="008241D2"/>
    <w:rsid w:val="008279C0"/>
    <w:rsid w:val="00831D8A"/>
    <w:rsid w:val="00832738"/>
    <w:rsid w:val="008334CB"/>
    <w:rsid w:val="00833A80"/>
    <w:rsid w:val="00835993"/>
    <w:rsid w:val="0083692C"/>
    <w:rsid w:val="0084197C"/>
    <w:rsid w:val="00841E18"/>
    <w:rsid w:val="00842658"/>
    <w:rsid w:val="00842D14"/>
    <w:rsid w:val="008434AC"/>
    <w:rsid w:val="0084380E"/>
    <w:rsid w:val="00843DD9"/>
    <w:rsid w:val="00844437"/>
    <w:rsid w:val="00844ACC"/>
    <w:rsid w:val="00845224"/>
    <w:rsid w:val="00847719"/>
    <w:rsid w:val="00847E16"/>
    <w:rsid w:val="00850F1B"/>
    <w:rsid w:val="008514DB"/>
    <w:rsid w:val="00852000"/>
    <w:rsid w:val="0085297E"/>
    <w:rsid w:val="00854A41"/>
    <w:rsid w:val="00854DBD"/>
    <w:rsid w:val="0085512A"/>
    <w:rsid w:val="00855159"/>
    <w:rsid w:val="008566A3"/>
    <w:rsid w:val="008578CC"/>
    <w:rsid w:val="00857962"/>
    <w:rsid w:val="00857C8C"/>
    <w:rsid w:val="0086156A"/>
    <w:rsid w:val="008616B9"/>
    <w:rsid w:val="00864653"/>
    <w:rsid w:val="00865809"/>
    <w:rsid w:val="0086695B"/>
    <w:rsid w:val="00867033"/>
    <w:rsid w:val="00867282"/>
    <w:rsid w:val="0086774E"/>
    <w:rsid w:val="00870063"/>
    <w:rsid w:val="00872BF3"/>
    <w:rsid w:val="00872F32"/>
    <w:rsid w:val="00873DEE"/>
    <w:rsid w:val="008740F1"/>
    <w:rsid w:val="00874131"/>
    <w:rsid w:val="008743D5"/>
    <w:rsid w:val="008772E1"/>
    <w:rsid w:val="008778D3"/>
    <w:rsid w:val="0088008B"/>
    <w:rsid w:val="00881188"/>
    <w:rsid w:val="0088159C"/>
    <w:rsid w:val="0088211A"/>
    <w:rsid w:val="00884F56"/>
    <w:rsid w:val="008854F6"/>
    <w:rsid w:val="00886667"/>
    <w:rsid w:val="00886BC4"/>
    <w:rsid w:val="00886FD0"/>
    <w:rsid w:val="00887105"/>
    <w:rsid w:val="008906EC"/>
    <w:rsid w:val="008929BF"/>
    <w:rsid w:val="00893FDD"/>
    <w:rsid w:val="00894AF1"/>
    <w:rsid w:val="008972E4"/>
    <w:rsid w:val="008972FB"/>
    <w:rsid w:val="0089748B"/>
    <w:rsid w:val="008A02F3"/>
    <w:rsid w:val="008A178C"/>
    <w:rsid w:val="008A1C1D"/>
    <w:rsid w:val="008A351A"/>
    <w:rsid w:val="008A4454"/>
    <w:rsid w:val="008A48CA"/>
    <w:rsid w:val="008A5496"/>
    <w:rsid w:val="008B1A5D"/>
    <w:rsid w:val="008B2938"/>
    <w:rsid w:val="008B395C"/>
    <w:rsid w:val="008B554F"/>
    <w:rsid w:val="008B5612"/>
    <w:rsid w:val="008B5957"/>
    <w:rsid w:val="008B5EE1"/>
    <w:rsid w:val="008B785A"/>
    <w:rsid w:val="008B7A9D"/>
    <w:rsid w:val="008C031F"/>
    <w:rsid w:val="008C070E"/>
    <w:rsid w:val="008C0F98"/>
    <w:rsid w:val="008C1596"/>
    <w:rsid w:val="008C348C"/>
    <w:rsid w:val="008C5773"/>
    <w:rsid w:val="008C70F6"/>
    <w:rsid w:val="008C768F"/>
    <w:rsid w:val="008D0CA6"/>
    <w:rsid w:val="008D1361"/>
    <w:rsid w:val="008D3CF5"/>
    <w:rsid w:val="008D406D"/>
    <w:rsid w:val="008D49D9"/>
    <w:rsid w:val="008D4B21"/>
    <w:rsid w:val="008D4CD0"/>
    <w:rsid w:val="008D5358"/>
    <w:rsid w:val="008D570B"/>
    <w:rsid w:val="008D6A39"/>
    <w:rsid w:val="008E000E"/>
    <w:rsid w:val="008E0180"/>
    <w:rsid w:val="008E04BD"/>
    <w:rsid w:val="008E07EA"/>
    <w:rsid w:val="008E09B1"/>
    <w:rsid w:val="008E17B3"/>
    <w:rsid w:val="008E35A5"/>
    <w:rsid w:val="008E71EE"/>
    <w:rsid w:val="008E7488"/>
    <w:rsid w:val="008F0B15"/>
    <w:rsid w:val="008F158C"/>
    <w:rsid w:val="008F1AA6"/>
    <w:rsid w:val="008F1FF4"/>
    <w:rsid w:val="008F2212"/>
    <w:rsid w:val="008F23A6"/>
    <w:rsid w:val="008F32C5"/>
    <w:rsid w:val="008F3710"/>
    <w:rsid w:val="008F3B63"/>
    <w:rsid w:val="008F4E90"/>
    <w:rsid w:val="008F51C0"/>
    <w:rsid w:val="008F5629"/>
    <w:rsid w:val="008F578F"/>
    <w:rsid w:val="008F61DC"/>
    <w:rsid w:val="008F6B7A"/>
    <w:rsid w:val="008F6EC8"/>
    <w:rsid w:val="008F73C8"/>
    <w:rsid w:val="008F7E69"/>
    <w:rsid w:val="009032FA"/>
    <w:rsid w:val="00903394"/>
    <w:rsid w:val="00903786"/>
    <w:rsid w:val="00903AB2"/>
    <w:rsid w:val="00903ABE"/>
    <w:rsid w:val="00903BF7"/>
    <w:rsid w:val="0090443E"/>
    <w:rsid w:val="00904E28"/>
    <w:rsid w:val="0090552C"/>
    <w:rsid w:val="009055C1"/>
    <w:rsid w:val="00905F29"/>
    <w:rsid w:val="009067B2"/>
    <w:rsid w:val="0090719E"/>
    <w:rsid w:val="009077C6"/>
    <w:rsid w:val="00907CAC"/>
    <w:rsid w:val="009109AA"/>
    <w:rsid w:val="00910FB3"/>
    <w:rsid w:val="00911025"/>
    <w:rsid w:val="0091162D"/>
    <w:rsid w:val="00912039"/>
    <w:rsid w:val="009133F3"/>
    <w:rsid w:val="00913EC6"/>
    <w:rsid w:val="0091595C"/>
    <w:rsid w:val="009167EB"/>
    <w:rsid w:val="00916CA7"/>
    <w:rsid w:val="00916F06"/>
    <w:rsid w:val="0091703F"/>
    <w:rsid w:val="00920469"/>
    <w:rsid w:val="0092054A"/>
    <w:rsid w:val="0092125F"/>
    <w:rsid w:val="009231A7"/>
    <w:rsid w:val="00923EFB"/>
    <w:rsid w:val="009249C7"/>
    <w:rsid w:val="009263D8"/>
    <w:rsid w:val="00926879"/>
    <w:rsid w:val="0092714C"/>
    <w:rsid w:val="0092748B"/>
    <w:rsid w:val="009304C4"/>
    <w:rsid w:val="0093060A"/>
    <w:rsid w:val="00933C8C"/>
    <w:rsid w:val="00934720"/>
    <w:rsid w:val="009367F6"/>
    <w:rsid w:val="00936FA5"/>
    <w:rsid w:val="0093741D"/>
    <w:rsid w:val="00937D7F"/>
    <w:rsid w:val="00941127"/>
    <w:rsid w:val="00942CB3"/>
    <w:rsid w:val="00942DC6"/>
    <w:rsid w:val="009434FD"/>
    <w:rsid w:val="00944174"/>
    <w:rsid w:val="009475C8"/>
    <w:rsid w:val="009478CC"/>
    <w:rsid w:val="00947AEF"/>
    <w:rsid w:val="0095079D"/>
    <w:rsid w:val="009509D1"/>
    <w:rsid w:val="00951640"/>
    <w:rsid w:val="00951652"/>
    <w:rsid w:val="00952DCD"/>
    <w:rsid w:val="00952F2F"/>
    <w:rsid w:val="00953235"/>
    <w:rsid w:val="00953578"/>
    <w:rsid w:val="0095579D"/>
    <w:rsid w:val="00956A02"/>
    <w:rsid w:val="00956B75"/>
    <w:rsid w:val="00957121"/>
    <w:rsid w:val="00957127"/>
    <w:rsid w:val="0095766F"/>
    <w:rsid w:val="00957672"/>
    <w:rsid w:val="0096064A"/>
    <w:rsid w:val="009606E3"/>
    <w:rsid w:val="0096082C"/>
    <w:rsid w:val="00961753"/>
    <w:rsid w:val="00962604"/>
    <w:rsid w:val="009631DA"/>
    <w:rsid w:val="009658B5"/>
    <w:rsid w:val="00965B46"/>
    <w:rsid w:val="00965C4B"/>
    <w:rsid w:val="009668B7"/>
    <w:rsid w:val="00967018"/>
    <w:rsid w:val="00967B3E"/>
    <w:rsid w:val="0097076D"/>
    <w:rsid w:val="0097332E"/>
    <w:rsid w:val="0097358B"/>
    <w:rsid w:val="0097420E"/>
    <w:rsid w:val="00975791"/>
    <w:rsid w:val="009757BB"/>
    <w:rsid w:val="00976D00"/>
    <w:rsid w:val="009808D6"/>
    <w:rsid w:val="009810EB"/>
    <w:rsid w:val="009811A5"/>
    <w:rsid w:val="0098151F"/>
    <w:rsid w:val="00983039"/>
    <w:rsid w:val="00983272"/>
    <w:rsid w:val="00983C97"/>
    <w:rsid w:val="00984E79"/>
    <w:rsid w:val="00985E60"/>
    <w:rsid w:val="009869F1"/>
    <w:rsid w:val="00986A46"/>
    <w:rsid w:val="009874D7"/>
    <w:rsid w:val="00987EC1"/>
    <w:rsid w:val="009906A6"/>
    <w:rsid w:val="00990A4F"/>
    <w:rsid w:val="00990C76"/>
    <w:rsid w:val="0099194F"/>
    <w:rsid w:val="00992ADC"/>
    <w:rsid w:val="009936B2"/>
    <w:rsid w:val="00994661"/>
    <w:rsid w:val="0099531A"/>
    <w:rsid w:val="00995AA9"/>
    <w:rsid w:val="00995DD9"/>
    <w:rsid w:val="00996967"/>
    <w:rsid w:val="009975C3"/>
    <w:rsid w:val="00997EF4"/>
    <w:rsid w:val="009A050C"/>
    <w:rsid w:val="009A1005"/>
    <w:rsid w:val="009A1634"/>
    <w:rsid w:val="009A185C"/>
    <w:rsid w:val="009A2BFF"/>
    <w:rsid w:val="009A3333"/>
    <w:rsid w:val="009A3CB2"/>
    <w:rsid w:val="009A48C7"/>
    <w:rsid w:val="009A5422"/>
    <w:rsid w:val="009A57AD"/>
    <w:rsid w:val="009A5A9A"/>
    <w:rsid w:val="009A5EF8"/>
    <w:rsid w:val="009A6D32"/>
    <w:rsid w:val="009A71C4"/>
    <w:rsid w:val="009B0934"/>
    <w:rsid w:val="009B15EC"/>
    <w:rsid w:val="009B1781"/>
    <w:rsid w:val="009B2546"/>
    <w:rsid w:val="009B318C"/>
    <w:rsid w:val="009B32D2"/>
    <w:rsid w:val="009B38CB"/>
    <w:rsid w:val="009B464D"/>
    <w:rsid w:val="009B4DC1"/>
    <w:rsid w:val="009B776F"/>
    <w:rsid w:val="009B7BDC"/>
    <w:rsid w:val="009C09B2"/>
    <w:rsid w:val="009C1C63"/>
    <w:rsid w:val="009C1F90"/>
    <w:rsid w:val="009C23B7"/>
    <w:rsid w:val="009C3A5B"/>
    <w:rsid w:val="009C66A3"/>
    <w:rsid w:val="009C6809"/>
    <w:rsid w:val="009C6B42"/>
    <w:rsid w:val="009C6BE8"/>
    <w:rsid w:val="009C773C"/>
    <w:rsid w:val="009D0DC4"/>
    <w:rsid w:val="009D3E4F"/>
    <w:rsid w:val="009D4CE9"/>
    <w:rsid w:val="009D4F48"/>
    <w:rsid w:val="009D5079"/>
    <w:rsid w:val="009D6103"/>
    <w:rsid w:val="009D616A"/>
    <w:rsid w:val="009D61D3"/>
    <w:rsid w:val="009D64D7"/>
    <w:rsid w:val="009E09E0"/>
    <w:rsid w:val="009E2B23"/>
    <w:rsid w:val="009E2DA2"/>
    <w:rsid w:val="009E2F59"/>
    <w:rsid w:val="009E4C4D"/>
    <w:rsid w:val="009E4D9F"/>
    <w:rsid w:val="009E6061"/>
    <w:rsid w:val="009E6FEF"/>
    <w:rsid w:val="009E7AC5"/>
    <w:rsid w:val="009F02A0"/>
    <w:rsid w:val="009F03D4"/>
    <w:rsid w:val="009F077F"/>
    <w:rsid w:val="009F2CCC"/>
    <w:rsid w:val="009F2FC9"/>
    <w:rsid w:val="009F3244"/>
    <w:rsid w:val="009F3773"/>
    <w:rsid w:val="009F4549"/>
    <w:rsid w:val="009F5500"/>
    <w:rsid w:val="009F5AEA"/>
    <w:rsid w:val="009F6277"/>
    <w:rsid w:val="009F717A"/>
    <w:rsid w:val="009F7B2B"/>
    <w:rsid w:val="00A01086"/>
    <w:rsid w:val="00A01CCB"/>
    <w:rsid w:val="00A0216B"/>
    <w:rsid w:val="00A02510"/>
    <w:rsid w:val="00A0272D"/>
    <w:rsid w:val="00A02A82"/>
    <w:rsid w:val="00A03E02"/>
    <w:rsid w:val="00A05E57"/>
    <w:rsid w:val="00A07273"/>
    <w:rsid w:val="00A1120D"/>
    <w:rsid w:val="00A11775"/>
    <w:rsid w:val="00A12799"/>
    <w:rsid w:val="00A131ED"/>
    <w:rsid w:val="00A13CB3"/>
    <w:rsid w:val="00A13F0D"/>
    <w:rsid w:val="00A14DE5"/>
    <w:rsid w:val="00A15DB7"/>
    <w:rsid w:val="00A169AD"/>
    <w:rsid w:val="00A17503"/>
    <w:rsid w:val="00A17652"/>
    <w:rsid w:val="00A17790"/>
    <w:rsid w:val="00A203C6"/>
    <w:rsid w:val="00A20575"/>
    <w:rsid w:val="00A215B3"/>
    <w:rsid w:val="00A228C8"/>
    <w:rsid w:val="00A240E2"/>
    <w:rsid w:val="00A24D20"/>
    <w:rsid w:val="00A31BCD"/>
    <w:rsid w:val="00A32C4E"/>
    <w:rsid w:val="00A3370E"/>
    <w:rsid w:val="00A3443A"/>
    <w:rsid w:val="00A3452B"/>
    <w:rsid w:val="00A347E2"/>
    <w:rsid w:val="00A350B9"/>
    <w:rsid w:val="00A36744"/>
    <w:rsid w:val="00A406C2"/>
    <w:rsid w:val="00A406EC"/>
    <w:rsid w:val="00A40E55"/>
    <w:rsid w:val="00A41500"/>
    <w:rsid w:val="00A44965"/>
    <w:rsid w:val="00A45360"/>
    <w:rsid w:val="00A46A9A"/>
    <w:rsid w:val="00A500F8"/>
    <w:rsid w:val="00A50111"/>
    <w:rsid w:val="00A50FE3"/>
    <w:rsid w:val="00A516AC"/>
    <w:rsid w:val="00A519DC"/>
    <w:rsid w:val="00A52C22"/>
    <w:rsid w:val="00A55F8F"/>
    <w:rsid w:val="00A56BF4"/>
    <w:rsid w:val="00A60022"/>
    <w:rsid w:val="00A6012E"/>
    <w:rsid w:val="00A607CA"/>
    <w:rsid w:val="00A607EE"/>
    <w:rsid w:val="00A60E44"/>
    <w:rsid w:val="00A62160"/>
    <w:rsid w:val="00A64E78"/>
    <w:rsid w:val="00A6514E"/>
    <w:rsid w:val="00A65D2F"/>
    <w:rsid w:val="00A67FE4"/>
    <w:rsid w:val="00A702C8"/>
    <w:rsid w:val="00A70DCA"/>
    <w:rsid w:val="00A70DF9"/>
    <w:rsid w:val="00A71676"/>
    <w:rsid w:val="00A72AF0"/>
    <w:rsid w:val="00A737D2"/>
    <w:rsid w:val="00A752D2"/>
    <w:rsid w:val="00A76AA8"/>
    <w:rsid w:val="00A76BB5"/>
    <w:rsid w:val="00A77524"/>
    <w:rsid w:val="00A77C85"/>
    <w:rsid w:val="00A80E41"/>
    <w:rsid w:val="00A8141F"/>
    <w:rsid w:val="00A826BC"/>
    <w:rsid w:val="00A83653"/>
    <w:rsid w:val="00A8449C"/>
    <w:rsid w:val="00A846A2"/>
    <w:rsid w:val="00A84C3C"/>
    <w:rsid w:val="00A85F9A"/>
    <w:rsid w:val="00A86CEB"/>
    <w:rsid w:val="00A87EFC"/>
    <w:rsid w:val="00A87F4B"/>
    <w:rsid w:val="00A9043E"/>
    <w:rsid w:val="00A9065D"/>
    <w:rsid w:val="00A90991"/>
    <w:rsid w:val="00A909A3"/>
    <w:rsid w:val="00A914E7"/>
    <w:rsid w:val="00A9190F"/>
    <w:rsid w:val="00A91B03"/>
    <w:rsid w:val="00A91BD2"/>
    <w:rsid w:val="00A92B7E"/>
    <w:rsid w:val="00A92C55"/>
    <w:rsid w:val="00A92EE9"/>
    <w:rsid w:val="00A937F5"/>
    <w:rsid w:val="00A940BE"/>
    <w:rsid w:val="00A94664"/>
    <w:rsid w:val="00A94745"/>
    <w:rsid w:val="00A96316"/>
    <w:rsid w:val="00A9658A"/>
    <w:rsid w:val="00A96FA9"/>
    <w:rsid w:val="00A970ED"/>
    <w:rsid w:val="00A97FC7"/>
    <w:rsid w:val="00AA17AF"/>
    <w:rsid w:val="00AA3CCB"/>
    <w:rsid w:val="00AA400D"/>
    <w:rsid w:val="00AA442B"/>
    <w:rsid w:val="00AA4554"/>
    <w:rsid w:val="00AA463E"/>
    <w:rsid w:val="00AA553F"/>
    <w:rsid w:val="00AA700B"/>
    <w:rsid w:val="00AB0270"/>
    <w:rsid w:val="00AB0935"/>
    <w:rsid w:val="00AB0AEF"/>
    <w:rsid w:val="00AB1032"/>
    <w:rsid w:val="00AB1435"/>
    <w:rsid w:val="00AB3D33"/>
    <w:rsid w:val="00AB40F6"/>
    <w:rsid w:val="00AB44EE"/>
    <w:rsid w:val="00AB5E33"/>
    <w:rsid w:val="00AB5E95"/>
    <w:rsid w:val="00AB6621"/>
    <w:rsid w:val="00AB66F4"/>
    <w:rsid w:val="00AC1B27"/>
    <w:rsid w:val="00AC2635"/>
    <w:rsid w:val="00AC3CF8"/>
    <w:rsid w:val="00AC41D0"/>
    <w:rsid w:val="00AC42BF"/>
    <w:rsid w:val="00AC450E"/>
    <w:rsid w:val="00AC490C"/>
    <w:rsid w:val="00AC4C62"/>
    <w:rsid w:val="00AC60D4"/>
    <w:rsid w:val="00AC654A"/>
    <w:rsid w:val="00AD0A09"/>
    <w:rsid w:val="00AD0BC3"/>
    <w:rsid w:val="00AD13EF"/>
    <w:rsid w:val="00AD21EC"/>
    <w:rsid w:val="00AD2EB3"/>
    <w:rsid w:val="00AD4975"/>
    <w:rsid w:val="00AD541A"/>
    <w:rsid w:val="00AD5A9C"/>
    <w:rsid w:val="00AD62E9"/>
    <w:rsid w:val="00AD67BC"/>
    <w:rsid w:val="00AD67BE"/>
    <w:rsid w:val="00AD70BA"/>
    <w:rsid w:val="00AD7719"/>
    <w:rsid w:val="00AD7DF4"/>
    <w:rsid w:val="00AE03B6"/>
    <w:rsid w:val="00AE39EE"/>
    <w:rsid w:val="00AE3AD8"/>
    <w:rsid w:val="00AE4BF4"/>
    <w:rsid w:val="00AE53E5"/>
    <w:rsid w:val="00AE5C62"/>
    <w:rsid w:val="00AE5CC2"/>
    <w:rsid w:val="00AE6081"/>
    <w:rsid w:val="00AE7B1A"/>
    <w:rsid w:val="00AF144B"/>
    <w:rsid w:val="00AF1A62"/>
    <w:rsid w:val="00AF2423"/>
    <w:rsid w:val="00AF4E8A"/>
    <w:rsid w:val="00AF50D3"/>
    <w:rsid w:val="00AF5C68"/>
    <w:rsid w:val="00AF5E25"/>
    <w:rsid w:val="00AF7EA1"/>
    <w:rsid w:val="00B0055C"/>
    <w:rsid w:val="00B00E01"/>
    <w:rsid w:val="00B018C7"/>
    <w:rsid w:val="00B01E8F"/>
    <w:rsid w:val="00B026A9"/>
    <w:rsid w:val="00B04881"/>
    <w:rsid w:val="00B05BC0"/>
    <w:rsid w:val="00B05F3A"/>
    <w:rsid w:val="00B0676A"/>
    <w:rsid w:val="00B129C3"/>
    <w:rsid w:val="00B1356A"/>
    <w:rsid w:val="00B13752"/>
    <w:rsid w:val="00B13935"/>
    <w:rsid w:val="00B14218"/>
    <w:rsid w:val="00B1574E"/>
    <w:rsid w:val="00B158C3"/>
    <w:rsid w:val="00B15B56"/>
    <w:rsid w:val="00B1796D"/>
    <w:rsid w:val="00B20168"/>
    <w:rsid w:val="00B20409"/>
    <w:rsid w:val="00B2043A"/>
    <w:rsid w:val="00B20C1C"/>
    <w:rsid w:val="00B20DF8"/>
    <w:rsid w:val="00B2174E"/>
    <w:rsid w:val="00B21D95"/>
    <w:rsid w:val="00B22EDF"/>
    <w:rsid w:val="00B23A76"/>
    <w:rsid w:val="00B24C1C"/>
    <w:rsid w:val="00B25459"/>
    <w:rsid w:val="00B25D5F"/>
    <w:rsid w:val="00B2618E"/>
    <w:rsid w:val="00B26EB9"/>
    <w:rsid w:val="00B30892"/>
    <w:rsid w:val="00B31FDE"/>
    <w:rsid w:val="00B32830"/>
    <w:rsid w:val="00B32EF6"/>
    <w:rsid w:val="00B32F3B"/>
    <w:rsid w:val="00B3339D"/>
    <w:rsid w:val="00B35102"/>
    <w:rsid w:val="00B361BA"/>
    <w:rsid w:val="00B36AB5"/>
    <w:rsid w:val="00B41F6E"/>
    <w:rsid w:val="00B427B1"/>
    <w:rsid w:val="00B42FAF"/>
    <w:rsid w:val="00B43745"/>
    <w:rsid w:val="00B506E6"/>
    <w:rsid w:val="00B5078F"/>
    <w:rsid w:val="00B50FEA"/>
    <w:rsid w:val="00B51175"/>
    <w:rsid w:val="00B5160B"/>
    <w:rsid w:val="00B527A0"/>
    <w:rsid w:val="00B52F60"/>
    <w:rsid w:val="00B536B1"/>
    <w:rsid w:val="00B5397C"/>
    <w:rsid w:val="00B53CE0"/>
    <w:rsid w:val="00B54FA9"/>
    <w:rsid w:val="00B55C6F"/>
    <w:rsid w:val="00B5648E"/>
    <w:rsid w:val="00B57B0B"/>
    <w:rsid w:val="00B60394"/>
    <w:rsid w:val="00B604E8"/>
    <w:rsid w:val="00B61A4C"/>
    <w:rsid w:val="00B625BA"/>
    <w:rsid w:val="00B62E51"/>
    <w:rsid w:val="00B637AF"/>
    <w:rsid w:val="00B64308"/>
    <w:rsid w:val="00B65798"/>
    <w:rsid w:val="00B663F5"/>
    <w:rsid w:val="00B667D6"/>
    <w:rsid w:val="00B66A26"/>
    <w:rsid w:val="00B66DE7"/>
    <w:rsid w:val="00B70749"/>
    <w:rsid w:val="00B7083B"/>
    <w:rsid w:val="00B7098C"/>
    <w:rsid w:val="00B714FB"/>
    <w:rsid w:val="00B71CC4"/>
    <w:rsid w:val="00B71F74"/>
    <w:rsid w:val="00B723EE"/>
    <w:rsid w:val="00B7266F"/>
    <w:rsid w:val="00B72979"/>
    <w:rsid w:val="00B72EF1"/>
    <w:rsid w:val="00B73C23"/>
    <w:rsid w:val="00B74C02"/>
    <w:rsid w:val="00B7500C"/>
    <w:rsid w:val="00B75083"/>
    <w:rsid w:val="00B75BD0"/>
    <w:rsid w:val="00B771FF"/>
    <w:rsid w:val="00B77338"/>
    <w:rsid w:val="00B800C2"/>
    <w:rsid w:val="00B80B78"/>
    <w:rsid w:val="00B80BA8"/>
    <w:rsid w:val="00B80C7B"/>
    <w:rsid w:val="00B80FB1"/>
    <w:rsid w:val="00B819B8"/>
    <w:rsid w:val="00B82226"/>
    <w:rsid w:val="00B8224E"/>
    <w:rsid w:val="00B82C45"/>
    <w:rsid w:val="00B84800"/>
    <w:rsid w:val="00B84A33"/>
    <w:rsid w:val="00B8611A"/>
    <w:rsid w:val="00B86F99"/>
    <w:rsid w:val="00B87F5E"/>
    <w:rsid w:val="00B90307"/>
    <w:rsid w:val="00B90FCD"/>
    <w:rsid w:val="00B91C08"/>
    <w:rsid w:val="00B92262"/>
    <w:rsid w:val="00B93EFE"/>
    <w:rsid w:val="00B94D89"/>
    <w:rsid w:val="00B95046"/>
    <w:rsid w:val="00B97AAB"/>
    <w:rsid w:val="00BA054F"/>
    <w:rsid w:val="00BA091C"/>
    <w:rsid w:val="00BA123B"/>
    <w:rsid w:val="00BA1E03"/>
    <w:rsid w:val="00BA3721"/>
    <w:rsid w:val="00BA41BB"/>
    <w:rsid w:val="00BA440E"/>
    <w:rsid w:val="00BA5A0E"/>
    <w:rsid w:val="00BA64F4"/>
    <w:rsid w:val="00BA7351"/>
    <w:rsid w:val="00BA7802"/>
    <w:rsid w:val="00BA7C9C"/>
    <w:rsid w:val="00BB059B"/>
    <w:rsid w:val="00BB09E5"/>
    <w:rsid w:val="00BB18A1"/>
    <w:rsid w:val="00BB18CF"/>
    <w:rsid w:val="00BB1A9D"/>
    <w:rsid w:val="00BB4B21"/>
    <w:rsid w:val="00BB5DBE"/>
    <w:rsid w:val="00BB5FC3"/>
    <w:rsid w:val="00BC06A9"/>
    <w:rsid w:val="00BC07D6"/>
    <w:rsid w:val="00BC0999"/>
    <w:rsid w:val="00BC0CFB"/>
    <w:rsid w:val="00BC0EB4"/>
    <w:rsid w:val="00BC1DDA"/>
    <w:rsid w:val="00BC28C9"/>
    <w:rsid w:val="00BC46CC"/>
    <w:rsid w:val="00BC49BE"/>
    <w:rsid w:val="00BC4CD6"/>
    <w:rsid w:val="00BC521E"/>
    <w:rsid w:val="00BC6909"/>
    <w:rsid w:val="00BC75DD"/>
    <w:rsid w:val="00BC7BFF"/>
    <w:rsid w:val="00BD1D58"/>
    <w:rsid w:val="00BD2383"/>
    <w:rsid w:val="00BD30D1"/>
    <w:rsid w:val="00BD35B8"/>
    <w:rsid w:val="00BD3C26"/>
    <w:rsid w:val="00BD46BE"/>
    <w:rsid w:val="00BD4E1C"/>
    <w:rsid w:val="00BD64D1"/>
    <w:rsid w:val="00BD763A"/>
    <w:rsid w:val="00BD7EA0"/>
    <w:rsid w:val="00BE11FF"/>
    <w:rsid w:val="00BE2210"/>
    <w:rsid w:val="00BE428A"/>
    <w:rsid w:val="00BE5014"/>
    <w:rsid w:val="00BE5AC7"/>
    <w:rsid w:val="00BE6565"/>
    <w:rsid w:val="00BE6A50"/>
    <w:rsid w:val="00BE6E3E"/>
    <w:rsid w:val="00BE7679"/>
    <w:rsid w:val="00BF0CE3"/>
    <w:rsid w:val="00BF0D28"/>
    <w:rsid w:val="00BF0DD6"/>
    <w:rsid w:val="00BF2483"/>
    <w:rsid w:val="00BF3D99"/>
    <w:rsid w:val="00BF3E58"/>
    <w:rsid w:val="00BF4A8E"/>
    <w:rsid w:val="00BF50A7"/>
    <w:rsid w:val="00BF52D9"/>
    <w:rsid w:val="00BF569F"/>
    <w:rsid w:val="00BF6A6B"/>
    <w:rsid w:val="00BF73E4"/>
    <w:rsid w:val="00BF75D8"/>
    <w:rsid w:val="00BF78DE"/>
    <w:rsid w:val="00C024F9"/>
    <w:rsid w:val="00C026BA"/>
    <w:rsid w:val="00C047B7"/>
    <w:rsid w:val="00C050D0"/>
    <w:rsid w:val="00C0538B"/>
    <w:rsid w:val="00C05876"/>
    <w:rsid w:val="00C05D0E"/>
    <w:rsid w:val="00C0628D"/>
    <w:rsid w:val="00C10D1F"/>
    <w:rsid w:val="00C111E6"/>
    <w:rsid w:val="00C12A65"/>
    <w:rsid w:val="00C1431C"/>
    <w:rsid w:val="00C14D42"/>
    <w:rsid w:val="00C15FB6"/>
    <w:rsid w:val="00C2017F"/>
    <w:rsid w:val="00C2042A"/>
    <w:rsid w:val="00C209B0"/>
    <w:rsid w:val="00C21C58"/>
    <w:rsid w:val="00C22B02"/>
    <w:rsid w:val="00C23C8C"/>
    <w:rsid w:val="00C23DC8"/>
    <w:rsid w:val="00C24525"/>
    <w:rsid w:val="00C24C1C"/>
    <w:rsid w:val="00C25D16"/>
    <w:rsid w:val="00C268B6"/>
    <w:rsid w:val="00C27AB8"/>
    <w:rsid w:val="00C3042D"/>
    <w:rsid w:val="00C308A0"/>
    <w:rsid w:val="00C30BE3"/>
    <w:rsid w:val="00C33626"/>
    <w:rsid w:val="00C362B7"/>
    <w:rsid w:val="00C36480"/>
    <w:rsid w:val="00C3686F"/>
    <w:rsid w:val="00C3693F"/>
    <w:rsid w:val="00C37085"/>
    <w:rsid w:val="00C373B4"/>
    <w:rsid w:val="00C37A6A"/>
    <w:rsid w:val="00C4025D"/>
    <w:rsid w:val="00C402A1"/>
    <w:rsid w:val="00C402BC"/>
    <w:rsid w:val="00C40757"/>
    <w:rsid w:val="00C41E9C"/>
    <w:rsid w:val="00C436B8"/>
    <w:rsid w:val="00C4404F"/>
    <w:rsid w:val="00C443D7"/>
    <w:rsid w:val="00C44F81"/>
    <w:rsid w:val="00C45C5F"/>
    <w:rsid w:val="00C463C4"/>
    <w:rsid w:val="00C46865"/>
    <w:rsid w:val="00C46F21"/>
    <w:rsid w:val="00C47EC9"/>
    <w:rsid w:val="00C50537"/>
    <w:rsid w:val="00C529E5"/>
    <w:rsid w:val="00C52DC6"/>
    <w:rsid w:val="00C53DFF"/>
    <w:rsid w:val="00C54339"/>
    <w:rsid w:val="00C54B29"/>
    <w:rsid w:val="00C54B50"/>
    <w:rsid w:val="00C56972"/>
    <w:rsid w:val="00C57DB1"/>
    <w:rsid w:val="00C57F52"/>
    <w:rsid w:val="00C60B8C"/>
    <w:rsid w:val="00C614CD"/>
    <w:rsid w:val="00C620FD"/>
    <w:rsid w:val="00C626E3"/>
    <w:rsid w:val="00C63517"/>
    <w:rsid w:val="00C639E4"/>
    <w:rsid w:val="00C64B9F"/>
    <w:rsid w:val="00C64D58"/>
    <w:rsid w:val="00C6566C"/>
    <w:rsid w:val="00C66C66"/>
    <w:rsid w:val="00C671F2"/>
    <w:rsid w:val="00C6729E"/>
    <w:rsid w:val="00C67377"/>
    <w:rsid w:val="00C71CED"/>
    <w:rsid w:val="00C724DF"/>
    <w:rsid w:val="00C736F6"/>
    <w:rsid w:val="00C73CDE"/>
    <w:rsid w:val="00C7527F"/>
    <w:rsid w:val="00C76318"/>
    <w:rsid w:val="00C764FA"/>
    <w:rsid w:val="00C76FB9"/>
    <w:rsid w:val="00C778C6"/>
    <w:rsid w:val="00C7797A"/>
    <w:rsid w:val="00C77B83"/>
    <w:rsid w:val="00C808AD"/>
    <w:rsid w:val="00C80AC0"/>
    <w:rsid w:val="00C80C62"/>
    <w:rsid w:val="00C82A8A"/>
    <w:rsid w:val="00C83C23"/>
    <w:rsid w:val="00C850BF"/>
    <w:rsid w:val="00C85A11"/>
    <w:rsid w:val="00C8634C"/>
    <w:rsid w:val="00C9052C"/>
    <w:rsid w:val="00C9141F"/>
    <w:rsid w:val="00C93668"/>
    <w:rsid w:val="00C945F7"/>
    <w:rsid w:val="00C96289"/>
    <w:rsid w:val="00C96765"/>
    <w:rsid w:val="00C96A1F"/>
    <w:rsid w:val="00C96FE5"/>
    <w:rsid w:val="00CA0104"/>
    <w:rsid w:val="00CA0D21"/>
    <w:rsid w:val="00CA1445"/>
    <w:rsid w:val="00CA168B"/>
    <w:rsid w:val="00CA179F"/>
    <w:rsid w:val="00CA199E"/>
    <w:rsid w:val="00CA2DDB"/>
    <w:rsid w:val="00CA41E5"/>
    <w:rsid w:val="00CA4694"/>
    <w:rsid w:val="00CA6EA4"/>
    <w:rsid w:val="00CA79F9"/>
    <w:rsid w:val="00CB032B"/>
    <w:rsid w:val="00CB0554"/>
    <w:rsid w:val="00CB059D"/>
    <w:rsid w:val="00CB099C"/>
    <w:rsid w:val="00CB2C9A"/>
    <w:rsid w:val="00CB2F0B"/>
    <w:rsid w:val="00CB4374"/>
    <w:rsid w:val="00CB5D8F"/>
    <w:rsid w:val="00CB6D26"/>
    <w:rsid w:val="00CB700F"/>
    <w:rsid w:val="00CC0DDB"/>
    <w:rsid w:val="00CC1136"/>
    <w:rsid w:val="00CC17C5"/>
    <w:rsid w:val="00CC22CC"/>
    <w:rsid w:val="00CC24E0"/>
    <w:rsid w:val="00CC2CDC"/>
    <w:rsid w:val="00CC37D6"/>
    <w:rsid w:val="00CC3FE7"/>
    <w:rsid w:val="00CC414D"/>
    <w:rsid w:val="00CC42C8"/>
    <w:rsid w:val="00CC51E3"/>
    <w:rsid w:val="00CC5606"/>
    <w:rsid w:val="00CC62C0"/>
    <w:rsid w:val="00CC6C9F"/>
    <w:rsid w:val="00CC7B22"/>
    <w:rsid w:val="00CD02A5"/>
    <w:rsid w:val="00CD1131"/>
    <w:rsid w:val="00CD2ABD"/>
    <w:rsid w:val="00CD31FC"/>
    <w:rsid w:val="00CD3E53"/>
    <w:rsid w:val="00CD5407"/>
    <w:rsid w:val="00CD61DE"/>
    <w:rsid w:val="00CD68F1"/>
    <w:rsid w:val="00CD6A5E"/>
    <w:rsid w:val="00CD74E7"/>
    <w:rsid w:val="00CD7F0B"/>
    <w:rsid w:val="00CE0A66"/>
    <w:rsid w:val="00CE1BA3"/>
    <w:rsid w:val="00CE2686"/>
    <w:rsid w:val="00CE400E"/>
    <w:rsid w:val="00CE4A12"/>
    <w:rsid w:val="00CE4D1E"/>
    <w:rsid w:val="00CE5AF0"/>
    <w:rsid w:val="00CE670E"/>
    <w:rsid w:val="00CF06D2"/>
    <w:rsid w:val="00CF1A8E"/>
    <w:rsid w:val="00CF1EA3"/>
    <w:rsid w:val="00CF2120"/>
    <w:rsid w:val="00CF22D6"/>
    <w:rsid w:val="00CF2D90"/>
    <w:rsid w:val="00CF2F76"/>
    <w:rsid w:val="00CF3DA0"/>
    <w:rsid w:val="00CF3F77"/>
    <w:rsid w:val="00CF457C"/>
    <w:rsid w:val="00CF45BD"/>
    <w:rsid w:val="00CF4847"/>
    <w:rsid w:val="00CF587C"/>
    <w:rsid w:val="00CF5A2D"/>
    <w:rsid w:val="00CF68EB"/>
    <w:rsid w:val="00CF7319"/>
    <w:rsid w:val="00CF767E"/>
    <w:rsid w:val="00D01688"/>
    <w:rsid w:val="00D043CA"/>
    <w:rsid w:val="00D044DC"/>
    <w:rsid w:val="00D04B57"/>
    <w:rsid w:val="00D05A02"/>
    <w:rsid w:val="00D0725D"/>
    <w:rsid w:val="00D072CB"/>
    <w:rsid w:val="00D0786D"/>
    <w:rsid w:val="00D07AAE"/>
    <w:rsid w:val="00D10A61"/>
    <w:rsid w:val="00D1165B"/>
    <w:rsid w:val="00D11F38"/>
    <w:rsid w:val="00D11F49"/>
    <w:rsid w:val="00D123BA"/>
    <w:rsid w:val="00D12DC9"/>
    <w:rsid w:val="00D13B54"/>
    <w:rsid w:val="00D1425F"/>
    <w:rsid w:val="00D153F1"/>
    <w:rsid w:val="00D1577F"/>
    <w:rsid w:val="00D15B54"/>
    <w:rsid w:val="00D15FF5"/>
    <w:rsid w:val="00D17467"/>
    <w:rsid w:val="00D201B6"/>
    <w:rsid w:val="00D2023C"/>
    <w:rsid w:val="00D2150F"/>
    <w:rsid w:val="00D215DF"/>
    <w:rsid w:val="00D216BC"/>
    <w:rsid w:val="00D223CB"/>
    <w:rsid w:val="00D24292"/>
    <w:rsid w:val="00D247B7"/>
    <w:rsid w:val="00D26DC4"/>
    <w:rsid w:val="00D30500"/>
    <w:rsid w:val="00D32601"/>
    <w:rsid w:val="00D33E3B"/>
    <w:rsid w:val="00D3605A"/>
    <w:rsid w:val="00D360DE"/>
    <w:rsid w:val="00D36A2D"/>
    <w:rsid w:val="00D40B85"/>
    <w:rsid w:val="00D41726"/>
    <w:rsid w:val="00D44B8C"/>
    <w:rsid w:val="00D45039"/>
    <w:rsid w:val="00D46213"/>
    <w:rsid w:val="00D46C7C"/>
    <w:rsid w:val="00D471F4"/>
    <w:rsid w:val="00D47392"/>
    <w:rsid w:val="00D501AE"/>
    <w:rsid w:val="00D501DC"/>
    <w:rsid w:val="00D52B26"/>
    <w:rsid w:val="00D535AC"/>
    <w:rsid w:val="00D53A19"/>
    <w:rsid w:val="00D555C7"/>
    <w:rsid w:val="00D55D19"/>
    <w:rsid w:val="00D566F4"/>
    <w:rsid w:val="00D56E94"/>
    <w:rsid w:val="00D60855"/>
    <w:rsid w:val="00D608F9"/>
    <w:rsid w:val="00D61B45"/>
    <w:rsid w:val="00D621E1"/>
    <w:rsid w:val="00D621F5"/>
    <w:rsid w:val="00D625E3"/>
    <w:rsid w:val="00D644CC"/>
    <w:rsid w:val="00D64542"/>
    <w:rsid w:val="00D65230"/>
    <w:rsid w:val="00D65AC8"/>
    <w:rsid w:val="00D6752D"/>
    <w:rsid w:val="00D703F1"/>
    <w:rsid w:val="00D70E99"/>
    <w:rsid w:val="00D737D8"/>
    <w:rsid w:val="00D7389E"/>
    <w:rsid w:val="00D75B94"/>
    <w:rsid w:val="00D76647"/>
    <w:rsid w:val="00D76964"/>
    <w:rsid w:val="00D76C18"/>
    <w:rsid w:val="00D76C81"/>
    <w:rsid w:val="00D76D6E"/>
    <w:rsid w:val="00D77C4E"/>
    <w:rsid w:val="00D80638"/>
    <w:rsid w:val="00D81F86"/>
    <w:rsid w:val="00D83AB8"/>
    <w:rsid w:val="00D83F9D"/>
    <w:rsid w:val="00D84009"/>
    <w:rsid w:val="00D852AD"/>
    <w:rsid w:val="00D9147D"/>
    <w:rsid w:val="00D9148D"/>
    <w:rsid w:val="00D91707"/>
    <w:rsid w:val="00D92DF9"/>
    <w:rsid w:val="00D93C56"/>
    <w:rsid w:val="00D9570F"/>
    <w:rsid w:val="00D96773"/>
    <w:rsid w:val="00DA08B7"/>
    <w:rsid w:val="00DA0EC9"/>
    <w:rsid w:val="00DA14B0"/>
    <w:rsid w:val="00DA1AFC"/>
    <w:rsid w:val="00DA2175"/>
    <w:rsid w:val="00DA3B29"/>
    <w:rsid w:val="00DA3E0F"/>
    <w:rsid w:val="00DA49AE"/>
    <w:rsid w:val="00DA7789"/>
    <w:rsid w:val="00DB2AF2"/>
    <w:rsid w:val="00DB426E"/>
    <w:rsid w:val="00DB4908"/>
    <w:rsid w:val="00DB4C7E"/>
    <w:rsid w:val="00DB5256"/>
    <w:rsid w:val="00DB529C"/>
    <w:rsid w:val="00DB6D0D"/>
    <w:rsid w:val="00DC075C"/>
    <w:rsid w:val="00DC09E4"/>
    <w:rsid w:val="00DC1521"/>
    <w:rsid w:val="00DC1DAF"/>
    <w:rsid w:val="00DC5946"/>
    <w:rsid w:val="00DC5B37"/>
    <w:rsid w:val="00DC6F7C"/>
    <w:rsid w:val="00DC6FBB"/>
    <w:rsid w:val="00DD0164"/>
    <w:rsid w:val="00DD07B2"/>
    <w:rsid w:val="00DD07C4"/>
    <w:rsid w:val="00DD0DF9"/>
    <w:rsid w:val="00DD1373"/>
    <w:rsid w:val="00DD206D"/>
    <w:rsid w:val="00DD2B7D"/>
    <w:rsid w:val="00DD2EB5"/>
    <w:rsid w:val="00DD38C3"/>
    <w:rsid w:val="00DD4213"/>
    <w:rsid w:val="00DD5D38"/>
    <w:rsid w:val="00DD6B20"/>
    <w:rsid w:val="00DD6DB1"/>
    <w:rsid w:val="00DD6F1E"/>
    <w:rsid w:val="00DD748A"/>
    <w:rsid w:val="00DE05FE"/>
    <w:rsid w:val="00DE116A"/>
    <w:rsid w:val="00DE26B1"/>
    <w:rsid w:val="00DE2D39"/>
    <w:rsid w:val="00DE55ED"/>
    <w:rsid w:val="00DE59AC"/>
    <w:rsid w:val="00DE5D89"/>
    <w:rsid w:val="00DE5EE8"/>
    <w:rsid w:val="00DE61D4"/>
    <w:rsid w:val="00DE6954"/>
    <w:rsid w:val="00DE74EC"/>
    <w:rsid w:val="00DE77A3"/>
    <w:rsid w:val="00DE7DBA"/>
    <w:rsid w:val="00DF0694"/>
    <w:rsid w:val="00DF0A8B"/>
    <w:rsid w:val="00DF0B01"/>
    <w:rsid w:val="00DF0F28"/>
    <w:rsid w:val="00DF1624"/>
    <w:rsid w:val="00DF2D09"/>
    <w:rsid w:val="00DF4858"/>
    <w:rsid w:val="00DF4CF2"/>
    <w:rsid w:val="00DF5328"/>
    <w:rsid w:val="00DF54E5"/>
    <w:rsid w:val="00DF56B6"/>
    <w:rsid w:val="00DF5A46"/>
    <w:rsid w:val="00DF6420"/>
    <w:rsid w:val="00DF67DE"/>
    <w:rsid w:val="00DF68C7"/>
    <w:rsid w:val="00DF747B"/>
    <w:rsid w:val="00DF7D5B"/>
    <w:rsid w:val="00E00F45"/>
    <w:rsid w:val="00E02019"/>
    <w:rsid w:val="00E023DC"/>
    <w:rsid w:val="00E02FB2"/>
    <w:rsid w:val="00E032F5"/>
    <w:rsid w:val="00E0517A"/>
    <w:rsid w:val="00E065AE"/>
    <w:rsid w:val="00E10B5B"/>
    <w:rsid w:val="00E11105"/>
    <w:rsid w:val="00E1238C"/>
    <w:rsid w:val="00E144A1"/>
    <w:rsid w:val="00E14A49"/>
    <w:rsid w:val="00E157FD"/>
    <w:rsid w:val="00E15DFD"/>
    <w:rsid w:val="00E16939"/>
    <w:rsid w:val="00E170CB"/>
    <w:rsid w:val="00E17577"/>
    <w:rsid w:val="00E1766A"/>
    <w:rsid w:val="00E17D2E"/>
    <w:rsid w:val="00E20CFD"/>
    <w:rsid w:val="00E21272"/>
    <w:rsid w:val="00E214F0"/>
    <w:rsid w:val="00E2261B"/>
    <w:rsid w:val="00E228C6"/>
    <w:rsid w:val="00E236CE"/>
    <w:rsid w:val="00E2403A"/>
    <w:rsid w:val="00E24526"/>
    <w:rsid w:val="00E25624"/>
    <w:rsid w:val="00E25D85"/>
    <w:rsid w:val="00E2608C"/>
    <w:rsid w:val="00E266D0"/>
    <w:rsid w:val="00E267E6"/>
    <w:rsid w:val="00E27CE5"/>
    <w:rsid w:val="00E30921"/>
    <w:rsid w:val="00E31674"/>
    <w:rsid w:val="00E31B02"/>
    <w:rsid w:val="00E327CF"/>
    <w:rsid w:val="00E33262"/>
    <w:rsid w:val="00E33476"/>
    <w:rsid w:val="00E33506"/>
    <w:rsid w:val="00E33F38"/>
    <w:rsid w:val="00E33FF8"/>
    <w:rsid w:val="00E3436F"/>
    <w:rsid w:val="00E34501"/>
    <w:rsid w:val="00E34A4C"/>
    <w:rsid w:val="00E34F3B"/>
    <w:rsid w:val="00E35464"/>
    <w:rsid w:val="00E35B8F"/>
    <w:rsid w:val="00E35C4F"/>
    <w:rsid w:val="00E40078"/>
    <w:rsid w:val="00E40B79"/>
    <w:rsid w:val="00E40FAB"/>
    <w:rsid w:val="00E4194E"/>
    <w:rsid w:val="00E440EE"/>
    <w:rsid w:val="00E44212"/>
    <w:rsid w:val="00E4461B"/>
    <w:rsid w:val="00E4498D"/>
    <w:rsid w:val="00E4520C"/>
    <w:rsid w:val="00E45F89"/>
    <w:rsid w:val="00E46F2F"/>
    <w:rsid w:val="00E47400"/>
    <w:rsid w:val="00E47C7F"/>
    <w:rsid w:val="00E50787"/>
    <w:rsid w:val="00E5095D"/>
    <w:rsid w:val="00E518F6"/>
    <w:rsid w:val="00E526E9"/>
    <w:rsid w:val="00E529E2"/>
    <w:rsid w:val="00E52B1C"/>
    <w:rsid w:val="00E52F28"/>
    <w:rsid w:val="00E539BA"/>
    <w:rsid w:val="00E53A91"/>
    <w:rsid w:val="00E54241"/>
    <w:rsid w:val="00E54C5B"/>
    <w:rsid w:val="00E557B3"/>
    <w:rsid w:val="00E55870"/>
    <w:rsid w:val="00E55C1F"/>
    <w:rsid w:val="00E573A3"/>
    <w:rsid w:val="00E60057"/>
    <w:rsid w:val="00E608F9"/>
    <w:rsid w:val="00E622BD"/>
    <w:rsid w:val="00E62B01"/>
    <w:rsid w:val="00E63900"/>
    <w:rsid w:val="00E63F9A"/>
    <w:rsid w:val="00E64731"/>
    <w:rsid w:val="00E64B67"/>
    <w:rsid w:val="00E654D0"/>
    <w:rsid w:val="00E668F1"/>
    <w:rsid w:val="00E669CD"/>
    <w:rsid w:val="00E675F4"/>
    <w:rsid w:val="00E70240"/>
    <w:rsid w:val="00E70A2C"/>
    <w:rsid w:val="00E70B9C"/>
    <w:rsid w:val="00E7193E"/>
    <w:rsid w:val="00E726A1"/>
    <w:rsid w:val="00E7396A"/>
    <w:rsid w:val="00E73B88"/>
    <w:rsid w:val="00E74293"/>
    <w:rsid w:val="00E74A9E"/>
    <w:rsid w:val="00E74F28"/>
    <w:rsid w:val="00E77659"/>
    <w:rsid w:val="00E80907"/>
    <w:rsid w:val="00E80FD6"/>
    <w:rsid w:val="00E81A92"/>
    <w:rsid w:val="00E81D40"/>
    <w:rsid w:val="00E8263F"/>
    <w:rsid w:val="00E83A1D"/>
    <w:rsid w:val="00E83C29"/>
    <w:rsid w:val="00E8444C"/>
    <w:rsid w:val="00E847A7"/>
    <w:rsid w:val="00E85FF2"/>
    <w:rsid w:val="00E86A62"/>
    <w:rsid w:val="00E86CBA"/>
    <w:rsid w:val="00E87A81"/>
    <w:rsid w:val="00E90694"/>
    <w:rsid w:val="00E90E39"/>
    <w:rsid w:val="00E91C74"/>
    <w:rsid w:val="00E922C4"/>
    <w:rsid w:val="00E93C25"/>
    <w:rsid w:val="00E95310"/>
    <w:rsid w:val="00E95F60"/>
    <w:rsid w:val="00E966D9"/>
    <w:rsid w:val="00E96817"/>
    <w:rsid w:val="00E96A75"/>
    <w:rsid w:val="00EA03FE"/>
    <w:rsid w:val="00EA1FF5"/>
    <w:rsid w:val="00EA28A2"/>
    <w:rsid w:val="00EA2D66"/>
    <w:rsid w:val="00EA355E"/>
    <w:rsid w:val="00EA3805"/>
    <w:rsid w:val="00EA447F"/>
    <w:rsid w:val="00EA5D8D"/>
    <w:rsid w:val="00EA7C88"/>
    <w:rsid w:val="00EB056F"/>
    <w:rsid w:val="00EB1557"/>
    <w:rsid w:val="00EB2503"/>
    <w:rsid w:val="00EB2F47"/>
    <w:rsid w:val="00EB3C91"/>
    <w:rsid w:val="00EB6227"/>
    <w:rsid w:val="00EB7CDD"/>
    <w:rsid w:val="00EC088C"/>
    <w:rsid w:val="00EC1F14"/>
    <w:rsid w:val="00EC205C"/>
    <w:rsid w:val="00EC22F2"/>
    <w:rsid w:val="00EC2A56"/>
    <w:rsid w:val="00EC38FB"/>
    <w:rsid w:val="00EC595A"/>
    <w:rsid w:val="00EC64C5"/>
    <w:rsid w:val="00ED1A84"/>
    <w:rsid w:val="00ED27A7"/>
    <w:rsid w:val="00ED329F"/>
    <w:rsid w:val="00ED3522"/>
    <w:rsid w:val="00ED357F"/>
    <w:rsid w:val="00ED3CF2"/>
    <w:rsid w:val="00ED4A34"/>
    <w:rsid w:val="00ED4E40"/>
    <w:rsid w:val="00ED5FB4"/>
    <w:rsid w:val="00ED647D"/>
    <w:rsid w:val="00ED7B75"/>
    <w:rsid w:val="00EE1A95"/>
    <w:rsid w:val="00EE30FB"/>
    <w:rsid w:val="00EE314F"/>
    <w:rsid w:val="00EE4C91"/>
    <w:rsid w:val="00EE570F"/>
    <w:rsid w:val="00EE5ECA"/>
    <w:rsid w:val="00EE5F89"/>
    <w:rsid w:val="00EE6ED4"/>
    <w:rsid w:val="00EE738E"/>
    <w:rsid w:val="00EE7F11"/>
    <w:rsid w:val="00EF004D"/>
    <w:rsid w:val="00EF04AB"/>
    <w:rsid w:val="00EF07C1"/>
    <w:rsid w:val="00EF1B2D"/>
    <w:rsid w:val="00EF28B4"/>
    <w:rsid w:val="00EF52B3"/>
    <w:rsid w:val="00EF6146"/>
    <w:rsid w:val="00EF7BA7"/>
    <w:rsid w:val="00F00639"/>
    <w:rsid w:val="00F0196A"/>
    <w:rsid w:val="00F03980"/>
    <w:rsid w:val="00F059AE"/>
    <w:rsid w:val="00F06604"/>
    <w:rsid w:val="00F0689E"/>
    <w:rsid w:val="00F06902"/>
    <w:rsid w:val="00F07B2D"/>
    <w:rsid w:val="00F1001F"/>
    <w:rsid w:val="00F10157"/>
    <w:rsid w:val="00F10964"/>
    <w:rsid w:val="00F1322A"/>
    <w:rsid w:val="00F145BC"/>
    <w:rsid w:val="00F14D58"/>
    <w:rsid w:val="00F15A58"/>
    <w:rsid w:val="00F15FF0"/>
    <w:rsid w:val="00F172EE"/>
    <w:rsid w:val="00F17421"/>
    <w:rsid w:val="00F21E09"/>
    <w:rsid w:val="00F223FF"/>
    <w:rsid w:val="00F22429"/>
    <w:rsid w:val="00F22FC2"/>
    <w:rsid w:val="00F233DE"/>
    <w:rsid w:val="00F23D04"/>
    <w:rsid w:val="00F23ED7"/>
    <w:rsid w:val="00F24232"/>
    <w:rsid w:val="00F248B6"/>
    <w:rsid w:val="00F257FC"/>
    <w:rsid w:val="00F25E06"/>
    <w:rsid w:val="00F2679A"/>
    <w:rsid w:val="00F274BD"/>
    <w:rsid w:val="00F27D41"/>
    <w:rsid w:val="00F30051"/>
    <w:rsid w:val="00F30C88"/>
    <w:rsid w:val="00F30D94"/>
    <w:rsid w:val="00F31637"/>
    <w:rsid w:val="00F31DC9"/>
    <w:rsid w:val="00F32E7F"/>
    <w:rsid w:val="00F33107"/>
    <w:rsid w:val="00F333CC"/>
    <w:rsid w:val="00F33B9F"/>
    <w:rsid w:val="00F35244"/>
    <w:rsid w:val="00F36270"/>
    <w:rsid w:val="00F376E1"/>
    <w:rsid w:val="00F377A3"/>
    <w:rsid w:val="00F4067D"/>
    <w:rsid w:val="00F416B0"/>
    <w:rsid w:val="00F416B5"/>
    <w:rsid w:val="00F41932"/>
    <w:rsid w:val="00F419EC"/>
    <w:rsid w:val="00F41F3B"/>
    <w:rsid w:val="00F4247C"/>
    <w:rsid w:val="00F429C8"/>
    <w:rsid w:val="00F42D84"/>
    <w:rsid w:val="00F42D8E"/>
    <w:rsid w:val="00F43CBD"/>
    <w:rsid w:val="00F4498B"/>
    <w:rsid w:val="00F44C22"/>
    <w:rsid w:val="00F45476"/>
    <w:rsid w:val="00F46E10"/>
    <w:rsid w:val="00F4789A"/>
    <w:rsid w:val="00F47984"/>
    <w:rsid w:val="00F5093E"/>
    <w:rsid w:val="00F519AA"/>
    <w:rsid w:val="00F51C00"/>
    <w:rsid w:val="00F51FDE"/>
    <w:rsid w:val="00F53034"/>
    <w:rsid w:val="00F53D08"/>
    <w:rsid w:val="00F54D71"/>
    <w:rsid w:val="00F54F39"/>
    <w:rsid w:val="00F55363"/>
    <w:rsid w:val="00F560FA"/>
    <w:rsid w:val="00F56E1C"/>
    <w:rsid w:val="00F56FE2"/>
    <w:rsid w:val="00F60B80"/>
    <w:rsid w:val="00F60DDF"/>
    <w:rsid w:val="00F61105"/>
    <w:rsid w:val="00F61126"/>
    <w:rsid w:val="00F6120C"/>
    <w:rsid w:val="00F61364"/>
    <w:rsid w:val="00F614C4"/>
    <w:rsid w:val="00F61A54"/>
    <w:rsid w:val="00F61E2F"/>
    <w:rsid w:val="00F62D57"/>
    <w:rsid w:val="00F673B7"/>
    <w:rsid w:val="00F677FA"/>
    <w:rsid w:val="00F6792B"/>
    <w:rsid w:val="00F67FA4"/>
    <w:rsid w:val="00F71B5D"/>
    <w:rsid w:val="00F7256C"/>
    <w:rsid w:val="00F72CE0"/>
    <w:rsid w:val="00F739CD"/>
    <w:rsid w:val="00F73F65"/>
    <w:rsid w:val="00F743A3"/>
    <w:rsid w:val="00F756C8"/>
    <w:rsid w:val="00F75A59"/>
    <w:rsid w:val="00F7650A"/>
    <w:rsid w:val="00F77852"/>
    <w:rsid w:val="00F77F23"/>
    <w:rsid w:val="00F77F73"/>
    <w:rsid w:val="00F8021A"/>
    <w:rsid w:val="00F81C68"/>
    <w:rsid w:val="00F82664"/>
    <w:rsid w:val="00F8377E"/>
    <w:rsid w:val="00F838F6"/>
    <w:rsid w:val="00F83AED"/>
    <w:rsid w:val="00F8400B"/>
    <w:rsid w:val="00F8404C"/>
    <w:rsid w:val="00F87BD0"/>
    <w:rsid w:val="00F9085E"/>
    <w:rsid w:val="00F90C82"/>
    <w:rsid w:val="00F919EE"/>
    <w:rsid w:val="00F91E6D"/>
    <w:rsid w:val="00F923D3"/>
    <w:rsid w:val="00F92F57"/>
    <w:rsid w:val="00F934B1"/>
    <w:rsid w:val="00F95DDF"/>
    <w:rsid w:val="00F96090"/>
    <w:rsid w:val="00F96108"/>
    <w:rsid w:val="00F972FC"/>
    <w:rsid w:val="00F97603"/>
    <w:rsid w:val="00FA0E01"/>
    <w:rsid w:val="00FA1486"/>
    <w:rsid w:val="00FA1BC5"/>
    <w:rsid w:val="00FA292B"/>
    <w:rsid w:val="00FA5B8E"/>
    <w:rsid w:val="00FA5D75"/>
    <w:rsid w:val="00FA6CD8"/>
    <w:rsid w:val="00FA70A7"/>
    <w:rsid w:val="00FA7CF6"/>
    <w:rsid w:val="00FB0464"/>
    <w:rsid w:val="00FB0BFF"/>
    <w:rsid w:val="00FB17C5"/>
    <w:rsid w:val="00FB185F"/>
    <w:rsid w:val="00FB19BF"/>
    <w:rsid w:val="00FB22E4"/>
    <w:rsid w:val="00FB3431"/>
    <w:rsid w:val="00FB3E46"/>
    <w:rsid w:val="00FB4193"/>
    <w:rsid w:val="00FB5337"/>
    <w:rsid w:val="00FB71F5"/>
    <w:rsid w:val="00FB7AEB"/>
    <w:rsid w:val="00FC1E1C"/>
    <w:rsid w:val="00FC249F"/>
    <w:rsid w:val="00FC2874"/>
    <w:rsid w:val="00FC2E34"/>
    <w:rsid w:val="00FC2F8A"/>
    <w:rsid w:val="00FC3438"/>
    <w:rsid w:val="00FC3B11"/>
    <w:rsid w:val="00FC6374"/>
    <w:rsid w:val="00FC7EAE"/>
    <w:rsid w:val="00FC7F02"/>
    <w:rsid w:val="00FD0126"/>
    <w:rsid w:val="00FD0354"/>
    <w:rsid w:val="00FD06DF"/>
    <w:rsid w:val="00FD0B4D"/>
    <w:rsid w:val="00FD1A9D"/>
    <w:rsid w:val="00FD20B2"/>
    <w:rsid w:val="00FD2C2F"/>
    <w:rsid w:val="00FD360C"/>
    <w:rsid w:val="00FD38DF"/>
    <w:rsid w:val="00FD3D57"/>
    <w:rsid w:val="00FD3DF4"/>
    <w:rsid w:val="00FD45A6"/>
    <w:rsid w:val="00FD5F23"/>
    <w:rsid w:val="00FD704C"/>
    <w:rsid w:val="00FE2039"/>
    <w:rsid w:val="00FE20D2"/>
    <w:rsid w:val="00FE2B78"/>
    <w:rsid w:val="00FE2BB7"/>
    <w:rsid w:val="00FE2CAF"/>
    <w:rsid w:val="00FE316C"/>
    <w:rsid w:val="00FE32E4"/>
    <w:rsid w:val="00FE5CB4"/>
    <w:rsid w:val="00FE5D9A"/>
    <w:rsid w:val="00FE6AB4"/>
    <w:rsid w:val="00FE7CF0"/>
    <w:rsid w:val="00FF0C83"/>
    <w:rsid w:val="00FF0DB3"/>
    <w:rsid w:val="00FF136B"/>
    <w:rsid w:val="00FF1E4F"/>
    <w:rsid w:val="00FF2473"/>
    <w:rsid w:val="00FF2632"/>
    <w:rsid w:val="00FF2955"/>
    <w:rsid w:val="00FF35D3"/>
    <w:rsid w:val="00FF4401"/>
    <w:rsid w:val="00FF4459"/>
    <w:rsid w:val="00FF4509"/>
    <w:rsid w:val="00FF45FB"/>
    <w:rsid w:val="00FF4AEA"/>
    <w:rsid w:val="00FF524D"/>
    <w:rsid w:val="00FF5742"/>
    <w:rsid w:val="00FF607A"/>
    <w:rsid w:val="00FF60B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490BA"/>
  <w15:docId w15:val="{B3135576-6635-4CD1-94A5-622EDE2BE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951"/>
    <w:pPr>
      <w:spacing w:before="120" w:after="120"/>
    </w:pPr>
    <w:rPr>
      <w:rFonts w:eastAsia="Times New Roman"/>
      <w:sz w:val="22"/>
      <w:lang w:eastAsia="en-AU"/>
    </w:rPr>
  </w:style>
  <w:style w:type="paragraph" w:styleId="Heading1">
    <w:name w:val="heading 1"/>
    <w:basedOn w:val="Normal"/>
    <w:next w:val="Normal"/>
    <w:link w:val="Heading1Char"/>
    <w:qFormat/>
    <w:rsid w:val="00E25624"/>
    <w:pPr>
      <w:keepNext/>
      <w:spacing w:before="600" w:line="460" w:lineRule="exact"/>
      <w:outlineLvl w:val="0"/>
    </w:pPr>
    <w:rPr>
      <w:rFonts w:cs="Arial"/>
      <w:b/>
      <w:color w:val="5D779D" w:themeColor="accent3"/>
      <w:kern w:val="32"/>
      <w:sz w:val="36"/>
      <w:szCs w:val="36"/>
    </w:rPr>
  </w:style>
  <w:style w:type="paragraph" w:styleId="Heading2">
    <w:name w:val="heading 2"/>
    <w:basedOn w:val="Normal"/>
    <w:next w:val="Normal"/>
    <w:link w:val="Heading2Char"/>
    <w:qFormat/>
    <w:rsid w:val="00E25624"/>
    <w:pPr>
      <w:keepNext/>
      <w:spacing w:before="360" w:line="460" w:lineRule="exact"/>
      <w:outlineLvl w:val="1"/>
    </w:pPr>
    <w:rPr>
      <w:rFonts w:cs="Arial"/>
      <w:iCs/>
      <w:color w:val="2C384A"/>
      <w:kern w:val="32"/>
      <w:sz w:val="32"/>
      <w:szCs w:val="28"/>
    </w:rPr>
  </w:style>
  <w:style w:type="paragraph" w:styleId="Heading3">
    <w:name w:val="heading 3"/>
    <w:basedOn w:val="Normal"/>
    <w:next w:val="Normal"/>
    <w:link w:val="Heading3Char"/>
    <w:qFormat/>
    <w:rsid w:val="00E25624"/>
    <w:pPr>
      <w:keepNext/>
      <w:spacing w:before="320" w:after="0" w:line="276" w:lineRule="auto"/>
      <w:outlineLvl w:val="2"/>
    </w:pPr>
    <w:rPr>
      <w:rFonts w:cs="Arial"/>
      <w:b/>
      <w:color w:val="5D779D" w:themeColor="accent3"/>
      <w:kern w:val="32"/>
      <w:sz w:val="28"/>
      <w:szCs w:val="26"/>
    </w:rPr>
  </w:style>
  <w:style w:type="paragraph" w:styleId="Heading4">
    <w:name w:val="heading 4"/>
    <w:basedOn w:val="Normal"/>
    <w:next w:val="Normal"/>
    <w:link w:val="Heading4Char"/>
    <w:qFormat/>
    <w:rsid w:val="00E25624"/>
    <w:pPr>
      <w:keepNext/>
      <w:spacing w:before="280" w:after="0" w:line="276" w:lineRule="auto"/>
      <w:outlineLvl w:val="3"/>
    </w:pPr>
    <w:rPr>
      <w:rFonts w:cs="Arial"/>
      <w:color w:val="5D779D" w:themeColor="accent3"/>
      <w:kern w:val="32"/>
      <w:szCs w:val="26"/>
    </w:rPr>
  </w:style>
  <w:style w:type="paragraph" w:styleId="Heading5">
    <w:name w:val="heading 5"/>
    <w:basedOn w:val="Normal"/>
    <w:next w:val="Normal"/>
    <w:link w:val="Heading5Char"/>
    <w:rsid w:val="00AE53E5"/>
    <w:pPr>
      <w:keepNext/>
      <w:spacing w:before="240" w:after="0" w:line="276" w:lineRule="auto"/>
      <w:outlineLvl w:val="4"/>
    </w:pPr>
    <w:rPr>
      <w:rFonts w:asciiTheme="majorHAnsi" w:hAnsiTheme="majorHAnsi" w:cs="Arial"/>
      <w:b/>
      <w:iCs/>
      <w:color w:val="000000" w:themeColor="text1"/>
      <w:kern w:val="32"/>
      <w:szCs w:val="36"/>
    </w:rPr>
  </w:style>
  <w:style w:type="paragraph" w:styleId="Heading6">
    <w:name w:val="heading 6"/>
    <w:basedOn w:val="Normal"/>
    <w:next w:val="Normal"/>
    <w:link w:val="Heading6Char"/>
    <w:rsid w:val="00AE53E5"/>
    <w:pPr>
      <w:keepNext/>
      <w:spacing w:after="0" w:line="276" w:lineRule="auto"/>
      <w:outlineLvl w:val="5"/>
    </w:pPr>
    <w:rPr>
      <w:rFonts w:cs="Arial"/>
      <w:color w:val="000000" w:themeColor="text1"/>
      <w:kern w:val="32"/>
      <w:szCs w:val="22"/>
    </w:rPr>
  </w:style>
  <w:style w:type="paragraph" w:styleId="Heading7">
    <w:name w:val="heading 7"/>
    <w:basedOn w:val="Normal"/>
    <w:next w:val="Normal"/>
    <w:link w:val="Heading7Char"/>
    <w:uiPriority w:val="9"/>
    <w:semiHidden/>
    <w:unhideWhenUsed/>
    <w:rsid w:val="00C23C8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3F4"/>
    <w:pPr>
      <w:tabs>
        <w:tab w:val="center" w:pos="4513"/>
        <w:tab w:val="right" w:pos="9026"/>
      </w:tabs>
      <w:spacing w:after="0"/>
      <w:jc w:val="right"/>
    </w:pPr>
    <w:rPr>
      <w:sz w:val="20"/>
    </w:rPr>
  </w:style>
  <w:style w:type="character" w:customStyle="1" w:styleId="HeaderChar">
    <w:name w:val="Header Char"/>
    <w:basedOn w:val="DefaultParagraphFont"/>
    <w:link w:val="Header"/>
    <w:uiPriority w:val="99"/>
    <w:rsid w:val="004B23F4"/>
    <w:rPr>
      <w:rFonts w:eastAsia="Times New Roman"/>
      <w:lang w:eastAsia="en-AU"/>
    </w:rPr>
  </w:style>
  <w:style w:type="paragraph" w:styleId="Footer">
    <w:name w:val="footer"/>
    <w:basedOn w:val="Normal"/>
    <w:link w:val="FooterChar"/>
    <w:uiPriority w:val="99"/>
    <w:rsid w:val="00B01E8F"/>
    <w:pPr>
      <w:tabs>
        <w:tab w:val="right" w:pos="11340"/>
      </w:tabs>
    </w:pPr>
    <w:rPr>
      <w:sz w:val="20"/>
    </w:rPr>
  </w:style>
  <w:style w:type="character" w:customStyle="1" w:styleId="FooterChar">
    <w:name w:val="Footer Char"/>
    <w:basedOn w:val="DefaultParagraphFont"/>
    <w:link w:val="Footer"/>
    <w:uiPriority w:val="99"/>
    <w:rsid w:val="00B01E8F"/>
    <w:rPr>
      <w:rFonts w:eastAsia="Times New Roman"/>
      <w:lang w:eastAsia="en-AU"/>
    </w:rPr>
  </w:style>
  <w:style w:type="paragraph" w:customStyle="1" w:styleId="Reporttitle">
    <w:name w:val="Report title"/>
    <w:basedOn w:val="Normal"/>
    <w:qFormat/>
    <w:rsid w:val="00060AB8"/>
    <w:pPr>
      <w:spacing w:before="960" w:after="240"/>
    </w:pPr>
    <w:rPr>
      <w:b/>
      <w:color w:val="2C384A" w:themeColor="accent1"/>
      <w:spacing w:val="-14"/>
      <w:sz w:val="44"/>
      <w:szCs w:val="68"/>
    </w:rPr>
  </w:style>
  <w:style w:type="character" w:customStyle="1" w:styleId="Heading1Char">
    <w:name w:val="Heading 1 Char"/>
    <w:basedOn w:val="DefaultParagraphFont"/>
    <w:link w:val="Heading1"/>
    <w:rsid w:val="00E25624"/>
    <w:rPr>
      <w:rFonts w:eastAsia="Times New Roman" w:cs="Arial"/>
      <w:b/>
      <w:color w:val="5D779D" w:themeColor="accent3"/>
      <w:kern w:val="32"/>
      <w:sz w:val="36"/>
      <w:szCs w:val="36"/>
      <w:lang w:eastAsia="en-AU"/>
    </w:rPr>
  </w:style>
  <w:style w:type="paragraph" w:customStyle="1" w:styleId="Dash">
    <w:name w:val="Dash"/>
    <w:basedOn w:val="Normal"/>
    <w:link w:val="DashChar"/>
    <w:qFormat/>
    <w:rsid w:val="00BA123B"/>
    <w:pPr>
      <w:numPr>
        <w:ilvl w:val="1"/>
        <w:numId w:val="9"/>
      </w:numPr>
      <w:tabs>
        <w:tab w:val="clear" w:pos="567"/>
      </w:tabs>
      <w:spacing w:before="0"/>
      <w:ind w:left="397" w:hanging="170"/>
    </w:pPr>
  </w:style>
  <w:style w:type="character" w:customStyle="1" w:styleId="DashChar">
    <w:name w:val="Dash Char"/>
    <w:basedOn w:val="DefaultParagraphFont"/>
    <w:link w:val="Dash"/>
    <w:rsid w:val="00BA123B"/>
    <w:rPr>
      <w:rFonts w:ascii="Calibri Light" w:eastAsia="Times New Roman" w:hAnsi="Calibri Light"/>
      <w:sz w:val="22"/>
      <w:lang w:eastAsia="en-AU"/>
    </w:rPr>
  </w:style>
  <w:style w:type="paragraph" w:customStyle="1" w:styleId="DoubleDot">
    <w:name w:val="Double Dot"/>
    <w:basedOn w:val="Normal"/>
    <w:link w:val="DoubleDotChar"/>
    <w:qFormat/>
    <w:rsid w:val="00BA123B"/>
    <w:pPr>
      <w:numPr>
        <w:ilvl w:val="2"/>
        <w:numId w:val="9"/>
      </w:numPr>
      <w:tabs>
        <w:tab w:val="clear" w:pos="850"/>
      </w:tabs>
      <w:spacing w:before="0"/>
      <w:ind w:left="567" w:hanging="17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semiHidden/>
    <w:rsid w:val="008F0B15"/>
    <w:rPr>
      <w:rFonts w:ascii="Tahoma" w:hAnsi="Tahoma" w:cs="Tahoma"/>
      <w:sz w:val="16"/>
      <w:szCs w:val="16"/>
    </w:rPr>
  </w:style>
  <w:style w:type="character" w:customStyle="1" w:styleId="BalloonTextChar">
    <w:name w:val="Balloon Text Char"/>
    <w:basedOn w:val="DefaultParagraphFont"/>
    <w:link w:val="BalloonText"/>
    <w:semiHidden/>
    <w:rsid w:val="00627218"/>
    <w:rPr>
      <w:rFonts w:ascii="Tahoma" w:eastAsia="Times New Roman" w:hAnsi="Tahoma" w:cs="Tahoma"/>
      <w:sz w:val="16"/>
      <w:szCs w:val="16"/>
    </w:rPr>
  </w:style>
  <w:style w:type="character" w:customStyle="1" w:styleId="Heading2Char">
    <w:name w:val="Heading 2 Char"/>
    <w:basedOn w:val="DefaultParagraphFont"/>
    <w:link w:val="Heading2"/>
    <w:rsid w:val="00E25624"/>
    <w:rPr>
      <w:rFonts w:eastAsia="Times New Roman" w:cs="Arial"/>
      <w:iCs/>
      <w:color w:val="2C384A"/>
      <w:kern w:val="32"/>
      <w:sz w:val="32"/>
      <w:szCs w:val="28"/>
      <w:lang w:eastAsia="en-AU"/>
    </w:rPr>
  </w:style>
  <w:style w:type="character" w:customStyle="1" w:styleId="Heading3Char">
    <w:name w:val="Heading 3 Char"/>
    <w:basedOn w:val="DefaultParagraphFont"/>
    <w:link w:val="Heading3"/>
    <w:rsid w:val="00E25624"/>
    <w:rPr>
      <w:rFonts w:eastAsia="Times New Roman" w:cs="Arial"/>
      <w:b/>
      <w:color w:val="5D779D" w:themeColor="accent3"/>
      <w:kern w:val="32"/>
      <w:sz w:val="28"/>
      <w:szCs w:val="26"/>
      <w:lang w:eastAsia="en-AU"/>
    </w:rPr>
  </w:style>
  <w:style w:type="character" w:customStyle="1" w:styleId="Heading4Char">
    <w:name w:val="Heading 4 Char"/>
    <w:basedOn w:val="DefaultParagraphFont"/>
    <w:link w:val="Heading4"/>
    <w:rsid w:val="00E25624"/>
    <w:rPr>
      <w:rFonts w:ascii="Calibri Light" w:eastAsia="Times New Roman" w:hAnsi="Calibri Light" w:cs="Arial"/>
      <w:color w:val="5D779D" w:themeColor="accent3"/>
      <w:kern w:val="32"/>
      <w:sz w:val="22"/>
      <w:szCs w:val="26"/>
      <w:lang w:eastAsia="en-AU"/>
    </w:rPr>
  </w:style>
  <w:style w:type="table" w:styleId="TableGrid">
    <w:name w:val="Table Grid"/>
    <w:basedOn w:val="TableNormal"/>
    <w:uiPriority w:val="5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8D5358"/>
    <w:pPr>
      <w:numPr>
        <w:ilvl w:val="1"/>
      </w:numPr>
      <w:spacing w:after="240"/>
    </w:pPr>
    <w:rPr>
      <w:rFonts w:eastAsiaTheme="minorEastAsia" w:cstheme="minorBidi"/>
      <w:color w:val="10263B"/>
      <w:sz w:val="26"/>
      <w:szCs w:val="26"/>
      <w:lang w:eastAsia="zh-CN"/>
    </w:rPr>
  </w:style>
  <w:style w:type="character" w:styleId="Hyperlink">
    <w:name w:val="Hyperlink"/>
    <w:uiPriority w:val="99"/>
    <w:rsid w:val="008D5358"/>
    <w:rPr>
      <w:color w:val="5D779D" w:themeColor="accent3"/>
      <w:u w:val="single"/>
    </w:rPr>
  </w:style>
  <w:style w:type="character" w:styleId="FollowedHyperlink">
    <w:name w:val="FollowedHyperlink"/>
    <w:basedOn w:val="DefaultParagraphFont"/>
    <w:semiHidden/>
    <w:unhideWhenUsed/>
    <w:rsid w:val="008F0B15"/>
    <w:rPr>
      <w:color w:val="844D9E"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rsid w:val="00AE53E5"/>
    <w:rPr>
      <w:rFonts w:asciiTheme="majorHAnsi" w:eastAsia="Times New Roman" w:hAnsiTheme="majorHAnsi" w:cs="Arial"/>
      <w:b/>
      <w:iCs/>
      <w:color w:val="000000" w:themeColor="text1"/>
      <w:kern w:val="32"/>
      <w:sz w:val="22"/>
      <w:szCs w:val="36"/>
      <w:lang w:eastAsia="en-AU"/>
    </w:rPr>
  </w:style>
  <w:style w:type="paragraph" w:customStyle="1" w:styleId="BoxHeading">
    <w:name w:val="Box Heading"/>
    <w:basedOn w:val="Normal"/>
    <w:next w:val="Normal"/>
    <w:qFormat/>
    <w:rsid w:val="00AE53E5"/>
    <w:pPr>
      <w:keepNext/>
      <w:spacing w:before="240"/>
    </w:pPr>
    <w:rPr>
      <w:b/>
      <w:color w:val="2C384A" w:themeColor="accent1"/>
      <w:sz w:val="26"/>
      <w:szCs w:val="26"/>
    </w:rPr>
  </w:style>
  <w:style w:type="paragraph" w:customStyle="1" w:styleId="BoxText">
    <w:name w:val="Box Text"/>
    <w:basedOn w:val="Normal"/>
    <w:link w:val="BoxTextChar"/>
    <w:rsid w:val="00506BF4"/>
    <w:pPr>
      <w:spacing w:before="60" w:after="60"/>
    </w:pPr>
  </w:style>
  <w:style w:type="paragraph" w:customStyle="1" w:styleId="Bullet">
    <w:name w:val="Bullet"/>
    <w:basedOn w:val="Normal"/>
    <w:link w:val="BulletChar"/>
    <w:qFormat/>
    <w:rsid w:val="00BA123B"/>
    <w:pPr>
      <w:numPr>
        <w:numId w:val="7"/>
      </w:numPr>
      <w:spacing w:before="0" w:line="276" w:lineRule="auto"/>
      <w:ind w:left="170" w:hanging="170"/>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basedOn w:val="DefaultParagraphFont"/>
    <w:link w:val="Bullet"/>
    <w:rsid w:val="00BA123B"/>
    <w:rPr>
      <w:rFonts w:eastAsia="Times New Roman"/>
      <w:sz w:val="22"/>
      <w:lang w:eastAsia="en-AU"/>
    </w:rPr>
  </w:style>
  <w:style w:type="paragraph" w:customStyle="1" w:styleId="Boxbullet">
    <w:name w:val="Box bullet"/>
    <w:basedOn w:val="Bullet"/>
    <w:qFormat/>
    <w:rsid w:val="00BA123B"/>
    <w:pPr>
      <w:spacing w:after="60"/>
    </w:pPr>
    <w:rPr>
      <w:color w:val="0D0D0D" w:themeColor="text1" w:themeTint="F2"/>
    </w:rPr>
  </w:style>
  <w:style w:type="paragraph" w:customStyle="1" w:styleId="Boxdash">
    <w:name w:val="Box dash"/>
    <w:basedOn w:val="Dash"/>
    <w:rsid w:val="00BA123B"/>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BA123B"/>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AE53E5"/>
    <w:rPr>
      <w:rFonts w:ascii="Calibri Light" w:eastAsia="Times New Roman" w:hAnsi="Calibri Light" w:cs="Arial"/>
      <w:color w:val="000000" w:themeColor="text1"/>
      <w:kern w:val="32"/>
      <w:sz w:val="22"/>
      <w:szCs w:val="22"/>
      <w:lang w:eastAsia="en-AU"/>
    </w:rPr>
  </w:style>
  <w:style w:type="character" w:customStyle="1" w:styleId="Heading7Char">
    <w:name w:val="Heading 7 Char"/>
    <w:basedOn w:val="DefaultParagraphFont"/>
    <w:link w:val="Heading7"/>
    <w:uiPriority w:val="9"/>
    <w:semiHidden/>
    <w:rsid w:val="00C23C8C"/>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uiPriority w:val="99"/>
    <w:rsid w:val="008F0B15"/>
    <w:rPr>
      <w:vertAlign w:val="superscript"/>
    </w:rPr>
  </w:style>
  <w:style w:type="paragraph" w:styleId="FootnoteText">
    <w:name w:val="footnote text"/>
    <w:basedOn w:val="Normal"/>
    <w:link w:val="FootnoteTextChar"/>
    <w:uiPriority w:val="99"/>
    <w:rsid w:val="003D327E"/>
    <w:pPr>
      <w:spacing w:before="0"/>
    </w:pPr>
    <w:rPr>
      <w:sz w:val="20"/>
    </w:rPr>
  </w:style>
  <w:style w:type="character" w:customStyle="1" w:styleId="FootnoteTextChar">
    <w:name w:val="Footnote Text Char"/>
    <w:basedOn w:val="DefaultParagraphFont"/>
    <w:link w:val="FootnoteText"/>
    <w:uiPriority w:val="99"/>
    <w:rsid w:val="003D327E"/>
    <w:rPr>
      <w:rFonts w:ascii="Calibri Light" w:eastAsia="Times New Roman" w:hAnsi="Calibri Light"/>
      <w:lang w:eastAsia="en-AU"/>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AC450E"/>
    <w:pPr>
      <w:ind w:left="720"/>
      <w:contextualSpacing/>
    </w:pPr>
  </w:style>
  <w:style w:type="character" w:customStyle="1" w:styleId="ListParagraphChar">
    <w:name w:val="List Paragraph Char"/>
    <w:basedOn w:val="DefaultParagraphFont"/>
    <w:link w:val="ListParagraph"/>
    <w:uiPriority w:val="34"/>
    <w:rsid w:val="00AC450E"/>
    <w:rPr>
      <w:rFonts w:eastAsia="Times New Roman"/>
      <w:sz w:val="22"/>
      <w:lang w:eastAsia="en-AU"/>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uiPriority w:val="99"/>
    <w:rsid w:val="008F0B15"/>
    <w:pPr>
      <w:spacing w:before="100" w:beforeAutospacing="1" w:after="100" w:afterAutospacing="1"/>
    </w:pPr>
  </w:style>
  <w:style w:type="character" w:styleId="PageNumber">
    <w:name w:val="page number"/>
    <w:basedOn w:val="DefaultParagraphFont"/>
    <w:rsid w:val="008F0B15"/>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8"/>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eastAsia="Batang" w:cstheme="minorBidi"/>
      <w:sz w:val="24"/>
    </w:rPr>
  </w:style>
  <w:style w:type="paragraph" w:customStyle="1" w:styleId="Tabletext0">
    <w:name w:val="Table text"/>
    <w:basedOn w:val="Normal"/>
    <w:link w:val="TabletextChar"/>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 w:type="paragraph" w:customStyle="1" w:styleId="SecurityClassificationHeader">
    <w:name w:val="Security Classification Header"/>
    <w:link w:val="SecurityClassificationHeaderChar"/>
    <w:rsid w:val="00202FBB"/>
    <w:pPr>
      <w:spacing w:before="60" w:after="60"/>
      <w:jc w:val="center"/>
    </w:pPr>
    <w:rPr>
      <w:rFonts w:eastAsia="Times New Roman" w:cs="Calibri"/>
      <w:b/>
      <w:noProof/>
      <w:color w:val="FF0000"/>
      <w:sz w:val="24"/>
      <w:lang w:eastAsia="en-AU"/>
    </w:rPr>
  </w:style>
  <w:style w:type="character" w:customStyle="1" w:styleId="SecurityClassificationHeaderChar">
    <w:name w:val="Security Classification Header Char"/>
    <w:basedOn w:val="DefaultParagraphFont"/>
    <w:link w:val="SecurityClassificationHeader"/>
    <w:rsid w:val="00202FBB"/>
    <w:rPr>
      <w:rFonts w:eastAsia="Times New Roman" w:cs="Calibri"/>
      <w:b/>
      <w:noProof/>
      <w:color w:val="FF0000"/>
      <w:sz w:val="24"/>
      <w:lang w:eastAsia="en-AU"/>
    </w:rPr>
  </w:style>
  <w:style w:type="paragraph" w:customStyle="1" w:styleId="DLMSecurityHeader">
    <w:name w:val="DLM Security Header"/>
    <w:link w:val="DLMSecurityHeaderChar"/>
    <w:rsid w:val="00202FBB"/>
    <w:pPr>
      <w:spacing w:before="60" w:after="240"/>
      <w:jc w:val="center"/>
    </w:pPr>
    <w:rPr>
      <w:rFonts w:eastAsia="Times New Roman" w:cs="Calibri"/>
      <w:b/>
      <w:noProof/>
      <w:color w:val="FF0000"/>
      <w:sz w:val="24"/>
      <w:lang w:eastAsia="en-AU"/>
    </w:rPr>
  </w:style>
  <w:style w:type="character" w:customStyle="1" w:styleId="DLMSecurityHeaderChar">
    <w:name w:val="DLM Security Header Char"/>
    <w:basedOn w:val="DefaultParagraphFont"/>
    <w:link w:val="DLMSecurityHeader"/>
    <w:rsid w:val="00202FBB"/>
    <w:rPr>
      <w:rFonts w:eastAsia="Times New Roman" w:cs="Calibri"/>
      <w:b/>
      <w:noProof/>
      <w:color w:val="FF0000"/>
      <w:sz w:val="24"/>
      <w:lang w:eastAsia="en-AU"/>
    </w:rPr>
  </w:style>
  <w:style w:type="paragraph" w:customStyle="1" w:styleId="SecurityClassificationFooter">
    <w:name w:val="Security Classification Footer"/>
    <w:link w:val="SecurityClassificationFooterChar"/>
    <w:rsid w:val="00FC3B11"/>
    <w:pPr>
      <w:spacing w:before="60" w:after="60"/>
      <w:jc w:val="center"/>
    </w:pPr>
    <w:rPr>
      <w:rFonts w:eastAsia="Times New Roman" w:cs="Calibri"/>
      <w:b/>
      <w:noProof/>
      <w:color w:val="FF0000"/>
      <w:sz w:val="24"/>
      <w:szCs w:val="24"/>
      <w:lang w:eastAsia="en-AU"/>
    </w:rPr>
  </w:style>
  <w:style w:type="character" w:customStyle="1" w:styleId="SecurityClassificationFooterChar">
    <w:name w:val="Security Classification Footer Char"/>
    <w:basedOn w:val="DefaultParagraphFont"/>
    <w:link w:val="SecurityClassificationFooter"/>
    <w:rsid w:val="00C1431C"/>
    <w:rPr>
      <w:rFonts w:eastAsia="Times New Roman" w:cs="Calibri"/>
      <w:b/>
      <w:noProof/>
      <w:color w:val="FF0000"/>
      <w:sz w:val="24"/>
      <w:szCs w:val="24"/>
      <w:lang w:eastAsia="en-AU"/>
    </w:rPr>
  </w:style>
  <w:style w:type="paragraph" w:customStyle="1" w:styleId="DLMSecurityFooter">
    <w:name w:val="DLM Security Footer"/>
    <w:link w:val="DLMSecurityFooterChar"/>
    <w:rsid w:val="00FC3B11"/>
    <w:pPr>
      <w:spacing w:before="240" w:after="60"/>
      <w:jc w:val="center"/>
    </w:pPr>
    <w:rPr>
      <w:rFonts w:eastAsia="Times New Roman" w:cs="Calibri"/>
      <w:b/>
      <w:noProof/>
      <w:color w:val="FF0000"/>
      <w:sz w:val="24"/>
      <w:szCs w:val="24"/>
      <w:lang w:eastAsia="en-AU"/>
    </w:rPr>
  </w:style>
  <w:style w:type="character" w:customStyle="1" w:styleId="DLMSecurityFooterChar">
    <w:name w:val="DLM Security Footer Char"/>
    <w:basedOn w:val="DefaultParagraphFont"/>
    <w:link w:val="DLMSecurityFooter"/>
    <w:rsid w:val="00C1431C"/>
    <w:rPr>
      <w:rFonts w:eastAsia="Times New Roman" w:cs="Calibri"/>
      <w:b/>
      <w:noProof/>
      <w:color w:val="FF0000"/>
      <w:sz w:val="24"/>
      <w:szCs w:val="24"/>
      <w:lang w:eastAsia="en-AU"/>
    </w:rPr>
  </w:style>
  <w:style w:type="paragraph" w:customStyle="1" w:styleId="Chart">
    <w:name w:val="Chart"/>
    <w:basedOn w:val="Normal"/>
    <w:qFormat/>
    <w:rsid w:val="00DA3E0F"/>
    <w:pPr>
      <w:keepNext/>
      <w:jc w:val="center"/>
    </w:pPr>
    <w:rPr>
      <w:noProof/>
      <w:sz w:val="20"/>
    </w:rPr>
  </w:style>
  <w:style w:type="paragraph" w:customStyle="1" w:styleId="Charttitle">
    <w:name w:val="Chart title"/>
    <w:basedOn w:val="Normal"/>
    <w:qFormat/>
    <w:rsid w:val="00E25624"/>
    <w:pPr>
      <w:keepNext/>
      <w:spacing w:before="240"/>
      <w:jc w:val="center"/>
    </w:pPr>
    <w:rPr>
      <w:rFonts w:eastAsiaTheme="minorHAnsi"/>
      <w:b/>
      <w:lang w:eastAsia="en-US"/>
    </w:rPr>
  </w:style>
  <w:style w:type="paragraph" w:customStyle="1" w:styleId="Chartsource">
    <w:name w:val="Chart source"/>
    <w:basedOn w:val="Normal"/>
    <w:qFormat/>
    <w:rsid w:val="00C1431C"/>
    <w:pPr>
      <w:keepNext/>
      <w:spacing w:before="0" w:after="0"/>
    </w:pPr>
    <w:rPr>
      <w:sz w:val="16"/>
    </w:rPr>
  </w:style>
  <w:style w:type="character" w:styleId="SubtleEmphasis">
    <w:name w:val="Subtle Emphasis"/>
    <w:basedOn w:val="DefaultParagraphFont"/>
    <w:uiPriority w:val="19"/>
    <w:rsid w:val="006027E9"/>
    <w:rPr>
      <w:i/>
      <w:iCs/>
      <w:color w:val="404040" w:themeColor="text1" w:themeTint="BF"/>
    </w:rPr>
  </w:style>
  <w:style w:type="character" w:styleId="SubtleReference">
    <w:name w:val="Subtle Reference"/>
    <w:basedOn w:val="DefaultParagraphFont"/>
    <w:uiPriority w:val="31"/>
    <w:rsid w:val="006027E9"/>
    <w:rPr>
      <w:smallCaps/>
      <w:color w:val="5A5A5A" w:themeColor="text1" w:themeTint="A5"/>
    </w:rPr>
  </w:style>
  <w:style w:type="paragraph" w:customStyle="1" w:styleId="ReportDate">
    <w:name w:val="Report Date"/>
    <w:basedOn w:val="Normal"/>
    <w:link w:val="ReportDateChar"/>
    <w:rsid w:val="00A131ED"/>
    <w:pPr>
      <w:keepNext/>
      <w:spacing w:before="240" w:after="360"/>
      <w:ind w:left="3119"/>
    </w:pPr>
    <w:rPr>
      <w:rFonts w:ascii="Calibri Light" w:hAnsi="Calibri Light"/>
      <w:color w:val="FFFFFF" w:themeColor="background1"/>
      <w:sz w:val="32"/>
    </w:rPr>
  </w:style>
  <w:style w:type="paragraph" w:styleId="Subtitle">
    <w:name w:val="Subtitle"/>
    <w:aliases w:val="Theme subtitle"/>
    <w:basedOn w:val="Normal"/>
    <w:next w:val="Normal"/>
    <w:link w:val="SubtitleChar"/>
    <w:uiPriority w:val="11"/>
    <w:rsid w:val="00A131ED"/>
    <w:pPr>
      <w:numPr>
        <w:ilvl w:val="1"/>
      </w:numPr>
      <w:spacing w:before="6720"/>
      <w:ind w:left="3119"/>
    </w:pPr>
    <w:rPr>
      <w:rFonts w:ascii="Calibri Light" w:eastAsiaTheme="majorEastAsia" w:hAnsi="Calibri Light" w:cstheme="majorBidi"/>
      <w:iCs/>
      <w:color w:val="FFFFFF" w:themeColor="background1"/>
      <w:sz w:val="44"/>
      <w:szCs w:val="44"/>
    </w:rPr>
  </w:style>
  <w:style w:type="character" w:customStyle="1" w:styleId="SubtitleChar">
    <w:name w:val="Subtitle Char"/>
    <w:aliases w:val="Theme subtitle Char"/>
    <w:basedOn w:val="DefaultParagraphFont"/>
    <w:link w:val="Subtitle"/>
    <w:uiPriority w:val="11"/>
    <w:rsid w:val="00A131ED"/>
    <w:rPr>
      <w:rFonts w:ascii="Calibri Light" w:eastAsiaTheme="majorEastAsia" w:hAnsi="Calibri Light" w:cstheme="majorBidi"/>
      <w:iCs/>
      <w:color w:val="FFFFFF" w:themeColor="background1"/>
      <w:sz w:val="44"/>
      <w:szCs w:val="44"/>
      <w:lang w:eastAsia="en-AU"/>
    </w:rPr>
  </w:style>
  <w:style w:type="character" w:customStyle="1" w:styleId="ReportDateChar">
    <w:name w:val="Report Date Char"/>
    <w:basedOn w:val="DefaultParagraphFont"/>
    <w:link w:val="ReportDate"/>
    <w:rsid w:val="00A131ED"/>
    <w:rPr>
      <w:rFonts w:ascii="Calibri Light" w:eastAsia="Times New Roman" w:hAnsi="Calibri Light"/>
      <w:color w:val="FFFFFF" w:themeColor="background1"/>
      <w:sz w:val="32"/>
      <w:lang w:eastAsia="en-AU"/>
    </w:rPr>
  </w:style>
  <w:style w:type="paragraph" w:styleId="TOC1">
    <w:name w:val="toc 1"/>
    <w:basedOn w:val="Normal"/>
    <w:next w:val="Normal"/>
    <w:uiPriority w:val="39"/>
    <w:rsid w:val="00EE4C91"/>
    <w:pPr>
      <w:keepNext/>
      <w:tabs>
        <w:tab w:val="right" w:leader="dot" w:pos="9072"/>
      </w:tabs>
      <w:spacing w:before="180" w:after="0"/>
      <w:ind w:right="-2"/>
    </w:pPr>
    <w:rPr>
      <w:rFonts w:ascii="Calibri Light" w:hAnsi="Calibri Light"/>
      <w:b/>
      <w:noProof/>
      <w:color w:val="2C384A" w:themeColor="accent1"/>
      <w:szCs w:val="22"/>
    </w:rPr>
  </w:style>
  <w:style w:type="paragraph" w:styleId="TOC2">
    <w:name w:val="toc 2"/>
    <w:basedOn w:val="Normal"/>
    <w:next w:val="Normal"/>
    <w:uiPriority w:val="39"/>
    <w:rsid w:val="00EE4C91"/>
    <w:pPr>
      <w:keepNext/>
      <w:tabs>
        <w:tab w:val="right" w:leader="dot" w:pos="9072"/>
      </w:tabs>
      <w:spacing w:before="40" w:after="20"/>
      <w:ind w:right="-2"/>
    </w:pPr>
    <w:rPr>
      <w:rFonts w:ascii="Calibri Light" w:hAnsi="Calibri Light"/>
      <w:noProof/>
      <w:color w:val="5D779D" w:themeColor="accent3"/>
    </w:rPr>
  </w:style>
  <w:style w:type="paragraph" w:styleId="TOC3">
    <w:name w:val="toc 3"/>
    <w:basedOn w:val="Normal"/>
    <w:next w:val="Normal"/>
    <w:autoRedefine/>
    <w:uiPriority w:val="39"/>
    <w:unhideWhenUsed/>
    <w:rsid w:val="00EE4C91"/>
    <w:pPr>
      <w:spacing w:after="100"/>
      <w:ind w:left="440"/>
    </w:pPr>
  </w:style>
  <w:style w:type="paragraph" w:customStyle="1" w:styleId="ChartGraphic">
    <w:name w:val="Chart Graphic"/>
    <w:basedOn w:val="Normal"/>
    <w:next w:val="Normal"/>
    <w:rsid w:val="00052ED1"/>
    <w:pPr>
      <w:keepNext/>
      <w:spacing w:before="0" w:after="0"/>
      <w:jc w:val="center"/>
    </w:pPr>
    <w:rPr>
      <w:rFonts w:ascii="Calibri Light" w:hAnsi="Calibri Light"/>
      <w:color w:val="004A7F"/>
      <w:sz w:val="20"/>
    </w:rPr>
  </w:style>
  <w:style w:type="paragraph" w:customStyle="1" w:styleId="Editorname">
    <w:name w:val="Editor name"/>
    <w:qFormat/>
    <w:rsid w:val="00344DE6"/>
    <w:rPr>
      <w:rFonts w:ascii="Calibri Light" w:eastAsiaTheme="majorEastAsia" w:hAnsi="Calibri Light" w:cstheme="majorBidi"/>
      <w:iCs/>
      <w:color w:val="2C384A" w:themeColor="accent1"/>
      <w:sz w:val="28"/>
      <w:szCs w:val="44"/>
      <w:lang w:eastAsia="en-AU"/>
    </w:rPr>
  </w:style>
  <w:style w:type="character" w:styleId="UnresolvedMention">
    <w:name w:val="Unresolved Mention"/>
    <w:basedOn w:val="DefaultParagraphFont"/>
    <w:uiPriority w:val="99"/>
    <w:semiHidden/>
    <w:unhideWhenUsed/>
    <w:rsid w:val="006601C1"/>
    <w:rPr>
      <w:color w:val="605E5C"/>
      <w:shd w:val="clear" w:color="auto" w:fill="E1DFDD"/>
    </w:rPr>
  </w:style>
  <w:style w:type="character" w:styleId="CommentReference">
    <w:name w:val="annotation reference"/>
    <w:basedOn w:val="DefaultParagraphFont"/>
    <w:semiHidden/>
    <w:unhideWhenUsed/>
    <w:rsid w:val="00503913"/>
    <w:rPr>
      <w:sz w:val="16"/>
      <w:szCs w:val="16"/>
    </w:rPr>
  </w:style>
  <w:style w:type="paragraph" w:styleId="CommentText">
    <w:name w:val="annotation text"/>
    <w:basedOn w:val="Normal"/>
    <w:link w:val="CommentTextChar"/>
    <w:unhideWhenUsed/>
    <w:rsid w:val="00503913"/>
    <w:rPr>
      <w:sz w:val="20"/>
    </w:rPr>
  </w:style>
  <w:style w:type="character" w:customStyle="1" w:styleId="CommentTextChar">
    <w:name w:val="Comment Text Char"/>
    <w:basedOn w:val="DefaultParagraphFont"/>
    <w:link w:val="CommentText"/>
    <w:rsid w:val="00503913"/>
    <w:rPr>
      <w:rFonts w:eastAsia="Times New Roman"/>
      <w:lang w:eastAsia="en-AU"/>
    </w:rPr>
  </w:style>
  <w:style w:type="paragraph" w:styleId="CommentSubject">
    <w:name w:val="annotation subject"/>
    <w:basedOn w:val="CommentText"/>
    <w:next w:val="CommentText"/>
    <w:link w:val="CommentSubjectChar"/>
    <w:semiHidden/>
    <w:unhideWhenUsed/>
    <w:rsid w:val="00503913"/>
    <w:rPr>
      <w:b/>
      <w:bCs/>
    </w:rPr>
  </w:style>
  <w:style w:type="character" w:customStyle="1" w:styleId="CommentSubjectChar">
    <w:name w:val="Comment Subject Char"/>
    <w:basedOn w:val="CommentTextChar"/>
    <w:link w:val="CommentSubject"/>
    <w:semiHidden/>
    <w:rsid w:val="00503913"/>
    <w:rPr>
      <w:rFonts w:eastAsia="Times New Roman"/>
      <w:b/>
      <w:bCs/>
      <w:lang w:eastAsia="en-AU"/>
    </w:rPr>
  </w:style>
  <w:style w:type="paragraph" w:customStyle="1" w:styleId="Topic1">
    <w:name w:val="Topic1"/>
    <w:basedOn w:val="Normal"/>
    <w:link w:val="Topic1Char"/>
    <w:qFormat/>
    <w:rsid w:val="00503913"/>
    <w:pPr>
      <w:spacing w:before="0" w:after="160" w:line="259" w:lineRule="auto"/>
    </w:pPr>
    <w:rPr>
      <w:rFonts w:asciiTheme="majorHAnsi" w:eastAsiaTheme="majorEastAsia" w:hAnsiTheme="majorHAnsi" w:cstheme="majorBidi"/>
      <w:b/>
      <w:color w:val="002C47"/>
      <w:sz w:val="28"/>
      <w:szCs w:val="28"/>
      <w:lang w:eastAsia="en-US"/>
    </w:rPr>
  </w:style>
  <w:style w:type="character" w:customStyle="1" w:styleId="Topic1Char">
    <w:name w:val="Topic1 Char"/>
    <w:basedOn w:val="DefaultParagraphFont"/>
    <w:link w:val="Topic1"/>
    <w:rsid w:val="00503913"/>
    <w:rPr>
      <w:rFonts w:asciiTheme="majorHAnsi" w:eastAsiaTheme="majorEastAsia" w:hAnsiTheme="majorHAnsi" w:cstheme="majorBidi"/>
      <w:b/>
      <w:color w:val="002C47"/>
      <w:sz w:val="28"/>
      <w:szCs w:val="28"/>
    </w:rPr>
  </w:style>
  <w:style w:type="paragraph" w:styleId="Caption">
    <w:name w:val="caption"/>
    <w:basedOn w:val="Normal"/>
    <w:next w:val="Normal"/>
    <w:uiPriority w:val="35"/>
    <w:unhideWhenUsed/>
    <w:qFormat/>
    <w:rsid w:val="00044559"/>
    <w:pPr>
      <w:spacing w:before="0" w:after="200"/>
    </w:pPr>
    <w:rPr>
      <w:rFonts w:asciiTheme="minorHAnsi" w:eastAsiaTheme="minorHAnsi" w:hAnsiTheme="minorHAnsi" w:cstheme="minorBidi"/>
      <w:i/>
      <w:iCs/>
      <w:color w:val="5F5F5F" w:themeColor="text2"/>
      <w:sz w:val="18"/>
      <w:szCs w:val="18"/>
      <w:lang w:eastAsia="en-US"/>
    </w:rPr>
  </w:style>
  <w:style w:type="table" w:styleId="GridTable4-Accent1">
    <w:name w:val="Grid Table 4 Accent 1"/>
    <w:basedOn w:val="TableNormal"/>
    <w:uiPriority w:val="49"/>
    <w:rsid w:val="00094B4F"/>
    <w:tblPr>
      <w:tblStyleRowBandSize w:val="1"/>
      <w:tblStyleColBandSize w:val="1"/>
      <w:tblBorders>
        <w:top w:val="single" w:sz="4" w:space="0" w:color="6B83A7" w:themeColor="accent1" w:themeTint="99"/>
        <w:left w:val="single" w:sz="4" w:space="0" w:color="6B83A7" w:themeColor="accent1" w:themeTint="99"/>
        <w:bottom w:val="single" w:sz="4" w:space="0" w:color="6B83A7" w:themeColor="accent1" w:themeTint="99"/>
        <w:right w:val="single" w:sz="4" w:space="0" w:color="6B83A7" w:themeColor="accent1" w:themeTint="99"/>
        <w:insideH w:val="single" w:sz="4" w:space="0" w:color="6B83A7" w:themeColor="accent1" w:themeTint="99"/>
        <w:insideV w:val="single" w:sz="4" w:space="0" w:color="6B83A7" w:themeColor="accent1" w:themeTint="99"/>
      </w:tblBorders>
    </w:tblPr>
    <w:tblStylePr w:type="firstRow">
      <w:rPr>
        <w:b/>
        <w:bCs/>
        <w:color w:val="FFFFFF" w:themeColor="background1"/>
      </w:rPr>
      <w:tblPr/>
      <w:tcPr>
        <w:tcBorders>
          <w:top w:val="single" w:sz="4" w:space="0" w:color="2C384A" w:themeColor="accent1"/>
          <w:left w:val="single" w:sz="4" w:space="0" w:color="2C384A" w:themeColor="accent1"/>
          <w:bottom w:val="single" w:sz="4" w:space="0" w:color="2C384A" w:themeColor="accent1"/>
          <w:right w:val="single" w:sz="4" w:space="0" w:color="2C384A" w:themeColor="accent1"/>
          <w:insideH w:val="nil"/>
          <w:insideV w:val="nil"/>
        </w:tcBorders>
        <w:shd w:val="clear" w:color="auto" w:fill="2C384A" w:themeFill="accent1"/>
      </w:tcPr>
    </w:tblStylePr>
    <w:tblStylePr w:type="lastRow">
      <w:rPr>
        <w:b/>
        <w:bCs/>
      </w:rPr>
      <w:tblPr/>
      <w:tcPr>
        <w:tcBorders>
          <w:top w:val="double" w:sz="4" w:space="0" w:color="2C384A" w:themeColor="accent1"/>
        </w:tcBorders>
      </w:tcPr>
    </w:tblStylePr>
    <w:tblStylePr w:type="firstCol">
      <w:rPr>
        <w:b/>
        <w:bCs/>
      </w:rPr>
    </w:tblStylePr>
    <w:tblStylePr w:type="lastCol">
      <w:rPr>
        <w:b/>
        <w:bCs/>
      </w:rPr>
    </w:tblStylePr>
    <w:tblStylePr w:type="band1Vert">
      <w:tblPr/>
      <w:tcPr>
        <w:shd w:val="clear" w:color="auto" w:fill="CDD5E1" w:themeFill="accent1" w:themeFillTint="33"/>
      </w:tcPr>
    </w:tblStylePr>
    <w:tblStylePr w:type="band1Horz">
      <w:tblPr/>
      <w:tcPr>
        <w:shd w:val="clear" w:color="auto" w:fill="CDD5E1" w:themeFill="accent1" w:themeFillTint="33"/>
      </w:tcPr>
    </w:tblStylePr>
  </w:style>
  <w:style w:type="table" w:styleId="GridTable4-Accent5">
    <w:name w:val="Grid Table 4 Accent 5"/>
    <w:basedOn w:val="TableNormal"/>
    <w:uiPriority w:val="49"/>
    <w:rsid w:val="00094B4F"/>
    <w:tblPr>
      <w:tblStyleRowBandSize w:val="1"/>
      <w:tblStyleColBandSize w:val="1"/>
      <w:tblBorders>
        <w:top w:val="single" w:sz="4" w:space="0" w:color="BCD2F6" w:themeColor="accent5" w:themeTint="99"/>
        <w:left w:val="single" w:sz="4" w:space="0" w:color="BCD2F6" w:themeColor="accent5" w:themeTint="99"/>
        <w:bottom w:val="single" w:sz="4" w:space="0" w:color="BCD2F6" w:themeColor="accent5" w:themeTint="99"/>
        <w:right w:val="single" w:sz="4" w:space="0" w:color="BCD2F6" w:themeColor="accent5" w:themeTint="99"/>
        <w:insideH w:val="single" w:sz="4" w:space="0" w:color="BCD2F6" w:themeColor="accent5" w:themeTint="99"/>
        <w:insideV w:val="single" w:sz="4" w:space="0" w:color="BCD2F6" w:themeColor="accent5" w:themeTint="99"/>
      </w:tblBorders>
    </w:tblPr>
    <w:tblStylePr w:type="firstRow">
      <w:rPr>
        <w:b/>
        <w:bCs/>
        <w:color w:val="FFFFFF" w:themeColor="background1"/>
      </w:rPr>
      <w:tblPr/>
      <w:tcPr>
        <w:tcBorders>
          <w:top w:val="single" w:sz="4" w:space="0" w:color="90B6F0" w:themeColor="accent5"/>
          <w:left w:val="single" w:sz="4" w:space="0" w:color="90B6F0" w:themeColor="accent5"/>
          <w:bottom w:val="single" w:sz="4" w:space="0" w:color="90B6F0" w:themeColor="accent5"/>
          <w:right w:val="single" w:sz="4" w:space="0" w:color="90B6F0" w:themeColor="accent5"/>
          <w:insideH w:val="nil"/>
          <w:insideV w:val="nil"/>
        </w:tcBorders>
        <w:shd w:val="clear" w:color="auto" w:fill="90B6F0" w:themeFill="accent5"/>
      </w:tcPr>
    </w:tblStylePr>
    <w:tblStylePr w:type="lastRow">
      <w:rPr>
        <w:b/>
        <w:bCs/>
      </w:rPr>
      <w:tblPr/>
      <w:tcPr>
        <w:tcBorders>
          <w:top w:val="double" w:sz="4" w:space="0" w:color="90B6F0" w:themeColor="accent5"/>
        </w:tcBorders>
      </w:tcPr>
    </w:tblStylePr>
    <w:tblStylePr w:type="firstCol">
      <w:rPr>
        <w:b/>
        <w:bCs/>
      </w:rPr>
    </w:tblStylePr>
    <w:tblStylePr w:type="lastCol">
      <w:rPr>
        <w:b/>
        <w:bCs/>
      </w:rPr>
    </w:tblStylePr>
    <w:tblStylePr w:type="band1Vert">
      <w:tblPr/>
      <w:tcPr>
        <w:shd w:val="clear" w:color="auto" w:fill="E8F0FC" w:themeFill="accent5" w:themeFillTint="33"/>
      </w:tcPr>
    </w:tblStylePr>
    <w:tblStylePr w:type="band1Horz">
      <w:tblPr/>
      <w:tcPr>
        <w:shd w:val="clear" w:color="auto" w:fill="E8F0FC" w:themeFill="accent5" w:themeFillTint="33"/>
      </w:tcPr>
    </w:tblStylePr>
  </w:style>
  <w:style w:type="paragraph" w:customStyle="1" w:styleId="Authornameunderlined">
    <w:name w:val="Author name (underlined)"/>
    <w:basedOn w:val="Normal"/>
    <w:qFormat/>
    <w:rsid w:val="00F8404C"/>
    <w:pPr>
      <w:pBdr>
        <w:bottom w:val="single" w:sz="4" w:space="7" w:color="D9D9D9" w:themeColor="background1" w:themeShade="D9"/>
      </w:pBdr>
      <w:spacing w:before="0"/>
    </w:pPr>
    <w:rPr>
      <w:rFonts w:asciiTheme="majorHAnsi" w:hAnsiTheme="majorHAnsi" w:cstheme="majorHAnsi"/>
    </w:rPr>
  </w:style>
  <w:style w:type="paragraph" w:customStyle="1" w:styleId="Tableheadingleft">
    <w:name w:val="Table heading left"/>
    <w:basedOn w:val="Normal"/>
    <w:rsid w:val="00230487"/>
    <w:pPr>
      <w:keepLines/>
      <w:contextualSpacing/>
    </w:pPr>
    <w:rPr>
      <w:color w:val="000000" w:themeColor="text1"/>
    </w:rPr>
  </w:style>
  <w:style w:type="paragraph" w:customStyle="1" w:styleId="Tabletextcentered">
    <w:name w:val="Table text centered"/>
    <w:basedOn w:val="Normal"/>
    <w:qFormat/>
    <w:rsid w:val="00230487"/>
    <w:pPr>
      <w:spacing w:before="0" w:after="0"/>
      <w:jc w:val="center"/>
    </w:pPr>
    <w:rPr>
      <w:rFonts w:cs="Calibri"/>
      <w:color w:val="000000"/>
      <w:sz w:val="20"/>
    </w:rPr>
  </w:style>
  <w:style w:type="paragraph" w:customStyle="1" w:styleId="Tabletextleft">
    <w:name w:val="Table text left"/>
    <w:link w:val="TabletextleftChar"/>
    <w:rsid w:val="00230487"/>
    <w:rPr>
      <w:rFonts w:asciiTheme="minorHAnsi" w:eastAsia="Times New Roman" w:hAnsiTheme="minorHAnsi"/>
      <w:lang w:eastAsia="en-AU"/>
    </w:rPr>
  </w:style>
  <w:style w:type="character" w:customStyle="1" w:styleId="TabletextleftChar">
    <w:name w:val="Table text left Char"/>
    <w:basedOn w:val="DefaultParagraphFont"/>
    <w:link w:val="Tabletextleft"/>
    <w:rsid w:val="00230487"/>
    <w:rPr>
      <w:rFonts w:asciiTheme="minorHAnsi" w:eastAsia="Times New Roman" w:hAnsiTheme="minorHAnsi"/>
      <w:lang w:eastAsia="en-AU"/>
    </w:rPr>
  </w:style>
  <w:style w:type="table" w:customStyle="1" w:styleId="GridTable4-Accent51">
    <w:name w:val="Grid Table 4 - Accent 51"/>
    <w:basedOn w:val="TableNormal"/>
    <w:next w:val="GridTable4-Accent5"/>
    <w:uiPriority w:val="49"/>
    <w:rsid w:val="00230487"/>
    <w:tblPr>
      <w:tblStyleRowBandSize w:val="1"/>
      <w:tblStyleColBandSize w:val="1"/>
      <w:tblBorders>
        <w:top w:val="single" w:sz="4" w:space="0" w:color="BCD2F6" w:themeColor="accent5" w:themeTint="99"/>
        <w:left w:val="single" w:sz="4" w:space="0" w:color="BCD2F6" w:themeColor="accent5" w:themeTint="99"/>
        <w:bottom w:val="single" w:sz="4" w:space="0" w:color="BCD2F6" w:themeColor="accent5" w:themeTint="99"/>
        <w:right w:val="single" w:sz="4" w:space="0" w:color="BCD2F6" w:themeColor="accent5" w:themeTint="99"/>
        <w:insideH w:val="single" w:sz="4" w:space="0" w:color="BCD2F6" w:themeColor="accent5" w:themeTint="99"/>
        <w:insideV w:val="single" w:sz="4" w:space="0" w:color="BCD2F6" w:themeColor="accent5" w:themeTint="99"/>
      </w:tblBorders>
    </w:tblPr>
    <w:tblStylePr w:type="firstRow">
      <w:rPr>
        <w:b/>
        <w:bCs/>
        <w:color w:val="FFFFFF" w:themeColor="background1"/>
      </w:rPr>
      <w:tblPr/>
      <w:tcPr>
        <w:tcBorders>
          <w:top w:val="single" w:sz="4" w:space="0" w:color="90B6F0" w:themeColor="accent5"/>
          <w:left w:val="single" w:sz="4" w:space="0" w:color="90B6F0" w:themeColor="accent5"/>
          <w:bottom w:val="single" w:sz="4" w:space="0" w:color="90B6F0" w:themeColor="accent5"/>
          <w:right w:val="single" w:sz="4" w:space="0" w:color="90B6F0" w:themeColor="accent5"/>
          <w:insideH w:val="nil"/>
          <w:insideV w:val="nil"/>
        </w:tcBorders>
        <w:shd w:val="clear" w:color="auto" w:fill="90B6F0" w:themeFill="accent5"/>
      </w:tcPr>
    </w:tblStylePr>
    <w:tblStylePr w:type="lastRow">
      <w:rPr>
        <w:b/>
        <w:bCs/>
      </w:rPr>
      <w:tblPr/>
      <w:tcPr>
        <w:tcBorders>
          <w:top w:val="double" w:sz="4" w:space="0" w:color="90B6F0" w:themeColor="accent5"/>
        </w:tcBorders>
      </w:tcPr>
    </w:tblStylePr>
    <w:tblStylePr w:type="firstCol">
      <w:rPr>
        <w:b/>
        <w:bCs/>
      </w:rPr>
    </w:tblStylePr>
    <w:tblStylePr w:type="lastCol">
      <w:rPr>
        <w:b/>
        <w:bCs/>
      </w:rPr>
    </w:tblStylePr>
    <w:tblStylePr w:type="band1Vert">
      <w:tblPr/>
      <w:tcPr>
        <w:shd w:val="clear" w:color="auto" w:fill="E8F0FC" w:themeFill="accent5" w:themeFillTint="33"/>
      </w:tcPr>
    </w:tblStylePr>
    <w:tblStylePr w:type="band1Horz">
      <w:tblPr/>
      <w:tcPr>
        <w:shd w:val="clear" w:color="auto" w:fill="E8F0FC" w:themeFill="accent5" w:themeFillTint="33"/>
      </w:tcPr>
    </w:tblStylePr>
  </w:style>
  <w:style w:type="paragraph" w:customStyle="1" w:styleId="Tableheadingcentered">
    <w:name w:val="Table heading centered"/>
    <w:basedOn w:val="Tableheadingleft"/>
    <w:qFormat/>
    <w:rsid w:val="00230487"/>
    <w:pPr>
      <w:jc w:val="center"/>
    </w:pPr>
    <w:rPr>
      <w:bCs/>
    </w:rPr>
  </w:style>
  <w:style w:type="table" w:customStyle="1" w:styleId="GridTable4-Accent52">
    <w:name w:val="Grid Table 4 - Accent 52"/>
    <w:basedOn w:val="TableNormal"/>
    <w:next w:val="GridTable4-Accent5"/>
    <w:uiPriority w:val="49"/>
    <w:rsid w:val="00230487"/>
    <w:tblPr>
      <w:tblStyleRowBandSize w:val="1"/>
      <w:tblStyleColBandSize w:val="1"/>
      <w:tblBorders>
        <w:top w:val="single" w:sz="4" w:space="0" w:color="BCD2F6" w:themeColor="accent5" w:themeTint="99"/>
        <w:left w:val="single" w:sz="4" w:space="0" w:color="BCD2F6" w:themeColor="accent5" w:themeTint="99"/>
        <w:bottom w:val="single" w:sz="4" w:space="0" w:color="BCD2F6" w:themeColor="accent5" w:themeTint="99"/>
        <w:right w:val="single" w:sz="4" w:space="0" w:color="BCD2F6" w:themeColor="accent5" w:themeTint="99"/>
        <w:insideH w:val="single" w:sz="4" w:space="0" w:color="BCD2F6" w:themeColor="accent5" w:themeTint="99"/>
        <w:insideV w:val="single" w:sz="4" w:space="0" w:color="BCD2F6" w:themeColor="accent5" w:themeTint="99"/>
      </w:tblBorders>
    </w:tblPr>
    <w:tblStylePr w:type="firstRow">
      <w:rPr>
        <w:b/>
        <w:bCs/>
        <w:color w:val="FFFFFF" w:themeColor="background1"/>
      </w:rPr>
      <w:tblPr/>
      <w:tcPr>
        <w:tcBorders>
          <w:top w:val="single" w:sz="4" w:space="0" w:color="90B6F0" w:themeColor="accent5"/>
          <w:left w:val="single" w:sz="4" w:space="0" w:color="90B6F0" w:themeColor="accent5"/>
          <w:bottom w:val="single" w:sz="4" w:space="0" w:color="90B6F0" w:themeColor="accent5"/>
          <w:right w:val="single" w:sz="4" w:space="0" w:color="90B6F0" w:themeColor="accent5"/>
          <w:insideH w:val="nil"/>
          <w:insideV w:val="nil"/>
        </w:tcBorders>
        <w:shd w:val="clear" w:color="auto" w:fill="90B6F0" w:themeFill="accent5"/>
      </w:tcPr>
    </w:tblStylePr>
    <w:tblStylePr w:type="lastRow">
      <w:rPr>
        <w:b/>
        <w:bCs/>
      </w:rPr>
      <w:tblPr/>
      <w:tcPr>
        <w:tcBorders>
          <w:top w:val="double" w:sz="4" w:space="0" w:color="90B6F0" w:themeColor="accent5"/>
        </w:tcBorders>
      </w:tcPr>
    </w:tblStylePr>
    <w:tblStylePr w:type="firstCol">
      <w:rPr>
        <w:b/>
        <w:bCs/>
      </w:rPr>
    </w:tblStylePr>
    <w:tblStylePr w:type="lastCol">
      <w:rPr>
        <w:b/>
        <w:bCs/>
      </w:rPr>
    </w:tblStylePr>
    <w:tblStylePr w:type="band1Vert">
      <w:tblPr/>
      <w:tcPr>
        <w:shd w:val="clear" w:color="auto" w:fill="E8F0FC" w:themeFill="accent5" w:themeFillTint="33"/>
      </w:tcPr>
    </w:tblStylePr>
    <w:tblStylePr w:type="band1Horz">
      <w:tblPr/>
      <w:tcPr>
        <w:shd w:val="clear" w:color="auto" w:fill="E8F0FC"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338583014">
      <w:bodyDiv w:val="1"/>
      <w:marLeft w:val="0"/>
      <w:marRight w:val="0"/>
      <w:marTop w:val="0"/>
      <w:marBottom w:val="0"/>
      <w:divBdr>
        <w:top w:val="none" w:sz="0" w:space="0" w:color="auto"/>
        <w:left w:val="none" w:sz="0" w:space="0" w:color="auto"/>
        <w:bottom w:val="none" w:sz="0" w:space="0" w:color="auto"/>
        <w:right w:val="none" w:sz="0" w:space="0" w:color="auto"/>
      </w:divBdr>
    </w:div>
    <w:div w:id="384185985">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062603239">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240366187">
      <w:bodyDiv w:val="1"/>
      <w:marLeft w:val="0"/>
      <w:marRight w:val="0"/>
      <w:marTop w:val="0"/>
      <w:marBottom w:val="0"/>
      <w:divBdr>
        <w:top w:val="none" w:sz="0" w:space="0" w:color="auto"/>
        <w:left w:val="none" w:sz="0" w:space="0" w:color="auto"/>
        <w:bottom w:val="none" w:sz="0" w:space="0" w:color="auto"/>
        <w:right w:val="none" w:sz="0" w:space="0" w:color="auto"/>
      </w:divBdr>
    </w:div>
    <w:div w:id="161782697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099867999">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footer" Target="footer1.xml"/><Relationship Id="rId42" Type="http://schemas.openxmlformats.org/officeDocument/2006/relationships/hyperlink" Target="https://www.pc.gov.au/inquiries/completed/productivity-review/report" TargetMode="External"/><Relationship Id="rId47" Type="http://schemas.openxmlformats.org/officeDocument/2006/relationships/image" Target="media/image13.emf"/><Relationship Id="rId63" Type="http://schemas.openxmlformats.org/officeDocument/2006/relationships/hyperlink" Target="https://www.nber.org/papers/w29767" TargetMode="External"/><Relationship Id="rId68" Type="http://schemas.openxmlformats.org/officeDocument/2006/relationships/image" Target="media/image26.png"/><Relationship Id="rId84" Type="http://schemas.openxmlformats.org/officeDocument/2006/relationships/image" Target="media/image36.png"/><Relationship Id="rId89" Type="http://schemas.openxmlformats.org/officeDocument/2006/relationships/image" Target="media/image41.png"/><Relationship Id="rId16" Type="http://schemas.openxmlformats.org/officeDocument/2006/relationships/hyperlink" Target="http://creativecommons.org/licenses/by/3.0/au/deed.en" TargetMode="External"/><Relationship Id="rId11" Type="http://schemas.openxmlformats.org/officeDocument/2006/relationships/endnotes" Target="endnotes.xml"/><Relationship Id="rId32" Type="http://schemas.openxmlformats.org/officeDocument/2006/relationships/image" Target="media/image9.emf"/><Relationship Id="rId37" Type="http://schemas.openxmlformats.org/officeDocument/2006/relationships/hyperlink" Target="https://www.abs.gov.au/statistics/economy/business-indicators/counts-australian-businesses-including-entries-and-exits/latest-release" TargetMode="External"/><Relationship Id="rId53" Type="http://schemas.openxmlformats.org/officeDocument/2006/relationships/image" Target="media/image18.emf"/><Relationship Id="rId58" Type="http://schemas.openxmlformats.org/officeDocument/2006/relationships/hyperlink" Target="https://www.abs.gov.au/statistics/industry/technology-and-innovation/characteristics-australian-business/2019-20" TargetMode="External"/><Relationship Id="rId74" Type="http://schemas.openxmlformats.org/officeDocument/2006/relationships/hyperlink" Target="https://www.pc.gov.au/research/completed/university-report-card/university-report-card.pdf" TargetMode="External"/><Relationship Id="rId79" Type="http://schemas.openxmlformats.org/officeDocument/2006/relationships/image" Target="media/image31.png"/><Relationship Id="rId102" Type="http://schemas.openxmlformats.org/officeDocument/2006/relationships/fontTable" Target="fontTable.xml"/><Relationship Id="rId5" Type="http://schemas.openxmlformats.org/officeDocument/2006/relationships/customXml" Target="../customXml/item5.xml"/><Relationship Id="rId90" Type="http://schemas.openxmlformats.org/officeDocument/2006/relationships/hyperlink" Target="https://www.abs.gov.au/statistics/people/people-and-communities/gender-indicators-australia/2020" TargetMode="External"/><Relationship Id="rId95" Type="http://schemas.openxmlformats.org/officeDocument/2006/relationships/hyperlink" Target="https://doi.org/10.1257/pandp.20191078A" TargetMode="External"/><Relationship Id="rId22" Type="http://schemas.openxmlformats.org/officeDocument/2006/relationships/footer" Target="footer2.xml"/><Relationship Id="rId27" Type="http://schemas.openxmlformats.org/officeDocument/2006/relationships/footer" Target="footer5.xml"/><Relationship Id="rId43" Type="http://schemas.openxmlformats.org/officeDocument/2006/relationships/hyperlink" Target="https://www.pc.gov.au/research/ongoing/productivity-insights/services" TargetMode="External"/><Relationship Id="rId48" Type="http://schemas.openxmlformats.org/officeDocument/2006/relationships/image" Target="media/image14.emf"/><Relationship Id="rId64" Type="http://schemas.openxmlformats.org/officeDocument/2006/relationships/hyperlink" Target="https://www.nationalskillscommission.gov.au/reports/digital-skills-australian-and-international-economies" TargetMode="External"/><Relationship Id="rId69" Type="http://schemas.openxmlformats.org/officeDocument/2006/relationships/image" Target="media/image27.png"/><Relationship Id="rId80" Type="http://schemas.openxmlformats.org/officeDocument/2006/relationships/image" Target="media/image32.png"/><Relationship Id="rId85" Type="http://schemas.openxmlformats.org/officeDocument/2006/relationships/image" Target="media/image37.png"/><Relationship Id="rId12" Type="http://schemas.openxmlformats.org/officeDocument/2006/relationships/image" Target="media/image1.png"/><Relationship Id="rId17" Type="http://schemas.openxmlformats.org/officeDocument/2006/relationships/hyperlink" Target="http://www.pmc.gov.au/government/commonwealth-coat-arms" TargetMode="External"/><Relationship Id="rId25" Type="http://schemas.openxmlformats.org/officeDocument/2006/relationships/header" Target="header4.xml"/><Relationship Id="rId33" Type="http://schemas.openxmlformats.org/officeDocument/2006/relationships/image" Target="media/image10.png"/><Relationship Id="rId38" Type="http://schemas.openxmlformats.org/officeDocument/2006/relationships/hyperlink" Target="http://tweb/sites/meg/rcg/ru/www.industry.gov.au/aismonitor" TargetMode="External"/><Relationship Id="rId46" Type="http://schemas.openxmlformats.org/officeDocument/2006/relationships/image" Target="media/image12.emf"/><Relationship Id="rId59" Type="http://schemas.openxmlformats.org/officeDocument/2006/relationships/hyperlink" Target="https://treasury.gov.au/publication/p2022-243535" TargetMode="External"/><Relationship Id="rId67" Type="http://schemas.openxmlformats.org/officeDocument/2006/relationships/image" Target="media/image25.png"/><Relationship Id="rId103" Type="http://schemas.openxmlformats.org/officeDocument/2006/relationships/theme" Target="theme/theme1.xml"/><Relationship Id="rId20" Type="http://schemas.openxmlformats.org/officeDocument/2006/relationships/header" Target="header2.xml"/><Relationship Id="rId41" Type="http://schemas.openxmlformats.org/officeDocument/2006/relationships/hyperlink" Target="http://www.ggdc.net/pwt" TargetMode="External"/><Relationship Id="rId54" Type="http://schemas.openxmlformats.org/officeDocument/2006/relationships/image" Target="media/image19.emf"/><Relationship Id="rId62" Type="http://schemas.openxmlformats.org/officeDocument/2006/relationships/hyperlink" Target="https://doi.org/10.1257/mac.20180386" TargetMode="External"/><Relationship Id="rId70" Type="http://schemas.openxmlformats.org/officeDocument/2006/relationships/image" Target="media/image28.png"/><Relationship Id="rId75" Type="http://schemas.openxmlformats.org/officeDocument/2006/relationships/hyperlink" Target="https://www.tandfonline.com/doi/abs/10.1080/01621459.2017.1319839?journalCode=uasa20" TargetMode="External"/><Relationship Id="rId83" Type="http://schemas.openxmlformats.org/officeDocument/2006/relationships/image" Target="media/image35.png"/><Relationship Id="rId88" Type="http://schemas.openxmlformats.org/officeDocument/2006/relationships/image" Target="media/image40.png"/><Relationship Id="rId91" Type="http://schemas.openxmlformats.org/officeDocument/2006/relationships/hyperlink" Target="https://taxpolicy.crawford.anu.edu.au/publication/ttpi-working-papers/19025/ato-longitudinal-information-files-alife-individuals-new" TargetMode="External"/><Relationship Id="rId96" Type="http://schemas.openxmlformats.org/officeDocument/2006/relationships/hyperlink" Target="https://doi.org/10.1257/app.20180010"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header" Target="header3.xml"/><Relationship Id="rId28" Type="http://schemas.openxmlformats.org/officeDocument/2006/relationships/image" Target="media/image5.emf"/><Relationship Id="rId36" Type="http://schemas.openxmlformats.org/officeDocument/2006/relationships/hyperlink" Target="https://www.abs.gov.au/statistics/industry/technology-and-innovation/research-and-experimental-development-businesses-australia/latest-release" TargetMode="External"/><Relationship Id="rId49" Type="http://schemas.openxmlformats.org/officeDocument/2006/relationships/image" Target="media/image15.emf"/><Relationship Id="rId57" Type="http://schemas.openxmlformats.org/officeDocument/2006/relationships/image" Target="media/image22.emf"/><Relationship Id="rId10" Type="http://schemas.openxmlformats.org/officeDocument/2006/relationships/footnotes" Target="footnotes.xml"/><Relationship Id="rId31" Type="http://schemas.openxmlformats.org/officeDocument/2006/relationships/image" Target="media/image8.png"/><Relationship Id="rId44" Type="http://schemas.openxmlformats.org/officeDocument/2006/relationships/footer" Target="footer6.xml"/><Relationship Id="rId52" Type="http://schemas.openxmlformats.org/officeDocument/2006/relationships/image" Target="media/image17.png"/><Relationship Id="rId60" Type="http://schemas.openxmlformats.org/officeDocument/2006/relationships/hyperlink" Target="https://www.nber.org/papers/w28999" TargetMode="External"/><Relationship Id="rId65" Type="http://schemas.openxmlformats.org/officeDocument/2006/relationships/image" Target="media/image23.png"/><Relationship Id="rId73" Type="http://schemas.openxmlformats.org/officeDocument/2006/relationships/hyperlink" Target="https://www.pc.gov.au/research/completed/youth-income-decline/youth-income-decline.pdf" TargetMode="External"/><Relationship Id="rId78" Type="http://schemas.openxmlformats.org/officeDocument/2006/relationships/image" Target="media/image30.png"/><Relationship Id="rId81" Type="http://schemas.openxmlformats.org/officeDocument/2006/relationships/image" Target="media/image33.png"/><Relationship Id="rId86" Type="http://schemas.openxmlformats.org/officeDocument/2006/relationships/image" Target="media/image38.png"/><Relationship Id="rId94" Type="http://schemas.openxmlformats.org/officeDocument/2006/relationships/hyperlink" Target="https://doi.org/10.3982/ECTA11427" TargetMode="External"/><Relationship Id="rId99" Type="http://schemas.openxmlformats.org/officeDocument/2006/relationships/hyperlink" Target="https://www.nber.org/papers/w24740" TargetMode="External"/><Relationship Id="rId101" Type="http://schemas.openxmlformats.org/officeDocument/2006/relationships/hyperlink" Target="https://doi.org/10.1086/678518"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creativecommons.org/licenses/by/3.0/au/deed.en" TargetMode="External"/><Relationship Id="rId18" Type="http://schemas.openxmlformats.org/officeDocument/2006/relationships/hyperlink" Target="mailto:media@treasury.gov.au" TargetMode="External"/><Relationship Id="rId39" Type="http://schemas.openxmlformats.org/officeDocument/2006/relationships/hyperlink" Target="https://treasury.gov.au/publication/2021-intergenerational-report" TargetMode="External"/><Relationship Id="rId34" Type="http://schemas.openxmlformats.org/officeDocument/2006/relationships/hyperlink" Target="https://www.abs.gov.au/statistics/industry/industry-overview/estimates-industry-multifactor-productivity/latest-release" TargetMode="External"/><Relationship Id="rId50" Type="http://schemas.openxmlformats.org/officeDocument/2006/relationships/footer" Target="footer7.xml"/><Relationship Id="rId55" Type="http://schemas.openxmlformats.org/officeDocument/2006/relationships/image" Target="media/image20.emf"/><Relationship Id="rId76" Type="http://schemas.openxmlformats.org/officeDocument/2006/relationships/hyperlink" Target="https://www.gsb.stanford.edu/faculty-research/working-papers/estimating-treatment-effects-causal-forests-application" TargetMode="External"/><Relationship Id="rId97" Type="http://schemas.openxmlformats.org/officeDocument/2006/relationships/hyperlink" Target="https://www.nber.org/papers/w28082" TargetMode="External"/><Relationship Id="rId7" Type="http://schemas.openxmlformats.org/officeDocument/2006/relationships/styles" Target="styles.xml"/><Relationship Id="rId71" Type="http://schemas.openxmlformats.org/officeDocument/2006/relationships/hyperlink" Target="https://arxiv.org/abs/1712.04802" TargetMode="External"/><Relationship Id="rId92" Type="http://schemas.openxmlformats.org/officeDocument/2006/relationships/hyperlink" Target="https://www.oecd.org/innovation/the-human-side-of-productivity-5f391ba9-en.htm" TargetMode="External"/><Relationship Id="rId2" Type="http://schemas.openxmlformats.org/officeDocument/2006/relationships/customXml" Target="../customXml/item2.xml"/><Relationship Id="rId29" Type="http://schemas.openxmlformats.org/officeDocument/2006/relationships/image" Target="media/image6.emf"/><Relationship Id="rId24" Type="http://schemas.openxmlformats.org/officeDocument/2006/relationships/footer" Target="footer3.xml"/><Relationship Id="rId40" Type="http://schemas.openxmlformats.org/officeDocument/2006/relationships/hyperlink" Target="https://treasury.gov.au/speech/s2019-390085" TargetMode="External"/><Relationship Id="rId45" Type="http://schemas.openxmlformats.org/officeDocument/2006/relationships/image" Target="media/image11.emf"/><Relationship Id="rId66" Type="http://schemas.openxmlformats.org/officeDocument/2006/relationships/image" Target="media/image24.png"/><Relationship Id="rId87" Type="http://schemas.openxmlformats.org/officeDocument/2006/relationships/image" Target="media/image39.png"/><Relationship Id="rId61" Type="http://schemas.openxmlformats.org/officeDocument/2006/relationships/hyperlink" Target="https://www.nber.org/papers/w24001" TargetMode="External"/><Relationship Id="rId82" Type="http://schemas.openxmlformats.org/officeDocument/2006/relationships/image" Target="media/image34.png"/><Relationship Id="rId19" Type="http://schemas.openxmlformats.org/officeDocument/2006/relationships/header" Target="header1.xml"/><Relationship Id="rId14" Type="http://schemas.openxmlformats.org/officeDocument/2006/relationships/hyperlink" Target="http://creativecommons.org/licenses/by/3.0/au/legalcode" TargetMode="External"/><Relationship Id="rId30" Type="http://schemas.openxmlformats.org/officeDocument/2006/relationships/image" Target="media/image7.emf"/><Relationship Id="rId35" Type="http://schemas.openxmlformats.org/officeDocument/2006/relationships/hyperlink" Target="https://www.abs.gov.au/statistics/industry/industry-overview/australian-industry/latest-release" TargetMode="External"/><Relationship Id="rId56" Type="http://schemas.openxmlformats.org/officeDocument/2006/relationships/image" Target="media/image21.emf"/><Relationship Id="rId77" Type="http://schemas.openxmlformats.org/officeDocument/2006/relationships/image" Target="media/image29.png"/><Relationship Id="rId100" Type="http://schemas.openxmlformats.org/officeDocument/2006/relationships/hyperlink" Target="https://www.imf.org/en/Publications/Staff-Discussion-Notes/Issues/2018/10/09/Economic-Gains-From-Gender-Inclusion-New-Mechanisms-New-Evidence-45543" TargetMode="External"/><Relationship Id="rId8" Type="http://schemas.openxmlformats.org/officeDocument/2006/relationships/settings" Target="settings.xml"/><Relationship Id="rId51" Type="http://schemas.openxmlformats.org/officeDocument/2006/relationships/image" Target="media/image16.png"/><Relationship Id="rId72" Type="http://schemas.openxmlformats.org/officeDocument/2006/relationships/hyperlink" Target="https://treasury.gov.au/sites/default/files/2020-06/p2020-85098-202006.pdf" TargetMode="External"/><Relationship Id="rId93" Type="http://schemas.openxmlformats.org/officeDocument/2006/relationships/hyperlink" Target="https://doi.org/10.1257/aer.104.4.1091" TargetMode="External"/><Relationship Id="rId98" Type="http://schemas.openxmlformats.org/officeDocument/2006/relationships/hyperlink" Target="https://www.nber.org/papers/w30176" TargetMode="Externa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footer7.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stats.oecd.org/Index.aspx?DataSetCode=MSTI_PUB"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757F21A572D04CBC25259FB658AE62" ma:contentTypeVersion="50976" ma:contentTypeDescription="Create a new document." ma:contentTypeScope="" ma:versionID="2d8836ebbd3ab46671fca2f1ff65d0ea">
  <xsd:schema xmlns:xsd="http://www.w3.org/2001/XMLSchema" xmlns:xs="http://www.w3.org/2001/XMLSchema" xmlns:p="http://schemas.microsoft.com/office/2006/metadata/properties" xmlns:ns1="http://schemas.microsoft.com/sharepoint/v3" xmlns:ns2="f9eb071b-3c9f-4893-b985-6173933994cc" xmlns:ns3="0f563589-9cf9-4143-b1eb-fb0534803d38" targetNamespace="http://schemas.microsoft.com/office/2006/metadata/properties" ma:root="true" ma:fieldsID="b2fa2e037a0848a7f44191862e7047c4" ns1:_="" ns2:_="" ns3:_="">
    <xsd:import namespace="http://schemas.microsoft.com/sharepoint/v3"/>
    <xsd:import namespace="f9eb071b-3c9f-4893-b985-6173933994cc"/>
    <xsd:import namespace="0f563589-9cf9-4143-b1eb-fb0534803d38"/>
    <xsd:element name="properties">
      <xsd:complexType>
        <xsd:sequence>
          <xsd:element name="documentManagement">
            <xsd:complexType>
              <xsd:all>
                <xsd:element ref="ns2:DocumentName"/>
                <xsd:element ref="ns2:Author0"/>
                <xsd:element ref="ns2:DateModified"/>
                <xsd:element ref="ns2:DocumentType" minOccurs="0"/>
                <xsd:element ref="ns2:RoundUpEdition" minOccurs="0"/>
                <xsd:element ref="ns3:_dlc_DocId" minOccurs="0"/>
                <xsd:element ref="ns3:_dlc_DocIdUrl" minOccurs="0"/>
                <xsd:element ref="ns3:_dlc_DocIdPersistId" minOccurs="0"/>
                <xsd:element ref="ns3:TaxCatchAll" minOccurs="0"/>
                <xsd:element ref="ns3: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eb071b-3c9f-4893-b985-6173933994cc" elementFormDefault="qualified">
    <xsd:import namespace="http://schemas.microsoft.com/office/2006/documentManagement/types"/>
    <xsd:import namespace="http://schemas.microsoft.com/office/infopath/2007/PartnerControls"/>
    <xsd:element name="DocumentName" ma:index="2" ma:displayName="Document Name" ma:internalName="DocumentName">
      <xsd:simpleType>
        <xsd:restriction base="dms:Text">
          <xsd:maxLength value="255"/>
        </xsd:restriction>
      </xsd:simpleType>
    </xsd:element>
    <xsd:element name="Author0" ma:index="3" ma:displayName="Author" ma:list="UserInfo" ma:SharePointGroup="0" ma:internalName="Author0"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ateModified" ma:index="4" ma:displayName="Date Modified" ma:format="DateOnly" ma:internalName="DateModified">
      <xsd:simpleType>
        <xsd:restriction base="dms:DateTime"/>
      </xsd:simpleType>
    </xsd:element>
    <xsd:element name="DocumentType" ma:index="5" nillable="true" ma:displayName="Document Type" ma:format="Dropdown" ma:internalName="DocumentType">
      <xsd:simpleType>
        <xsd:restriction base="dms:Choice">
          <xsd:enumeration value="Draft"/>
          <xsd:enumeration value="Final article"/>
          <xsd:enumeration value="Working files"/>
          <xsd:enumeration value="Other"/>
        </xsd:restriction>
      </xsd:simpleType>
    </xsd:element>
    <xsd:element name="RoundUpEdition" ma:index="6" nillable="true" ma:displayName="Round Up Edition" ma:internalName="RoundUpEdi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c05f6137-831b-4cf2-ae58-d88291490615}" ma:internalName="TaxCatchAll" ma:showField="CatchAllData" ma:web="54bb81cf-96ba-41ce-8a26-ccbc5a57d34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05f6137-831b-4cf2-ae58-d88291490615}" ma:internalName="TaxCatchAllLabel" ma:readOnly="true" ma:showField="CatchAllDataLabel" ma:web="54bb81cf-96ba-41ce-8a26-ccbc5a57d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26</Value>
    </TaxCatchAll>
    <_dlc_DocId xmlns="0f563589-9cf9-4143-b1eb-fb0534803d38">2022MEG-1921671012-7</_dlc_DocId>
    <_dlc_DocIdUrl xmlns="0f563589-9cf9-4143-b1eb-fb0534803d38">
      <Url>http://tweb/sites/meg/rcg/_layouts/15/DocIdRedir.aspx?ID=2022MEG-1921671012-7</Url>
      <Description>2022MEG-1921671012-7</Description>
    </_dlc_DocIdUrl>
    <DocumentName xmlns="f9eb071b-3c9f-4893-b985-6173933994cc">Treasury Round Up - September 2022</DocumentName>
    <DocumentType xmlns="f9eb071b-3c9f-4893-b985-6173933994cc">Draft</DocumentType>
    <DateModified xmlns="f9eb071b-3c9f-4893-b985-6173933994cc">2022-08-14T14:00:00+00:00</DateModified>
    <Author0 xmlns="f9eb071b-3c9f-4893-b985-6173933994cc">
      <UserInfo>
        <DisplayName>Fernandes, Kate</DisplayName>
        <AccountId>5005</AccountId>
        <AccountType/>
      </UserInfo>
    </Author0>
    <RoundUpEdition xmlns="f9eb071b-3c9f-4893-b985-6173933994cc">Productivity - October 2022</RoundUpEdi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C019F3-0AA4-4F6B-8612-574B0E04D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eb071b-3c9f-4893-b985-6173933994cc"/>
    <ds:schemaRef ds:uri="0f563589-9cf9-4143-b1eb-fb0534803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E384B8-AFDE-4115-BB58-83EF9DC6AA14}">
  <ds:schemaRefs>
    <ds:schemaRef ds:uri="http://schemas.microsoft.com/sharepoint/events"/>
  </ds:schemaRefs>
</ds:datastoreItem>
</file>

<file path=customXml/itemProps3.xml><?xml version="1.0" encoding="utf-8"?>
<ds:datastoreItem xmlns:ds="http://schemas.openxmlformats.org/officeDocument/2006/customXml" ds:itemID="{64C9EF1C-25C2-48EA-9C02-F5D0102C6A46}">
  <ds:schemaRefs>
    <ds:schemaRef ds:uri="http://schemas.microsoft.com/office/infopath/2007/PartnerControls"/>
    <ds:schemaRef ds:uri="http://schemas.microsoft.com/office/2006/documentManagement/types"/>
    <ds:schemaRef ds:uri="http://schemas.microsoft.com/sharepoint/v3"/>
    <ds:schemaRef ds:uri="http://purl.org/dc/dcmitype/"/>
    <ds:schemaRef ds:uri="0f563589-9cf9-4143-b1eb-fb0534803d38"/>
    <ds:schemaRef ds:uri="http://schemas.openxmlformats.org/package/2006/metadata/core-properties"/>
    <ds:schemaRef ds:uri="f9eb071b-3c9f-4893-b985-6173933994cc"/>
    <ds:schemaRef ds:uri="http://www.w3.org/XML/1998/namespace"/>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C9D67944-D266-4CF2-9A03-61056FD2342F}">
  <ds:schemaRefs>
    <ds:schemaRef ds:uri="http://schemas.openxmlformats.org/officeDocument/2006/bibliography"/>
  </ds:schemaRefs>
</ds:datastoreItem>
</file>

<file path=customXml/itemProps5.xml><?xml version="1.0" encoding="utf-8"?>
<ds:datastoreItem xmlns:ds="http://schemas.openxmlformats.org/officeDocument/2006/customXml" ds:itemID="{4BD79CAF-1BBE-4179-A183-6298AA0F52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47</Pages>
  <Words>12744</Words>
  <Characters>72404</Characters>
  <Application>Microsoft Office Word</Application>
  <DocSecurity>0</DocSecurity>
  <Lines>1225</Lines>
  <Paragraphs>477</Paragraphs>
  <ScaleCrop>false</ScaleCrop>
  <HeadingPairs>
    <vt:vector size="2" baseType="variant">
      <vt:variant>
        <vt:lpstr>Title</vt:lpstr>
      </vt:variant>
      <vt:variant>
        <vt:i4>1</vt:i4>
      </vt:variant>
    </vt:vector>
  </HeadingPairs>
  <TitlesOfParts>
    <vt:vector size="1" baseType="lpstr">
      <vt:lpstr>Treasury Round Up 2022</vt:lpstr>
    </vt:vector>
  </TitlesOfParts>
  <Company/>
  <LinksUpToDate>false</LinksUpToDate>
  <CharactersWithSpaces>84859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Round Up 2022</dc:title>
  <dc:subject/>
  <dc:creator>Australian Government</dc:creator>
  <cp:keywords/>
  <dc:description/>
  <cp:lastModifiedBy>Hill, Christine</cp:lastModifiedBy>
  <cp:revision>13</cp:revision>
  <cp:lastPrinted>2022-11-09T04:05:00Z</cp:lastPrinted>
  <dcterms:created xsi:type="dcterms:W3CDTF">2022-11-09T03:36:00Z</dcterms:created>
  <dcterms:modified xsi:type="dcterms:W3CDTF">2022-11-10T04:42:00Z</dcterms:modified>
  <cp:category/>
</cp:coreProperties>
</file>