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8C3AD" w14:textId="77777777" w:rsidR="006C684E" w:rsidRPr="00762CDF" w:rsidRDefault="006C684E" w:rsidP="00762CDF">
      <w:pPr>
        <w:pStyle w:val="Heading1"/>
        <w:spacing w:before="0" w:line="276" w:lineRule="auto"/>
        <w:jc w:val="center"/>
        <w:rPr>
          <w:rFonts w:asciiTheme="minorHAnsi" w:hAnsiTheme="minorHAnsi"/>
          <w:color w:val="auto"/>
          <w:sz w:val="36"/>
          <w:szCs w:val="22"/>
        </w:rPr>
      </w:pPr>
      <w:bookmarkStart w:id="0" w:name="_GoBack"/>
      <w:bookmarkEnd w:id="0"/>
      <w:r w:rsidRPr="00762CDF">
        <w:rPr>
          <w:rFonts w:asciiTheme="minorHAnsi" w:hAnsiTheme="minorHAnsi"/>
          <w:color w:val="auto"/>
          <w:sz w:val="36"/>
          <w:szCs w:val="22"/>
        </w:rPr>
        <w:t>UK-Australia FinTech Bridge</w:t>
      </w:r>
    </w:p>
    <w:p w14:paraId="3BD7C194" w14:textId="77777777" w:rsidR="00D4679B" w:rsidRPr="00762CDF" w:rsidRDefault="00D4679B" w:rsidP="00762CDF">
      <w:pPr>
        <w:pStyle w:val="Heading2"/>
        <w:spacing w:before="0" w:line="276" w:lineRule="auto"/>
        <w:rPr>
          <w:rFonts w:asciiTheme="minorHAnsi" w:hAnsiTheme="minorHAnsi"/>
          <w:color w:val="auto"/>
          <w:sz w:val="22"/>
          <w:szCs w:val="22"/>
        </w:rPr>
      </w:pPr>
    </w:p>
    <w:p w14:paraId="5F2A1CA9" w14:textId="77777777" w:rsidR="00191434" w:rsidRDefault="00191434" w:rsidP="00E6555C">
      <w:pPr>
        <w:spacing w:after="0" w:line="276" w:lineRule="auto"/>
      </w:pPr>
      <w:r>
        <w:t>The</w:t>
      </w:r>
      <w:r w:rsidR="00935AEC">
        <w:t xml:space="preserve"> Government of the </w:t>
      </w:r>
      <w:r w:rsidR="00935AEC" w:rsidRPr="00D4679B">
        <w:t>U</w:t>
      </w:r>
      <w:r w:rsidR="00935AEC">
        <w:t xml:space="preserve">nited </w:t>
      </w:r>
      <w:r w:rsidR="00935AEC" w:rsidRPr="00D4679B">
        <w:t>K</w:t>
      </w:r>
      <w:r w:rsidR="00935AEC">
        <w:t>ingdom (UK)</w:t>
      </w:r>
      <w:r>
        <w:t xml:space="preserve"> </w:t>
      </w:r>
      <w:r w:rsidR="00162BDC" w:rsidRPr="00D4679B">
        <w:t>and the</w:t>
      </w:r>
      <w:r w:rsidR="00935AEC">
        <w:t xml:space="preserve"> Government of </w:t>
      </w:r>
      <w:r w:rsidR="00935AEC" w:rsidRPr="00D4679B">
        <w:t>Australia</w:t>
      </w:r>
      <w:r>
        <w:t>,</w:t>
      </w:r>
    </w:p>
    <w:p w14:paraId="6D9A6DB0" w14:textId="77777777" w:rsidR="00191434" w:rsidRDefault="00191434" w:rsidP="00762CDF">
      <w:pPr>
        <w:spacing w:after="0" w:line="276" w:lineRule="auto"/>
      </w:pPr>
    </w:p>
    <w:p w14:paraId="586EE129" w14:textId="50B2AB30" w:rsidR="00162BDC" w:rsidRPr="00D4679B" w:rsidRDefault="00191434" w:rsidP="00933A3B">
      <w:pPr>
        <w:spacing w:after="0" w:line="276" w:lineRule="auto"/>
        <w:ind w:left="720"/>
        <w:rPr>
          <w:lang w:val="en-US"/>
        </w:rPr>
      </w:pPr>
      <w:r w:rsidRPr="00762CDF">
        <w:rPr>
          <w:i/>
        </w:rPr>
        <w:t>R</w:t>
      </w:r>
      <w:r w:rsidR="00162BDC" w:rsidRPr="00762CDF">
        <w:rPr>
          <w:i/>
        </w:rPr>
        <w:t>ecognis</w:t>
      </w:r>
      <w:r w:rsidR="00382032">
        <w:rPr>
          <w:i/>
        </w:rPr>
        <w:t>ing their position</w:t>
      </w:r>
      <w:r w:rsidR="00162BDC" w:rsidRPr="00D4679B">
        <w:t xml:space="preserve"> at the global forefront of FinTech development, supported by a regulatory approach to FinTech that is seen globally as the model to emulate</w:t>
      </w:r>
      <w:r w:rsidR="005637A0" w:rsidRPr="00D4679B">
        <w:t xml:space="preserve"> – </w:t>
      </w:r>
      <w:r w:rsidR="005637A0" w:rsidRPr="00D4679B">
        <w:rPr>
          <w:lang w:val="en-US"/>
        </w:rPr>
        <w:t>striking the right balance between efficiency and stability, ensuring that innovation is not stifled, while maintaining trust in the financial system</w:t>
      </w:r>
      <w:r w:rsidR="0030233A">
        <w:rPr>
          <w:lang w:val="en-US"/>
        </w:rPr>
        <w:t>;</w:t>
      </w:r>
    </w:p>
    <w:p w14:paraId="30C0D536" w14:textId="77777777" w:rsidR="00D4679B" w:rsidRPr="00D4679B" w:rsidRDefault="00D4679B" w:rsidP="00762CDF">
      <w:pPr>
        <w:spacing w:after="0" w:line="276" w:lineRule="auto"/>
      </w:pPr>
    </w:p>
    <w:p w14:paraId="70C040FF" w14:textId="715E37C3" w:rsidR="00162BDC" w:rsidRPr="00D4679B" w:rsidRDefault="00191434" w:rsidP="00762CDF">
      <w:pPr>
        <w:spacing w:after="0" w:line="276" w:lineRule="auto"/>
        <w:ind w:left="720"/>
        <w:rPr>
          <w:rFonts w:cs="Arial"/>
        </w:rPr>
      </w:pPr>
      <w:r w:rsidRPr="00762CDF">
        <w:rPr>
          <w:i/>
        </w:rPr>
        <w:t>Noting</w:t>
      </w:r>
      <w:r>
        <w:t xml:space="preserve"> t</w:t>
      </w:r>
      <w:r w:rsidR="00457FD0">
        <w:t>hat t</w:t>
      </w:r>
      <w:r w:rsidR="00162BDC" w:rsidRPr="00D4679B">
        <w:t>he UK is a world-leader in FinTech</w:t>
      </w:r>
      <w:r>
        <w:t>;</w:t>
      </w:r>
      <w:r w:rsidR="00162BDC" w:rsidRPr="00D4679B">
        <w:t xml:space="preserve"> UK FinTech firms generat</w:t>
      </w:r>
      <w:r w:rsidR="001A5066">
        <w:t>e</w:t>
      </w:r>
      <w:r w:rsidR="00162BDC" w:rsidRPr="00D4679B">
        <w:t xml:space="preserve"> £</w:t>
      </w:r>
      <w:r w:rsidR="001A5066">
        <w:t>7</w:t>
      </w:r>
      <w:r w:rsidR="00162BDC" w:rsidRPr="00D4679B">
        <w:t xml:space="preserve"> billion in revenue</w:t>
      </w:r>
      <w:r w:rsidR="0020101E">
        <w:t xml:space="preserve"> annually</w:t>
      </w:r>
      <w:r w:rsidR="00162BDC" w:rsidRPr="00D4679B">
        <w:t>, employ</w:t>
      </w:r>
      <w:r w:rsidR="0020101E">
        <w:t xml:space="preserve"> over </w:t>
      </w:r>
      <w:r w:rsidR="00162BDC" w:rsidRPr="00D4679B">
        <w:t>61,000 people</w:t>
      </w:r>
      <w:r w:rsidR="001A5066">
        <w:t>,</w:t>
      </w:r>
      <w:r w:rsidR="00162BDC" w:rsidRPr="00D4679B">
        <w:t xml:space="preserve"> and </w:t>
      </w:r>
      <w:r w:rsidR="0020101E">
        <w:t xml:space="preserve">in 2017 </w:t>
      </w:r>
      <w:r w:rsidR="00162BDC" w:rsidRPr="00D4679B">
        <w:t>raised £</w:t>
      </w:r>
      <w:r w:rsidR="001A5066">
        <w:t>1.3 billion</w:t>
      </w:r>
      <w:r w:rsidR="0020101E">
        <w:t xml:space="preserve"> </w:t>
      </w:r>
      <w:r w:rsidR="001A5066">
        <w:t xml:space="preserve">in </w:t>
      </w:r>
      <w:r w:rsidR="001A5066" w:rsidRPr="00D4679B">
        <w:t>investment</w:t>
      </w:r>
      <w:r w:rsidR="00457FD0">
        <w:t xml:space="preserve">; and </w:t>
      </w:r>
      <w:r w:rsidR="00AF0077">
        <w:t xml:space="preserve">that </w:t>
      </w:r>
      <w:r w:rsidR="00457FD0">
        <w:t>t</w:t>
      </w:r>
      <w:r w:rsidR="00162BDC" w:rsidRPr="00D4679B">
        <w:t>he sector’s strength comes from its world-leading talent, a progressive regulator and a government focused on competition in financial services</w:t>
      </w:r>
      <w:r w:rsidR="0030233A">
        <w:t>;</w:t>
      </w:r>
      <w:r w:rsidR="00162BDC" w:rsidRPr="00D4679B">
        <w:rPr>
          <w:rFonts w:cs="Arial"/>
        </w:rPr>
        <w:t xml:space="preserve"> </w:t>
      </w:r>
    </w:p>
    <w:p w14:paraId="1A8A6250" w14:textId="77777777" w:rsidR="00D4679B" w:rsidRPr="00D4679B" w:rsidRDefault="00D4679B" w:rsidP="00762CDF">
      <w:pPr>
        <w:spacing w:after="0" w:line="276" w:lineRule="auto"/>
        <w:rPr>
          <w:rFonts w:cs="Arial"/>
        </w:rPr>
      </w:pPr>
    </w:p>
    <w:p w14:paraId="49EA4B4A" w14:textId="55759E17" w:rsidR="00162BDC" w:rsidRPr="00D4679B" w:rsidRDefault="00191434" w:rsidP="00762CDF">
      <w:pPr>
        <w:spacing w:after="0" w:line="276" w:lineRule="auto"/>
        <w:ind w:left="720"/>
        <w:rPr>
          <w:rFonts w:cs="Arial"/>
        </w:rPr>
      </w:pPr>
      <w:r>
        <w:rPr>
          <w:rFonts w:cs="Arial"/>
          <w:i/>
        </w:rPr>
        <w:t>Noting</w:t>
      </w:r>
      <w:r w:rsidR="00457FD0">
        <w:rPr>
          <w:rFonts w:cs="Arial"/>
          <w:i/>
        </w:rPr>
        <w:t xml:space="preserve"> </w:t>
      </w:r>
      <w:r w:rsidR="00457FD0">
        <w:rPr>
          <w:rFonts w:cs="Arial"/>
        </w:rPr>
        <w:t>that</w:t>
      </w:r>
      <w:r>
        <w:rPr>
          <w:rFonts w:cs="Arial"/>
          <w:i/>
        </w:rPr>
        <w:t xml:space="preserve"> </w:t>
      </w:r>
      <w:r w:rsidR="00162BDC" w:rsidRPr="00D4679B">
        <w:rPr>
          <w:rFonts w:cs="Arial"/>
        </w:rPr>
        <w:t xml:space="preserve">Australia is </w:t>
      </w:r>
      <w:r w:rsidR="00AE506E">
        <w:rPr>
          <w:rFonts w:cs="Arial"/>
        </w:rPr>
        <w:t xml:space="preserve">a </w:t>
      </w:r>
      <w:r w:rsidR="00162BDC" w:rsidRPr="00D4679B">
        <w:rPr>
          <w:rFonts w:cs="Arial"/>
        </w:rPr>
        <w:t xml:space="preserve">strong global player in FinTech with </w:t>
      </w:r>
      <w:r w:rsidR="00965884">
        <w:rPr>
          <w:rFonts w:cs="Arial"/>
        </w:rPr>
        <w:t xml:space="preserve">Melbourne and Sydney both ranked in the </w:t>
      </w:r>
      <w:r w:rsidR="00B85D30">
        <w:rPr>
          <w:rFonts w:cs="Arial"/>
        </w:rPr>
        <w:t xml:space="preserve">top ten </w:t>
      </w:r>
      <w:r w:rsidR="00965884">
        <w:rPr>
          <w:rFonts w:cs="Arial"/>
        </w:rPr>
        <w:t xml:space="preserve">global financial centres.  Australia’s position as </w:t>
      </w:r>
      <w:r w:rsidR="00965884" w:rsidRPr="00D4679B">
        <w:rPr>
          <w:rFonts w:cs="Arial"/>
        </w:rPr>
        <w:t xml:space="preserve">a </w:t>
      </w:r>
      <w:r w:rsidR="00965884">
        <w:rPr>
          <w:rFonts w:cs="Arial"/>
        </w:rPr>
        <w:t xml:space="preserve">regional </w:t>
      </w:r>
      <w:r w:rsidR="00B85D30">
        <w:rPr>
          <w:rFonts w:cs="Arial"/>
        </w:rPr>
        <w:t xml:space="preserve">FinTech </w:t>
      </w:r>
      <w:r w:rsidR="00965884">
        <w:rPr>
          <w:rFonts w:cs="Arial"/>
        </w:rPr>
        <w:t xml:space="preserve">leader </w:t>
      </w:r>
      <w:r w:rsidR="00B85D30">
        <w:rPr>
          <w:rFonts w:cs="Arial"/>
        </w:rPr>
        <w:t xml:space="preserve">is supported by </w:t>
      </w:r>
      <w:r w:rsidR="00162BDC" w:rsidRPr="00D4679B">
        <w:rPr>
          <w:rFonts w:cs="Arial"/>
        </w:rPr>
        <w:t>a rapidly growing FinTech sector</w:t>
      </w:r>
      <w:r w:rsidR="00C719B3">
        <w:rPr>
          <w:rFonts w:cs="Arial"/>
        </w:rPr>
        <w:t>;</w:t>
      </w:r>
      <w:r w:rsidR="00162BDC" w:rsidRPr="00D4679B">
        <w:rPr>
          <w:rFonts w:cs="Arial"/>
        </w:rPr>
        <w:t xml:space="preserve"> </w:t>
      </w:r>
      <w:r w:rsidR="00C719B3">
        <w:rPr>
          <w:rFonts w:cs="Arial"/>
        </w:rPr>
        <w:t>i</w:t>
      </w:r>
      <w:r w:rsidR="00162BDC" w:rsidRPr="00D4679B">
        <w:rPr>
          <w:rFonts w:cs="Arial"/>
        </w:rPr>
        <w:t>nvestment in Australian FinTech in 2016 defied the global trend, reaching over US$656 million</w:t>
      </w:r>
      <w:r w:rsidR="00B85D30">
        <w:rPr>
          <w:rFonts w:cs="Arial"/>
        </w:rPr>
        <w:t xml:space="preserve"> </w:t>
      </w:r>
      <w:r w:rsidR="00AF0077">
        <w:rPr>
          <w:rFonts w:cs="Arial"/>
        </w:rPr>
        <w:t xml:space="preserve">with </w:t>
      </w:r>
      <w:r w:rsidR="00162BDC" w:rsidRPr="00D4679B">
        <w:rPr>
          <w:rFonts w:cs="Arial"/>
        </w:rPr>
        <w:t xml:space="preserve">Australia </w:t>
      </w:r>
      <w:r w:rsidR="00B85D30">
        <w:rPr>
          <w:rFonts w:cs="Arial"/>
        </w:rPr>
        <w:t xml:space="preserve">being </w:t>
      </w:r>
      <w:r w:rsidR="00162BDC" w:rsidRPr="00D4679B">
        <w:rPr>
          <w:rFonts w:cs="Arial"/>
        </w:rPr>
        <w:t xml:space="preserve">the second largest alternative finance market in the </w:t>
      </w:r>
      <w:r w:rsidR="00162BDC" w:rsidRPr="0030233A">
        <w:rPr>
          <w:rFonts w:cs="Arial"/>
        </w:rPr>
        <w:t>Asia Pacific</w:t>
      </w:r>
      <w:r w:rsidR="00B85D30" w:rsidRPr="0030233A">
        <w:rPr>
          <w:rFonts w:cs="Arial"/>
        </w:rPr>
        <w:t>.</w:t>
      </w:r>
      <w:r w:rsidR="00B85D30">
        <w:rPr>
          <w:rFonts w:cs="Arial"/>
        </w:rPr>
        <w:t xml:space="preserve"> </w:t>
      </w:r>
      <w:r w:rsidR="00162BDC" w:rsidRPr="00D4679B">
        <w:rPr>
          <w:rFonts w:cs="Arial"/>
        </w:rPr>
        <w:t>Australia’s supportive regulatory settings and high rate of FinTech adoption present an attractive market for the launch and expansion of FinTech products</w:t>
      </w:r>
      <w:r w:rsidR="0030233A">
        <w:rPr>
          <w:rFonts w:cs="Arial"/>
        </w:rPr>
        <w:t>;</w:t>
      </w:r>
    </w:p>
    <w:p w14:paraId="3C572083" w14:textId="77777777" w:rsidR="00D4679B" w:rsidRPr="00D4679B" w:rsidRDefault="00D4679B" w:rsidP="00191434">
      <w:pPr>
        <w:spacing w:after="0" w:line="276" w:lineRule="auto"/>
        <w:rPr>
          <w:rFonts w:cs="Arial"/>
        </w:rPr>
      </w:pPr>
    </w:p>
    <w:p w14:paraId="75871821" w14:textId="1C3EAB3B" w:rsidR="00191434" w:rsidRDefault="00191434" w:rsidP="00762CDF">
      <w:pPr>
        <w:spacing w:after="0" w:line="276" w:lineRule="auto"/>
        <w:ind w:left="720"/>
      </w:pPr>
      <w:r>
        <w:rPr>
          <w:i/>
        </w:rPr>
        <w:t xml:space="preserve">Recognising </w:t>
      </w:r>
      <w:r w:rsidRPr="00A957A4">
        <w:t>the</w:t>
      </w:r>
      <w:r w:rsidR="00631743" w:rsidRPr="00933A3B">
        <w:t xml:space="preserve"> </w:t>
      </w:r>
      <w:r w:rsidR="00631743" w:rsidRPr="00D4679B">
        <w:t xml:space="preserve">significant growth opportunity </w:t>
      </w:r>
      <w:r>
        <w:t xml:space="preserve">offered by FinTech </w:t>
      </w:r>
      <w:r w:rsidR="00631743" w:rsidRPr="00D4679B">
        <w:t>for both the UK and Australian economies</w:t>
      </w:r>
      <w:r>
        <w:t xml:space="preserve"> through its</w:t>
      </w:r>
      <w:r w:rsidR="00382032">
        <w:t xml:space="preserve"> </w:t>
      </w:r>
      <w:r w:rsidR="00631743" w:rsidRPr="00D4679B">
        <w:t>potential to improve outcomes for consumers, increase access to finance and financial inclusion, and increas</w:t>
      </w:r>
      <w:r w:rsidR="00631743" w:rsidRPr="00D4679B">
        <w:rPr>
          <w:lang w:eastAsia="zh-TW"/>
        </w:rPr>
        <w:t>e</w:t>
      </w:r>
      <w:r w:rsidR="00631743" w:rsidRPr="00D4679B">
        <w:t xml:space="preserve"> competition in financial services</w:t>
      </w:r>
      <w:r w:rsidR="0030233A">
        <w:t>;</w:t>
      </w:r>
      <w:r w:rsidR="00631743" w:rsidRPr="00D4679B">
        <w:t xml:space="preserve"> </w:t>
      </w:r>
    </w:p>
    <w:p w14:paraId="5AB5A252" w14:textId="77777777" w:rsidR="00191434" w:rsidRDefault="00191434" w:rsidP="00762CDF">
      <w:pPr>
        <w:spacing w:after="0" w:line="276" w:lineRule="auto"/>
      </w:pPr>
    </w:p>
    <w:p w14:paraId="05211935" w14:textId="2B3BA5DD" w:rsidR="00631743" w:rsidRPr="00D4679B" w:rsidRDefault="00191434" w:rsidP="00762CDF">
      <w:pPr>
        <w:spacing w:after="0" w:line="276" w:lineRule="auto"/>
        <w:ind w:left="720"/>
      </w:pPr>
      <w:r>
        <w:rPr>
          <w:i/>
        </w:rPr>
        <w:t xml:space="preserve">Acknowledging </w:t>
      </w:r>
      <w:r w:rsidR="00631743" w:rsidRPr="00D4679B">
        <w:t>that increased innovation will also impact policy and regulation</w:t>
      </w:r>
      <w:r w:rsidR="0030233A">
        <w:t>;</w:t>
      </w:r>
    </w:p>
    <w:p w14:paraId="61D0AB91" w14:textId="77777777" w:rsidR="00D4679B" w:rsidRPr="00D4679B" w:rsidRDefault="00D4679B" w:rsidP="00762CDF">
      <w:pPr>
        <w:spacing w:after="0" w:line="276" w:lineRule="auto"/>
      </w:pPr>
    </w:p>
    <w:p w14:paraId="1D52C50D" w14:textId="631AA3B8" w:rsidR="00631743" w:rsidRPr="00D4679B" w:rsidRDefault="00191434" w:rsidP="00762CDF">
      <w:pPr>
        <w:spacing w:after="0" w:line="276" w:lineRule="auto"/>
        <w:ind w:left="720"/>
      </w:pPr>
      <w:r w:rsidRPr="00762CDF">
        <w:rPr>
          <w:i/>
        </w:rPr>
        <w:t>Recognising</w:t>
      </w:r>
      <w:r>
        <w:t xml:space="preserve"> t</w:t>
      </w:r>
      <w:r w:rsidR="00631743" w:rsidRPr="00D4679B">
        <w:t>here are significant opportunities for the UK and Australia</w:t>
      </w:r>
      <w:r w:rsidR="00631743" w:rsidRPr="00D4679B">
        <w:rPr>
          <w:lang w:eastAsia="zh-TW"/>
        </w:rPr>
        <w:t xml:space="preserve"> </w:t>
      </w:r>
      <w:r w:rsidR="0030233A">
        <w:t>to share</w:t>
      </w:r>
      <w:r w:rsidR="0030233A" w:rsidRPr="00D4679B">
        <w:t xml:space="preserve"> </w:t>
      </w:r>
      <w:r w:rsidR="00631743" w:rsidRPr="00D4679B">
        <w:t>their FinTech policy and regulatory expertise to address emerging issues, and ensure that competition and innovation are not unnecessarily restricted</w:t>
      </w:r>
      <w:r w:rsidR="0030233A">
        <w:t>;</w:t>
      </w:r>
    </w:p>
    <w:p w14:paraId="0B5E425E" w14:textId="77777777" w:rsidR="00D4679B" w:rsidRPr="00D4679B" w:rsidRDefault="00D4679B" w:rsidP="00762CDF">
      <w:pPr>
        <w:spacing w:after="0" w:line="276" w:lineRule="auto"/>
      </w:pPr>
    </w:p>
    <w:p w14:paraId="3A24BDEE" w14:textId="1007AA34" w:rsidR="00631743" w:rsidRDefault="00191434" w:rsidP="00762CDF">
      <w:pPr>
        <w:spacing w:after="0" w:line="276" w:lineRule="auto"/>
        <w:ind w:left="720"/>
        <w:rPr>
          <w:lang w:eastAsia="zh-TW"/>
        </w:rPr>
      </w:pPr>
      <w:r>
        <w:rPr>
          <w:i/>
        </w:rPr>
        <w:t xml:space="preserve">Noting </w:t>
      </w:r>
      <w:r>
        <w:t>i</w:t>
      </w:r>
      <w:r w:rsidR="00631743" w:rsidRPr="00D4679B">
        <w:t>ncreased collaboration will also enhance trade and investment flows between their markets and this will in turn contribute to the development of the international FinTech market</w:t>
      </w:r>
      <w:r w:rsidR="0030233A">
        <w:rPr>
          <w:lang w:eastAsia="zh-TW"/>
        </w:rPr>
        <w:t>;</w:t>
      </w:r>
    </w:p>
    <w:p w14:paraId="2E972CA1" w14:textId="77777777" w:rsidR="004A2FC0" w:rsidRDefault="004A2FC0" w:rsidP="00762CDF">
      <w:pPr>
        <w:spacing w:after="0" w:line="276" w:lineRule="auto"/>
        <w:rPr>
          <w:lang w:eastAsia="zh-TW"/>
        </w:rPr>
      </w:pPr>
    </w:p>
    <w:p w14:paraId="7897D5CE" w14:textId="111956FF" w:rsidR="008925C0" w:rsidRDefault="008925C0" w:rsidP="008925C0">
      <w:pPr>
        <w:pStyle w:val="ListParagraph"/>
        <w:spacing w:after="0" w:line="276" w:lineRule="auto"/>
        <w:rPr>
          <w:lang w:val="en-US"/>
        </w:rPr>
      </w:pPr>
      <w:r>
        <w:rPr>
          <w:i/>
          <w:lang w:val="en-US"/>
        </w:rPr>
        <w:t xml:space="preserve">Recognising </w:t>
      </w:r>
      <w:r>
        <w:rPr>
          <w:lang w:val="en-US"/>
        </w:rPr>
        <w:t xml:space="preserve">that close collaboration between governments, regulators and the industry will enable informed and proactive policy </w:t>
      </w:r>
      <w:r w:rsidR="00D15029">
        <w:rPr>
          <w:lang w:val="en-US"/>
        </w:rPr>
        <w:t>actions</w:t>
      </w:r>
      <w:r>
        <w:rPr>
          <w:lang w:val="en-US"/>
        </w:rPr>
        <w:t>, and better position UK and Australian firms for the challenges of entering a foreign market</w:t>
      </w:r>
      <w:r w:rsidR="0030233A">
        <w:rPr>
          <w:lang w:val="en-US"/>
        </w:rPr>
        <w:t>;</w:t>
      </w:r>
    </w:p>
    <w:p w14:paraId="73F23E50" w14:textId="77777777" w:rsidR="008925C0" w:rsidRDefault="008925C0" w:rsidP="00762CDF">
      <w:pPr>
        <w:pStyle w:val="ListParagraph"/>
        <w:spacing w:after="0" w:line="276" w:lineRule="auto"/>
        <w:rPr>
          <w:lang w:val="en-US"/>
        </w:rPr>
      </w:pPr>
    </w:p>
    <w:p w14:paraId="2F4D7448" w14:textId="77777777" w:rsidR="00191434" w:rsidRDefault="00191434" w:rsidP="004A2FC0">
      <w:pPr>
        <w:pStyle w:val="ListParagraph"/>
        <w:spacing w:after="0" w:line="276" w:lineRule="auto"/>
        <w:ind w:left="0"/>
        <w:rPr>
          <w:lang w:val="en-US"/>
        </w:rPr>
      </w:pPr>
    </w:p>
    <w:p w14:paraId="4972B351" w14:textId="77777777" w:rsidR="00191434" w:rsidRDefault="00191434" w:rsidP="004A2FC0">
      <w:pPr>
        <w:pStyle w:val="ListParagraph"/>
        <w:spacing w:after="0" w:line="276" w:lineRule="auto"/>
        <w:ind w:left="0"/>
        <w:rPr>
          <w:lang w:val="en-US"/>
        </w:rPr>
      </w:pPr>
      <w:r>
        <w:rPr>
          <w:lang w:val="en-US"/>
        </w:rPr>
        <w:t>Have come to the following understandings:</w:t>
      </w:r>
    </w:p>
    <w:p w14:paraId="5055F700" w14:textId="77777777" w:rsidR="00783633" w:rsidRPr="004A2FC0" w:rsidRDefault="00783633" w:rsidP="004A2FC0">
      <w:pPr>
        <w:pStyle w:val="ListParagraph"/>
        <w:spacing w:after="0" w:line="276" w:lineRule="auto"/>
        <w:ind w:left="0"/>
        <w:rPr>
          <w:lang w:val="en-US"/>
        </w:rPr>
      </w:pPr>
    </w:p>
    <w:p w14:paraId="0CF1AD45" w14:textId="77777777" w:rsidR="004A2FC0" w:rsidRDefault="004A2FC0" w:rsidP="004A2FC0">
      <w:pPr>
        <w:pStyle w:val="Heading2"/>
        <w:spacing w:before="0" w:line="276" w:lineRule="auto"/>
        <w:jc w:val="center"/>
        <w:rPr>
          <w:rFonts w:asciiTheme="minorHAnsi" w:hAnsiTheme="minorHAnsi"/>
          <w:color w:val="auto"/>
          <w:sz w:val="22"/>
          <w:szCs w:val="22"/>
        </w:rPr>
      </w:pPr>
      <w:r>
        <w:rPr>
          <w:rFonts w:asciiTheme="minorHAnsi" w:hAnsiTheme="minorHAnsi"/>
          <w:color w:val="auto"/>
          <w:sz w:val="22"/>
          <w:szCs w:val="22"/>
        </w:rPr>
        <w:lastRenderedPageBreak/>
        <w:t>Section 1</w:t>
      </w:r>
    </w:p>
    <w:p w14:paraId="2E90E39E" w14:textId="77777777" w:rsidR="006C684E" w:rsidRPr="004A2FC0" w:rsidRDefault="00162BDC" w:rsidP="004A2FC0">
      <w:pPr>
        <w:pStyle w:val="Heading2"/>
        <w:spacing w:before="0" w:line="276" w:lineRule="auto"/>
        <w:jc w:val="center"/>
        <w:rPr>
          <w:rFonts w:asciiTheme="minorHAnsi" w:hAnsiTheme="minorHAnsi"/>
          <w:color w:val="auto"/>
          <w:sz w:val="22"/>
          <w:szCs w:val="22"/>
        </w:rPr>
      </w:pPr>
      <w:r w:rsidRPr="004A2FC0">
        <w:rPr>
          <w:rFonts w:asciiTheme="minorHAnsi" w:hAnsiTheme="minorHAnsi"/>
          <w:color w:val="auto"/>
          <w:sz w:val="22"/>
          <w:szCs w:val="22"/>
        </w:rPr>
        <w:t>Purpose</w:t>
      </w:r>
    </w:p>
    <w:p w14:paraId="0778FD0B" w14:textId="77777777" w:rsidR="004A2FC0" w:rsidRDefault="004A2FC0" w:rsidP="004A2FC0">
      <w:pPr>
        <w:spacing w:after="0" w:line="276" w:lineRule="auto"/>
        <w:rPr>
          <w:lang w:eastAsia="zh-TW"/>
        </w:rPr>
      </w:pPr>
    </w:p>
    <w:p w14:paraId="47903DE7" w14:textId="77777777" w:rsidR="0038215E" w:rsidRPr="00D4679B" w:rsidRDefault="00382032" w:rsidP="004A2FC0">
      <w:pPr>
        <w:spacing w:after="0" w:line="276" w:lineRule="auto"/>
      </w:pPr>
      <w:r>
        <w:rPr>
          <w:lang w:eastAsia="zh-TW"/>
        </w:rPr>
        <w:t xml:space="preserve">1.1 </w:t>
      </w:r>
      <w:r w:rsidR="00C9550C" w:rsidRPr="00D4679B">
        <w:rPr>
          <w:lang w:eastAsia="zh-TW"/>
        </w:rPr>
        <w:t xml:space="preserve">In order to strengthen cooperation, </w:t>
      </w:r>
      <w:r w:rsidR="00C9550C" w:rsidRPr="00D4679B">
        <w:t xml:space="preserve">the UK and Australia have </w:t>
      </w:r>
      <w:r w:rsidR="001B3460" w:rsidRPr="00D4679B">
        <w:t xml:space="preserve">decided </w:t>
      </w:r>
      <w:r w:rsidR="00C9550C" w:rsidRPr="00D4679B">
        <w:t>to establish a UK-Australia Fin</w:t>
      </w:r>
      <w:r w:rsidR="00C9550C" w:rsidRPr="00D4679B">
        <w:rPr>
          <w:lang w:eastAsia="zh-TW"/>
        </w:rPr>
        <w:t>T</w:t>
      </w:r>
      <w:r w:rsidR="00C9550C" w:rsidRPr="00D4679B">
        <w:t xml:space="preserve">ech Bridge (‘the FinTech Bridge’) building on the existing </w:t>
      </w:r>
      <w:r w:rsidR="00317006" w:rsidRPr="00D4679B">
        <w:t xml:space="preserve">Co-operation Agreement </w:t>
      </w:r>
      <w:r w:rsidR="00B4023B" w:rsidRPr="002843A4">
        <w:t xml:space="preserve">between the Financial Conduct Authority and Australian Securities </w:t>
      </w:r>
      <w:r w:rsidR="00B4023B">
        <w:t xml:space="preserve">and </w:t>
      </w:r>
      <w:r w:rsidR="00B4023B" w:rsidRPr="002843A4">
        <w:t xml:space="preserve">Investments Commission </w:t>
      </w:r>
      <w:r w:rsidR="00317006" w:rsidRPr="00D4679B">
        <w:t xml:space="preserve">signed on </w:t>
      </w:r>
      <w:r w:rsidR="00045A3B">
        <w:t xml:space="preserve">23 March 2016 </w:t>
      </w:r>
      <w:r w:rsidR="008C124B">
        <w:t>(the ‘Co-o</w:t>
      </w:r>
      <w:r w:rsidR="00B4023B" w:rsidRPr="00D4679B">
        <w:t>peration Agreement’</w:t>
      </w:r>
      <w:r w:rsidR="002843A4" w:rsidRPr="00D4679B">
        <w:t>)</w:t>
      </w:r>
      <w:r w:rsidR="00045A3B">
        <w:t xml:space="preserve"> and the further agreement signed between both parties on 21</w:t>
      </w:r>
      <w:r w:rsidR="0030233A">
        <w:t xml:space="preserve"> </w:t>
      </w:r>
      <w:r w:rsidR="00045A3B">
        <w:t>March 2018</w:t>
      </w:r>
      <w:r w:rsidR="005B1A4A">
        <w:t xml:space="preserve"> (the </w:t>
      </w:r>
      <w:r w:rsidR="006F2271">
        <w:t>‘</w:t>
      </w:r>
      <w:r w:rsidR="005B1A4A">
        <w:t>Enhanced Agreement</w:t>
      </w:r>
      <w:r w:rsidR="006F2271">
        <w:t>’</w:t>
      </w:r>
      <w:r w:rsidR="005B1A4A">
        <w:t>)</w:t>
      </w:r>
      <w:r w:rsidR="00045A3B">
        <w:t>.</w:t>
      </w:r>
    </w:p>
    <w:p w14:paraId="03A39586" w14:textId="77777777" w:rsidR="00D4679B" w:rsidRPr="00D4679B" w:rsidRDefault="00D4679B" w:rsidP="004A2FC0">
      <w:pPr>
        <w:spacing w:after="0" w:line="276" w:lineRule="auto"/>
      </w:pPr>
    </w:p>
    <w:p w14:paraId="35ABD78C" w14:textId="77777777" w:rsidR="003444E5" w:rsidRPr="00D4679B" w:rsidRDefault="00382032" w:rsidP="004A2FC0">
      <w:pPr>
        <w:spacing w:after="0" w:line="276" w:lineRule="auto"/>
      </w:pPr>
      <w:r>
        <w:t xml:space="preserve">1.2 </w:t>
      </w:r>
      <w:r w:rsidR="00B4023B" w:rsidRPr="00D4679B">
        <w:t xml:space="preserve">This </w:t>
      </w:r>
      <w:r w:rsidR="00B4023B" w:rsidRPr="00624FAF">
        <w:t>UK-Australia FinTech Bridge</w:t>
      </w:r>
      <w:r w:rsidR="00AF0077">
        <w:t>,</w:t>
      </w:r>
      <w:r w:rsidR="00783633" w:rsidRPr="00783633">
        <w:t xml:space="preserve"> </w:t>
      </w:r>
      <w:r w:rsidR="00783633" w:rsidRPr="00D4679B">
        <w:t>signed by the UK Chancellor of the Exchequer and the Australian Treasurer</w:t>
      </w:r>
      <w:r w:rsidR="00AF0077">
        <w:t>,</w:t>
      </w:r>
      <w:r w:rsidR="00783633">
        <w:t xml:space="preserve"> </w:t>
      </w:r>
      <w:r w:rsidR="00457FD0">
        <w:t>establishes a framework for</w:t>
      </w:r>
      <w:r w:rsidR="0062319A" w:rsidRPr="00D4679B">
        <w:t xml:space="preserve"> </w:t>
      </w:r>
      <w:r w:rsidR="003B494E" w:rsidRPr="00D4679B">
        <w:t xml:space="preserve">individual </w:t>
      </w:r>
      <w:r w:rsidR="0062319A" w:rsidRPr="00D4679B">
        <w:t xml:space="preserve">arrangements between relevant government and private sector </w:t>
      </w:r>
      <w:r w:rsidR="00B9716F" w:rsidRPr="00D4679B">
        <w:t xml:space="preserve">parties </w:t>
      </w:r>
      <w:r w:rsidR="00926CA7" w:rsidRPr="00D4679B">
        <w:t xml:space="preserve">from the UK and Australia </w:t>
      </w:r>
      <w:r w:rsidR="00B9716F" w:rsidRPr="00D4679B">
        <w:t>to support</w:t>
      </w:r>
      <w:r w:rsidR="0062319A" w:rsidRPr="00D4679B">
        <w:t xml:space="preserve"> further cooperation on FinTech activities (</w:t>
      </w:r>
      <w:r w:rsidR="002D47E1" w:rsidRPr="00D4679B">
        <w:t xml:space="preserve">these are described in </w:t>
      </w:r>
      <w:r w:rsidR="00F12EC9">
        <w:t>this</w:t>
      </w:r>
      <w:r w:rsidR="00F12EC9" w:rsidRPr="00D4679B">
        <w:t xml:space="preserve"> </w:t>
      </w:r>
      <w:r w:rsidR="002D47E1" w:rsidRPr="00D4679B">
        <w:t>FinTech Bridge as</w:t>
      </w:r>
      <w:r w:rsidR="00B9716F" w:rsidRPr="00D4679B">
        <w:t xml:space="preserve"> </w:t>
      </w:r>
      <w:r w:rsidR="00631743" w:rsidRPr="00D4679B">
        <w:t>‘P</w:t>
      </w:r>
      <w:r w:rsidR="0062319A" w:rsidRPr="00D4679B">
        <w:t>illars</w:t>
      </w:r>
      <w:r w:rsidR="00631743" w:rsidRPr="00D4679B">
        <w:t>’</w:t>
      </w:r>
      <w:r w:rsidR="0062319A" w:rsidRPr="00D4679B">
        <w:t>)</w:t>
      </w:r>
      <w:r w:rsidR="00926CA7" w:rsidRPr="00D4679B">
        <w:t>.</w:t>
      </w:r>
    </w:p>
    <w:p w14:paraId="1C78F399" w14:textId="77777777" w:rsidR="00D4679B" w:rsidRPr="00D4679B" w:rsidRDefault="00D4679B" w:rsidP="004A2FC0">
      <w:pPr>
        <w:spacing w:after="0" w:line="276" w:lineRule="auto"/>
      </w:pPr>
    </w:p>
    <w:p w14:paraId="6725F0F9" w14:textId="77777777" w:rsidR="00631743" w:rsidRPr="00D4679B" w:rsidRDefault="00382032" w:rsidP="004A2FC0">
      <w:pPr>
        <w:spacing w:after="0" w:line="276" w:lineRule="auto"/>
      </w:pPr>
      <w:r>
        <w:t xml:space="preserve">1.3 </w:t>
      </w:r>
      <w:r w:rsidR="00F12EC9">
        <w:t>This</w:t>
      </w:r>
      <w:r w:rsidR="00F12EC9" w:rsidRPr="00D4679B">
        <w:t xml:space="preserve"> </w:t>
      </w:r>
      <w:r w:rsidR="00C9550C" w:rsidRPr="00D4679B">
        <w:t>FinTech Bridge will</w:t>
      </w:r>
      <w:r w:rsidR="00631743" w:rsidRPr="00D4679B">
        <w:t>:</w:t>
      </w:r>
    </w:p>
    <w:p w14:paraId="359A69BB" w14:textId="77777777" w:rsidR="00631743" w:rsidRPr="00D4679B" w:rsidRDefault="00C9550C" w:rsidP="004A2FC0">
      <w:pPr>
        <w:pStyle w:val="ListParagraph"/>
        <w:numPr>
          <w:ilvl w:val="0"/>
          <w:numId w:val="12"/>
        </w:numPr>
        <w:spacing w:after="0" w:line="276" w:lineRule="auto"/>
      </w:pPr>
      <w:r w:rsidRPr="00D4679B">
        <w:t>enable closer and stronger collaboration on FinTech between governments, financial regulators and the industry</w:t>
      </w:r>
      <w:r w:rsidR="00631743" w:rsidRPr="00D4679B">
        <w:t>;</w:t>
      </w:r>
      <w:r w:rsidRPr="00D4679B">
        <w:t xml:space="preserve"> and </w:t>
      </w:r>
    </w:p>
    <w:p w14:paraId="7FD70CA3" w14:textId="77777777" w:rsidR="00C9550C" w:rsidRPr="00D4679B" w:rsidRDefault="00C9550C" w:rsidP="004A2FC0">
      <w:pPr>
        <w:pStyle w:val="ListParagraph"/>
        <w:numPr>
          <w:ilvl w:val="0"/>
          <w:numId w:val="12"/>
        </w:numPr>
        <w:spacing w:after="0" w:line="276" w:lineRule="auto"/>
      </w:pPr>
      <w:r w:rsidRPr="00D4679B">
        <w:t>encourage</w:t>
      </w:r>
      <w:r w:rsidRPr="00D4679B">
        <w:rPr>
          <w:lang w:eastAsia="zh-TW"/>
        </w:rPr>
        <w:t xml:space="preserve"> </w:t>
      </w:r>
      <w:r w:rsidRPr="00D4679B">
        <w:t xml:space="preserve">FinTech firms </w:t>
      </w:r>
      <w:r w:rsidRPr="00D4679B">
        <w:rPr>
          <w:lang w:eastAsia="zh-TW"/>
        </w:rPr>
        <w:t>to use the facilities and assistance available in the other jurisdiction to explore new business opportunities and reduce barriers to entry</w:t>
      </w:r>
      <w:r w:rsidRPr="00D4679B">
        <w:t>.</w:t>
      </w:r>
    </w:p>
    <w:p w14:paraId="780CC405" w14:textId="77777777" w:rsidR="00D4679B" w:rsidRPr="00D4679B" w:rsidRDefault="00D4679B" w:rsidP="004A2FC0">
      <w:pPr>
        <w:spacing w:after="0" w:line="276" w:lineRule="auto"/>
        <w:rPr>
          <w:lang w:eastAsia="zh-TW"/>
        </w:rPr>
      </w:pPr>
    </w:p>
    <w:p w14:paraId="1CC8E8EF" w14:textId="77777777" w:rsidR="003C2935" w:rsidRPr="00D4679B" w:rsidRDefault="00382032" w:rsidP="004A2FC0">
      <w:pPr>
        <w:spacing w:after="0" w:line="276" w:lineRule="auto"/>
        <w:rPr>
          <w:lang w:eastAsia="zh-TW"/>
        </w:rPr>
      </w:pPr>
      <w:r>
        <w:rPr>
          <w:lang w:eastAsia="zh-TW"/>
        </w:rPr>
        <w:t xml:space="preserve">1.4 </w:t>
      </w:r>
      <w:r w:rsidR="00162BDC" w:rsidRPr="00D4679B">
        <w:rPr>
          <w:lang w:eastAsia="zh-TW"/>
        </w:rPr>
        <w:t>This FinTech Bridge sets out the framework for the ongoing cooperation between the UK and Australia on FinTech issues, covering four inter</w:t>
      </w:r>
      <w:r w:rsidR="00162BDC" w:rsidRPr="00D4679B">
        <w:rPr>
          <w:lang w:eastAsia="zh-TW"/>
        </w:rPr>
        <w:noBreakHyphen/>
        <w:t xml:space="preserve">related </w:t>
      </w:r>
      <w:r w:rsidR="00631743" w:rsidRPr="00D4679B">
        <w:rPr>
          <w:lang w:eastAsia="zh-TW"/>
        </w:rPr>
        <w:t>P</w:t>
      </w:r>
      <w:r w:rsidR="00162BDC" w:rsidRPr="00D4679B">
        <w:rPr>
          <w:lang w:eastAsia="zh-TW"/>
        </w:rPr>
        <w:t>illars:</w:t>
      </w:r>
    </w:p>
    <w:p w14:paraId="629CC8B4" w14:textId="77777777" w:rsidR="003C2935" w:rsidRPr="00D4679B" w:rsidRDefault="003C2935" w:rsidP="004A2FC0">
      <w:pPr>
        <w:spacing w:after="0" w:line="276" w:lineRule="auto"/>
        <w:ind w:firstLine="720"/>
        <w:rPr>
          <w:lang w:eastAsia="zh-TW"/>
        </w:rPr>
      </w:pPr>
      <w:r w:rsidRPr="00D4679B">
        <w:rPr>
          <w:lang w:eastAsia="zh-TW"/>
        </w:rPr>
        <w:t>1.</w:t>
      </w:r>
      <w:r w:rsidRPr="00D4679B">
        <w:rPr>
          <w:lang w:eastAsia="zh-TW"/>
        </w:rPr>
        <w:tab/>
      </w:r>
      <w:r w:rsidR="00F12EC9">
        <w:rPr>
          <w:lang w:eastAsia="zh-TW"/>
        </w:rPr>
        <w:t>G</w:t>
      </w:r>
      <w:r w:rsidR="00C9550C" w:rsidRPr="00D4679B">
        <w:rPr>
          <w:lang w:eastAsia="zh-TW"/>
        </w:rPr>
        <w:t>overnment</w:t>
      </w:r>
      <w:r w:rsidR="00D4679B">
        <w:rPr>
          <w:lang w:eastAsia="zh-TW"/>
        </w:rPr>
        <w:t>-</w:t>
      </w:r>
      <w:r w:rsidR="00C9550C" w:rsidRPr="00D4679B">
        <w:rPr>
          <w:lang w:eastAsia="zh-TW"/>
        </w:rPr>
        <w:t>to</w:t>
      </w:r>
      <w:r w:rsidR="002843A4" w:rsidRPr="00D4679B">
        <w:rPr>
          <w:lang w:eastAsia="zh-TW"/>
        </w:rPr>
        <w:t>-</w:t>
      </w:r>
      <w:r w:rsidR="00C9550C" w:rsidRPr="00D4679B">
        <w:rPr>
          <w:lang w:eastAsia="zh-TW"/>
        </w:rPr>
        <w:t>government</w:t>
      </w:r>
    </w:p>
    <w:p w14:paraId="33CC7DDA" w14:textId="77777777" w:rsidR="003C2935" w:rsidRPr="00D4679B" w:rsidRDefault="003C2935" w:rsidP="004A2FC0">
      <w:pPr>
        <w:spacing w:after="0" w:line="276" w:lineRule="auto"/>
        <w:ind w:firstLine="720"/>
        <w:rPr>
          <w:lang w:eastAsia="zh-TW"/>
        </w:rPr>
      </w:pPr>
      <w:r w:rsidRPr="00D4679B">
        <w:rPr>
          <w:lang w:eastAsia="zh-TW"/>
        </w:rPr>
        <w:t>2.</w:t>
      </w:r>
      <w:r w:rsidRPr="00D4679B">
        <w:rPr>
          <w:lang w:eastAsia="zh-TW"/>
        </w:rPr>
        <w:tab/>
      </w:r>
      <w:r w:rsidR="00F12EC9">
        <w:rPr>
          <w:lang w:eastAsia="zh-TW"/>
        </w:rPr>
        <w:t>R</w:t>
      </w:r>
      <w:r w:rsidR="00C9550C" w:rsidRPr="00D4679B">
        <w:rPr>
          <w:lang w:eastAsia="zh-TW"/>
        </w:rPr>
        <w:t>egulator</w:t>
      </w:r>
      <w:r w:rsidR="002843A4" w:rsidRPr="00D4679B">
        <w:rPr>
          <w:lang w:eastAsia="zh-TW"/>
        </w:rPr>
        <w:t>-</w:t>
      </w:r>
      <w:r w:rsidR="00C9550C" w:rsidRPr="00D4679B">
        <w:rPr>
          <w:lang w:eastAsia="zh-TW"/>
        </w:rPr>
        <w:t>to</w:t>
      </w:r>
      <w:r w:rsidR="002843A4" w:rsidRPr="00D4679B">
        <w:rPr>
          <w:lang w:eastAsia="zh-TW"/>
        </w:rPr>
        <w:t>-</w:t>
      </w:r>
      <w:r w:rsidR="00C9550C" w:rsidRPr="00D4679B">
        <w:rPr>
          <w:lang w:eastAsia="zh-TW"/>
        </w:rPr>
        <w:t>regulator</w:t>
      </w:r>
    </w:p>
    <w:p w14:paraId="4704F394" w14:textId="77777777" w:rsidR="003C2935" w:rsidRPr="00D4679B" w:rsidRDefault="003C2935" w:rsidP="004A2FC0">
      <w:pPr>
        <w:spacing w:after="0" w:line="276" w:lineRule="auto"/>
        <w:ind w:firstLine="720"/>
        <w:rPr>
          <w:lang w:eastAsia="zh-TW"/>
        </w:rPr>
      </w:pPr>
      <w:r w:rsidRPr="00D4679B">
        <w:rPr>
          <w:lang w:eastAsia="zh-TW"/>
        </w:rPr>
        <w:t>3.</w:t>
      </w:r>
      <w:r w:rsidRPr="00D4679B">
        <w:rPr>
          <w:lang w:eastAsia="zh-TW"/>
        </w:rPr>
        <w:tab/>
      </w:r>
      <w:r w:rsidR="00F12EC9">
        <w:rPr>
          <w:lang w:eastAsia="zh-TW"/>
        </w:rPr>
        <w:t>T</w:t>
      </w:r>
      <w:r w:rsidR="00C9550C" w:rsidRPr="00D4679B">
        <w:rPr>
          <w:lang w:eastAsia="zh-TW"/>
        </w:rPr>
        <w:t>rade</w:t>
      </w:r>
      <w:r w:rsidR="00D4679B">
        <w:rPr>
          <w:lang w:eastAsia="zh-TW"/>
        </w:rPr>
        <w:t xml:space="preserve"> </w:t>
      </w:r>
      <w:r w:rsidR="00C9550C" w:rsidRPr="00D4679B">
        <w:rPr>
          <w:lang w:eastAsia="zh-TW"/>
        </w:rPr>
        <w:t>and</w:t>
      </w:r>
      <w:r w:rsidR="00D4679B">
        <w:rPr>
          <w:lang w:eastAsia="zh-TW"/>
        </w:rPr>
        <w:t xml:space="preserve"> </w:t>
      </w:r>
      <w:r w:rsidR="00C9550C" w:rsidRPr="00D4679B">
        <w:rPr>
          <w:lang w:eastAsia="zh-TW"/>
        </w:rPr>
        <w:t>investment</w:t>
      </w:r>
    </w:p>
    <w:p w14:paraId="24015760" w14:textId="77777777" w:rsidR="00C9550C" w:rsidRDefault="003C2935" w:rsidP="004A2FC0">
      <w:pPr>
        <w:spacing w:after="0" w:line="276" w:lineRule="auto"/>
        <w:ind w:firstLine="720"/>
        <w:rPr>
          <w:lang w:eastAsia="zh-TW"/>
        </w:rPr>
      </w:pPr>
      <w:r w:rsidRPr="00D4679B">
        <w:rPr>
          <w:lang w:eastAsia="zh-TW"/>
        </w:rPr>
        <w:t>4.</w:t>
      </w:r>
      <w:r w:rsidRPr="00D4679B">
        <w:rPr>
          <w:lang w:eastAsia="zh-TW"/>
        </w:rPr>
        <w:tab/>
      </w:r>
      <w:r w:rsidR="00F12EC9">
        <w:rPr>
          <w:lang w:eastAsia="zh-TW"/>
        </w:rPr>
        <w:t>B</w:t>
      </w:r>
      <w:r w:rsidR="00C9550C" w:rsidRPr="00D4679B">
        <w:rPr>
          <w:lang w:eastAsia="zh-TW"/>
        </w:rPr>
        <w:t>usiness</w:t>
      </w:r>
      <w:r w:rsidR="002843A4" w:rsidRPr="00D4679B">
        <w:rPr>
          <w:lang w:eastAsia="zh-TW"/>
        </w:rPr>
        <w:t>-</w:t>
      </w:r>
      <w:r w:rsidR="00C9550C" w:rsidRPr="00D4679B">
        <w:rPr>
          <w:lang w:eastAsia="zh-TW"/>
        </w:rPr>
        <w:t>to</w:t>
      </w:r>
      <w:r w:rsidR="002843A4" w:rsidRPr="00D4679B">
        <w:rPr>
          <w:lang w:eastAsia="zh-TW"/>
        </w:rPr>
        <w:t>-</w:t>
      </w:r>
      <w:r w:rsidR="00C9550C" w:rsidRPr="00D4679B">
        <w:rPr>
          <w:lang w:eastAsia="zh-TW"/>
        </w:rPr>
        <w:t>business</w:t>
      </w:r>
    </w:p>
    <w:p w14:paraId="6281B2D9" w14:textId="77777777" w:rsidR="00382032" w:rsidRDefault="00382032" w:rsidP="00B1540B">
      <w:pPr>
        <w:spacing w:after="0" w:line="276" w:lineRule="auto"/>
        <w:rPr>
          <w:lang w:eastAsia="zh-TW"/>
        </w:rPr>
      </w:pPr>
    </w:p>
    <w:p w14:paraId="24B718C8" w14:textId="77777777" w:rsidR="00382032" w:rsidRPr="00D4679B" w:rsidRDefault="00382032" w:rsidP="00B1540B">
      <w:pPr>
        <w:spacing w:after="0" w:line="276" w:lineRule="auto"/>
        <w:rPr>
          <w:lang w:eastAsia="zh-TW"/>
        </w:rPr>
      </w:pPr>
    </w:p>
    <w:p w14:paraId="1F3E845A" w14:textId="77777777" w:rsidR="00D4679B" w:rsidRPr="004A2FC0" w:rsidRDefault="00D4679B" w:rsidP="004A2FC0">
      <w:pPr>
        <w:pStyle w:val="Heading2"/>
        <w:spacing w:before="0" w:line="276" w:lineRule="auto"/>
        <w:jc w:val="center"/>
        <w:rPr>
          <w:rFonts w:asciiTheme="minorHAnsi" w:hAnsiTheme="minorHAnsi"/>
          <w:color w:val="auto"/>
          <w:sz w:val="22"/>
          <w:szCs w:val="22"/>
        </w:rPr>
      </w:pPr>
    </w:p>
    <w:p w14:paraId="3C68466A" w14:textId="77777777" w:rsidR="00631743" w:rsidRPr="004A2FC0" w:rsidRDefault="00631743" w:rsidP="004A2FC0">
      <w:pPr>
        <w:pStyle w:val="Heading2"/>
        <w:spacing w:before="0" w:line="276" w:lineRule="auto"/>
        <w:jc w:val="center"/>
        <w:rPr>
          <w:rFonts w:asciiTheme="minorHAnsi" w:hAnsiTheme="minorHAnsi"/>
          <w:color w:val="auto"/>
          <w:sz w:val="22"/>
          <w:szCs w:val="22"/>
        </w:rPr>
      </w:pPr>
      <w:r w:rsidRPr="004A2FC0">
        <w:rPr>
          <w:rFonts w:asciiTheme="minorHAnsi" w:hAnsiTheme="minorHAnsi"/>
          <w:color w:val="auto"/>
          <w:sz w:val="22"/>
          <w:szCs w:val="22"/>
        </w:rPr>
        <w:t xml:space="preserve">Section </w:t>
      </w:r>
      <w:r w:rsidR="004A2FC0">
        <w:rPr>
          <w:rFonts w:asciiTheme="minorHAnsi" w:hAnsiTheme="minorHAnsi"/>
          <w:color w:val="auto"/>
          <w:sz w:val="22"/>
          <w:szCs w:val="22"/>
        </w:rPr>
        <w:t>2</w:t>
      </w:r>
    </w:p>
    <w:p w14:paraId="0762228F" w14:textId="77777777" w:rsidR="006C684E" w:rsidRPr="004A2FC0" w:rsidRDefault="006C684E" w:rsidP="004A2FC0">
      <w:pPr>
        <w:pStyle w:val="Heading2"/>
        <w:spacing w:before="0" w:line="276" w:lineRule="auto"/>
        <w:jc w:val="center"/>
        <w:rPr>
          <w:rFonts w:asciiTheme="minorHAnsi" w:hAnsiTheme="minorHAnsi"/>
          <w:color w:val="auto"/>
          <w:sz w:val="22"/>
          <w:szCs w:val="22"/>
        </w:rPr>
      </w:pPr>
      <w:r w:rsidRPr="004A2FC0">
        <w:rPr>
          <w:rFonts w:asciiTheme="minorHAnsi" w:hAnsiTheme="minorHAnsi"/>
          <w:color w:val="auto"/>
          <w:sz w:val="22"/>
          <w:szCs w:val="22"/>
        </w:rPr>
        <w:t>Government-to-</w:t>
      </w:r>
      <w:r w:rsidR="00D4679B">
        <w:rPr>
          <w:rFonts w:asciiTheme="minorHAnsi" w:hAnsiTheme="minorHAnsi"/>
          <w:color w:val="auto"/>
          <w:sz w:val="22"/>
          <w:szCs w:val="22"/>
        </w:rPr>
        <w:t>G</w:t>
      </w:r>
      <w:r w:rsidRPr="004A2FC0">
        <w:rPr>
          <w:rFonts w:asciiTheme="minorHAnsi" w:hAnsiTheme="minorHAnsi"/>
          <w:color w:val="auto"/>
          <w:sz w:val="22"/>
          <w:szCs w:val="22"/>
        </w:rPr>
        <w:t>overnment</w:t>
      </w:r>
    </w:p>
    <w:p w14:paraId="5AD47774" w14:textId="77777777" w:rsidR="006C684E" w:rsidRPr="00D4679B" w:rsidRDefault="006C684E" w:rsidP="004A2FC0">
      <w:pPr>
        <w:pStyle w:val="ListParagraph"/>
        <w:spacing w:after="0" w:line="276" w:lineRule="auto"/>
        <w:ind w:left="1440"/>
      </w:pPr>
    </w:p>
    <w:p w14:paraId="23F77D20" w14:textId="77777777" w:rsidR="006C684E" w:rsidRPr="00D4679B" w:rsidRDefault="00382032" w:rsidP="004A2FC0">
      <w:pPr>
        <w:pStyle w:val="ListParagraph"/>
        <w:spacing w:after="0" w:line="276" w:lineRule="auto"/>
        <w:ind w:left="0"/>
      </w:pPr>
      <w:r>
        <w:t>2</w:t>
      </w:r>
      <w:r w:rsidR="00631743" w:rsidRPr="00D4679B">
        <w:t xml:space="preserve">.1 </w:t>
      </w:r>
      <w:r w:rsidR="006C684E" w:rsidRPr="00D4679B">
        <w:t xml:space="preserve">HM Treasury and the Australian Treasury </w:t>
      </w:r>
      <w:r w:rsidR="0076492D">
        <w:t xml:space="preserve">(the Government-to-Government Implementing Authorities) </w:t>
      </w:r>
      <w:r w:rsidR="006C684E" w:rsidRPr="00D4679B">
        <w:t xml:space="preserve">commit to ongoing working level </w:t>
      </w:r>
      <w:r w:rsidR="00C06F4A">
        <w:t>discussions</w:t>
      </w:r>
      <w:r w:rsidR="009D778D">
        <w:t xml:space="preserve"> held at least quarterly</w:t>
      </w:r>
      <w:r w:rsidR="006C684E" w:rsidRPr="00D4679B">
        <w:t>,</w:t>
      </w:r>
      <w:r w:rsidR="009D778D">
        <w:t xml:space="preserve"> </w:t>
      </w:r>
      <w:r w:rsidR="006C684E" w:rsidRPr="00D4679B">
        <w:t>attended by policy officials and regulators, to discuss FinTech policy development in each jurisdiction. This will include the timely notification of</w:t>
      </w:r>
      <w:r w:rsidR="002843A4" w:rsidRPr="00D4679B">
        <w:t xml:space="preserve"> </w:t>
      </w:r>
      <w:r w:rsidR="00F12EC9" w:rsidRPr="00D4679B">
        <w:t xml:space="preserve">relevant </w:t>
      </w:r>
      <w:r w:rsidR="006C684E" w:rsidRPr="00D4679B">
        <w:t>FinTech-related announcements.</w:t>
      </w:r>
    </w:p>
    <w:p w14:paraId="68880240" w14:textId="77777777" w:rsidR="006C684E" w:rsidRPr="00D4679B" w:rsidRDefault="006C684E" w:rsidP="004A2FC0">
      <w:pPr>
        <w:pStyle w:val="ListParagraph"/>
        <w:spacing w:after="0" w:line="276" w:lineRule="auto"/>
        <w:ind w:left="0"/>
      </w:pPr>
    </w:p>
    <w:p w14:paraId="44CB31FC" w14:textId="71A6ED19" w:rsidR="005637A0" w:rsidRPr="00D4679B" w:rsidRDefault="00382032" w:rsidP="004A2FC0">
      <w:pPr>
        <w:pStyle w:val="ListParagraph"/>
        <w:spacing w:after="0" w:line="276" w:lineRule="auto"/>
        <w:ind w:left="0"/>
      </w:pPr>
      <w:r>
        <w:t>2</w:t>
      </w:r>
      <w:r w:rsidR="00631743" w:rsidRPr="00D4679B">
        <w:t xml:space="preserve">.2 </w:t>
      </w:r>
      <w:r w:rsidR="006C684E" w:rsidRPr="00D4679B">
        <w:t>Exploring perceived challenges faced by UK and Australian FinTech firms looking to scale up in each other’s markets will form a key part of these discussions, using data made available to both through stakeholder discussions and statistics from departments of trade.</w:t>
      </w:r>
    </w:p>
    <w:p w14:paraId="42495721" w14:textId="77777777" w:rsidR="005637A0" w:rsidRPr="00D4679B" w:rsidRDefault="005637A0" w:rsidP="004A2FC0">
      <w:pPr>
        <w:pStyle w:val="ListParagraph"/>
        <w:spacing w:after="0" w:line="276" w:lineRule="auto"/>
        <w:ind w:left="0"/>
      </w:pPr>
    </w:p>
    <w:p w14:paraId="12A06AE0" w14:textId="77777777" w:rsidR="006C684E" w:rsidRPr="00D4679B" w:rsidRDefault="00382032" w:rsidP="004A2FC0">
      <w:pPr>
        <w:pStyle w:val="ListParagraph"/>
        <w:spacing w:after="0" w:line="276" w:lineRule="auto"/>
        <w:ind w:left="0"/>
      </w:pPr>
      <w:r>
        <w:t>2</w:t>
      </w:r>
      <w:r w:rsidR="00631743" w:rsidRPr="00D4679B">
        <w:t xml:space="preserve">.3 The </w:t>
      </w:r>
      <w:r w:rsidR="00FB5EBA">
        <w:t>Government-to-Government Implementing Authorities</w:t>
      </w:r>
      <w:r w:rsidR="00631743" w:rsidRPr="00D4679B">
        <w:t xml:space="preserve"> will explore</w:t>
      </w:r>
      <w:r w:rsidR="00457FD0">
        <w:t xml:space="preserve"> with industry bodies</w:t>
      </w:r>
      <w:r w:rsidR="00631743" w:rsidRPr="00D4679B">
        <w:t xml:space="preserve"> i</w:t>
      </w:r>
      <w:r w:rsidR="006C684E" w:rsidRPr="00D4679B">
        <w:t>nnovative avenues for incorporating the views and experiences of FinTech firms.</w:t>
      </w:r>
    </w:p>
    <w:p w14:paraId="2F30DDB5" w14:textId="77777777" w:rsidR="006C684E" w:rsidRPr="00D4679B" w:rsidRDefault="006C684E" w:rsidP="004A2FC0">
      <w:pPr>
        <w:pStyle w:val="ListParagraph"/>
        <w:spacing w:after="0" w:line="276" w:lineRule="auto"/>
        <w:ind w:left="0"/>
      </w:pPr>
    </w:p>
    <w:p w14:paraId="00B6236D" w14:textId="77777777" w:rsidR="006C684E" w:rsidRDefault="00382032" w:rsidP="004A2FC0">
      <w:pPr>
        <w:pStyle w:val="ListParagraph"/>
        <w:spacing w:after="0" w:line="276" w:lineRule="auto"/>
        <w:ind w:left="0"/>
      </w:pPr>
      <w:r>
        <w:lastRenderedPageBreak/>
        <w:t>2</w:t>
      </w:r>
      <w:r w:rsidR="00631743" w:rsidRPr="00D4679B">
        <w:t xml:space="preserve">.4 </w:t>
      </w:r>
      <w:r w:rsidR="006C684E" w:rsidRPr="00D4679B">
        <w:t xml:space="preserve">Other relevant agencies from </w:t>
      </w:r>
      <w:r w:rsidR="00F506FC">
        <w:t>each</w:t>
      </w:r>
      <w:r w:rsidR="006C684E" w:rsidRPr="00D4679B">
        <w:t xml:space="preserve"> jurisdiction may be invited to participate in </w:t>
      </w:r>
      <w:r w:rsidR="00C06F4A">
        <w:t>discussions</w:t>
      </w:r>
      <w:r w:rsidR="00F12EC9" w:rsidRPr="00D4679B">
        <w:t xml:space="preserve"> </w:t>
      </w:r>
      <w:r w:rsidR="006C684E" w:rsidRPr="00D4679B">
        <w:t>when particular value may be added, with agreement of both the UK and Australia (including</w:t>
      </w:r>
      <w:r w:rsidR="00EE1A2A" w:rsidRPr="00D4679B">
        <w:t xml:space="preserve"> financial intelligence agencies, the financial regulators, the UK</w:t>
      </w:r>
      <w:r w:rsidR="006C684E" w:rsidRPr="00D4679B">
        <w:t xml:space="preserve"> Department for International Trade</w:t>
      </w:r>
      <w:r w:rsidR="00935AEC">
        <w:t xml:space="preserve"> </w:t>
      </w:r>
      <w:r w:rsidR="00EE1A2A" w:rsidRPr="00D4679B">
        <w:t>and</w:t>
      </w:r>
      <w:r w:rsidR="006C684E" w:rsidRPr="00D4679B">
        <w:t xml:space="preserve"> </w:t>
      </w:r>
      <w:r w:rsidR="00B86F4D" w:rsidRPr="00B86F4D">
        <w:t xml:space="preserve">HM Revenue and Customs </w:t>
      </w:r>
      <w:r w:rsidR="00B86F4D">
        <w:t>(</w:t>
      </w:r>
      <w:r w:rsidR="006C684E" w:rsidRPr="00D4679B">
        <w:t>HMRC</w:t>
      </w:r>
      <w:r w:rsidR="00B86F4D">
        <w:t>)</w:t>
      </w:r>
      <w:r w:rsidR="006C684E" w:rsidRPr="00D4679B">
        <w:t xml:space="preserve">, </w:t>
      </w:r>
      <w:r w:rsidR="00BC1233">
        <w:t>the</w:t>
      </w:r>
      <w:r w:rsidR="00BC1233" w:rsidRPr="00D4679B">
        <w:t xml:space="preserve"> </w:t>
      </w:r>
      <w:r w:rsidR="00B86F4D">
        <w:t>Australian Trade and Investment Commission</w:t>
      </w:r>
      <w:r w:rsidR="00EE1A2A" w:rsidRPr="00D4679B">
        <w:t xml:space="preserve">, </w:t>
      </w:r>
      <w:r w:rsidR="00F12EC9" w:rsidRPr="00D4679B">
        <w:t>Australian Tax Office (</w:t>
      </w:r>
      <w:r w:rsidR="006C684E" w:rsidRPr="00D4679B">
        <w:t>ATO</w:t>
      </w:r>
      <w:r w:rsidR="00F12EC9">
        <w:t>)</w:t>
      </w:r>
      <w:r w:rsidR="006C684E" w:rsidRPr="00D4679B">
        <w:t xml:space="preserve">, </w:t>
      </w:r>
      <w:r w:rsidR="00EE1A2A" w:rsidRPr="00D4679B">
        <w:t xml:space="preserve">and </w:t>
      </w:r>
      <w:r w:rsidR="00631743" w:rsidRPr="00D4679B">
        <w:t xml:space="preserve">sub-national </w:t>
      </w:r>
      <w:r w:rsidR="006C684E" w:rsidRPr="00D4679B">
        <w:t xml:space="preserve">government agencies). </w:t>
      </w:r>
    </w:p>
    <w:p w14:paraId="6679C8B0" w14:textId="77777777" w:rsidR="00783633" w:rsidRPr="00D4679B" w:rsidRDefault="00783633" w:rsidP="004A2FC0">
      <w:pPr>
        <w:pStyle w:val="ListParagraph"/>
        <w:spacing w:after="0" w:line="276" w:lineRule="auto"/>
        <w:ind w:left="0"/>
      </w:pPr>
    </w:p>
    <w:p w14:paraId="6914FBB3" w14:textId="77777777" w:rsidR="006C684E" w:rsidRPr="00D4679B" w:rsidRDefault="00B75F64" w:rsidP="006C3C1E">
      <w:pPr>
        <w:pStyle w:val="ListParagraph"/>
        <w:spacing w:after="0" w:line="276" w:lineRule="auto"/>
        <w:ind w:left="0"/>
      </w:pPr>
      <w:r>
        <w:rPr>
          <w:lang w:val="en-US"/>
        </w:rPr>
        <w:t xml:space="preserve">2.5 </w:t>
      </w:r>
      <w:r w:rsidR="006C3C1E">
        <w:rPr>
          <w:lang w:val="en-US"/>
        </w:rPr>
        <w:t>Dialogue</w:t>
      </w:r>
      <w:r w:rsidR="008925C0">
        <w:rPr>
          <w:lang w:val="en-US"/>
        </w:rPr>
        <w:t xml:space="preserve"> between governments, regulators and the industry will help to identify emerging FinTech trends and policy issues – </w:t>
      </w:r>
      <w:r w:rsidR="00B85D30">
        <w:rPr>
          <w:lang w:val="en-US"/>
        </w:rPr>
        <w:t xml:space="preserve">initially considering issues </w:t>
      </w:r>
      <w:r w:rsidR="008925C0">
        <w:rPr>
          <w:lang w:val="en-US"/>
        </w:rPr>
        <w:t xml:space="preserve">such as blockchain, data security and exchange, RegTech and </w:t>
      </w:r>
      <w:r w:rsidR="00F506FC">
        <w:rPr>
          <w:lang w:val="en-US"/>
        </w:rPr>
        <w:t xml:space="preserve">WealthTech </w:t>
      </w:r>
      <w:r w:rsidR="008925C0">
        <w:rPr>
          <w:lang w:val="en-US"/>
        </w:rPr>
        <w:t xml:space="preserve">– in a timely manner, </w:t>
      </w:r>
      <w:r w:rsidR="006C3C1E">
        <w:rPr>
          <w:lang w:val="en-US"/>
        </w:rPr>
        <w:t>and enable collaboration on</w:t>
      </w:r>
      <w:r w:rsidR="008925C0">
        <w:rPr>
          <w:lang w:val="en-US"/>
        </w:rPr>
        <w:t xml:space="preserve"> policy responses. </w:t>
      </w:r>
      <w:r w:rsidR="00783633" w:rsidRPr="00D4679B">
        <w:rPr>
          <w:lang w:val="en-US"/>
        </w:rPr>
        <w:t xml:space="preserve"> </w:t>
      </w:r>
    </w:p>
    <w:p w14:paraId="6508FFAE" w14:textId="77777777" w:rsidR="00631743" w:rsidRPr="00D4679B" w:rsidRDefault="00631743" w:rsidP="004A2FC0">
      <w:pPr>
        <w:pStyle w:val="ListParagraph"/>
        <w:spacing w:after="0" w:line="276" w:lineRule="auto"/>
        <w:ind w:left="0"/>
      </w:pPr>
    </w:p>
    <w:p w14:paraId="2545A781" w14:textId="77777777" w:rsidR="006C684E" w:rsidRPr="00D4679B" w:rsidRDefault="00382032" w:rsidP="004A2FC0">
      <w:pPr>
        <w:pStyle w:val="ListParagraph"/>
        <w:spacing w:after="0" w:line="276" w:lineRule="auto"/>
        <w:ind w:left="0"/>
      </w:pPr>
      <w:r>
        <w:t>2</w:t>
      </w:r>
      <w:r w:rsidR="00631743" w:rsidRPr="00D4679B">
        <w:t>.</w:t>
      </w:r>
      <w:r w:rsidR="00B75F64">
        <w:t>6</w:t>
      </w:r>
      <w:r w:rsidR="00B75F64" w:rsidRPr="00D4679B">
        <w:t xml:space="preserve"> </w:t>
      </w:r>
      <w:r w:rsidR="00631743" w:rsidRPr="00D4679B">
        <w:t xml:space="preserve">The </w:t>
      </w:r>
      <w:r w:rsidR="00FB5EBA">
        <w:t>Government-to-Government Implementing Authorities</w:t>
      </w:r>
      <w:r w:rsidR="00C80325" w:rsidRPr="00D4679B">
        <w:t xml:space="preserve"> </w:t>
      </w:r>
      <w:r w:rsidR="006C684E" w:rsidRPr="00D4679B">
        <w:t xml:space="preserve">will prioritise senior-level dialogue on FinTech and broader financial regulatory policy issues when opportunities arise, for example, at the </w:t>
      </w:r>
      <w:r w:rsidR="00897B43">
        <w:t>International Monetary Fund</w:t>
      </w:r>
      <w:r w:rsidR="00897B43" w:rsidRPr="00D4679B">
        <w:t xml:space="preserve"> </w:t>
      </w:r>
      <w:r w:rsidR="006C684E" w:rsidRPr="00D4679B">
        <w:t xml:space="preserve">and </w:t>
      </w:r>
      <w:r w:rsidR="00F328CB">
        <w:t>G20</w:t>
      </w:r>
      <w:r w:rsidR="008C124B">
        <w:t xml:space="preserve"> forums</w:t>
      </w:r>
      <w:r w:rsidR="006C684E" w:rsidRPr="00D4679B">
        <w:t>.</w:t>
      </w:r>
    </w:p>
    <w:p w14:paraId="7C37CBEA" w14:textId="77777777" w:rsidR="006C684E" w:rsidRPr="00D4679B" w:rsidRDefault="006C684E" w:rsidP="004A2FC0">
      <w:pPr>
        <w:pStyle w:val="ListParagraph"/>
        <w:spacing w:after="0" w:line="276" w:lineRule="auto"/>
        <w:ind w:left="0"/>
      </w:pPr>
    </w:p>
    <w:p w14:paraId="0396B7DD" w14:textId="77777777" w:rsidR="006C684E" w:rsidRPr="00D4679B" w:rsidRDefault="00382032" w:rsidP="004A2FC0">
      <w:pPr>
        <w:pStyle w:val="ListParagraph"/>
        <w:spacing w:after="0" w:line="276" w:lineRule="auto"/>
        <w:ind w:left="0"/>
      </w:pPr>
      <w:r>
        <w:t>2</w:t>
      </w:r>
      <w:r w:rsidR="00631743" w:rsidRPr="00D4679B">
        <w:t>.</w:t>
      </w:r>
      <w:r w:rsidR="00B75F64">
        <w:t>7</w:t>
      </w:r>
      <w:r w:rsidR="00B75F64" w:rsidRPr="00D4679B">
        <w:t xml:space="preserve"> </w:t>
      </w:r>
      <w:r w:rsidR="00FB5EBA">
        <w:t>The Government-to-Government Implementing Authorities</w:t>
      </w:r>
      <w:r w:rsidR="006C684E" w:rsidRPr="00D4679B">
        <w:t xml:space="preserve"> will investigate options for developing complementarity between </w:t>
      </w:r>
      <w:r w:rsidR="00F506FC" w:rsidRPr="00D4679B">
        <w:t xml:space="preserve">respective </w:t>
      </w:r>
      <w:r w:rsidR="00457FD0">
        <w:t>UK and Australian</w:t>
      </w:r>
      <w:r w:rsidR="00457FD0" w:rsidRPr="00D4679B">
        <w:t xml:space="preserve"> </w:t>
      </w:r>
      <w:r w:rsidR="006C684E" w:rsidRPr="00D4679B">
        <w:t>Open Banking regimes to provide opportunities for mutually beneficial trade</w:t>
      </w:r>
      <w:r w:rsidR="00514C48" w:rsidRPr="00D4679B">
        <w:t>.</w:t>
      </w:r>
      <w:r w:rsidR="006C684E" w:rsidRPr="00D4679B">
        <w:t xml:space="preserve"> </w:t>
      </w:r>
    </w:p>
    <w:p w14:paraId="48184378" w14:textId="77777777" w:rsidR="006C684E" w:rsidRPr="00D4679B" w:rsidRDefault="006C684E" w:rsidP="004A2FC0">
      <w:pPr>
        <w:pStyle w:val="ListParagraph"/>
        <w:spacing w:after="0" w:line="276" w:lineRule="auto"/>
        <w:ind w:left="0"/>
      </w:pPr>
    </w:p>
    <w:p w14:paraId="65E1368C" w14:textId="77777777" w:rsidR="006C684E" w:rsidRPr="00D4679B" w:rsidRDefault="00382032" w:rsidP="004A2FC0">
      <w:pPr>
        <w:pStyle w:val="ListParagraph"/>
        <w:spacing w:after="0" w:line="276" w:lineRule="auto"/>
        <w:ind w:left="0"/>
      </w:pPr>
      <w:r>
        <w:t>2</w:t>
      </w:r>
      <w:r w:rsidR="00631743" w:rsidRPr="00D4679B">
        <w:t>.</w:t>
      </w:r>
      <w:r w:rsidR="00B75F64">
        <w:t>8</w:t>
      </w:r>
      <w:r w:rsidR="00B75F64" w:rsidRPr="00D4679B">
        <w:t xml:space="preserve"> </w:t>
      </w:r>
      <w:r w:rsidR="006C684E" w:rsidRPr="00D4679B">
        <w:t xml:space="preserve">The </w:t>
      </w:r>
      <w:r w:rsidR="00FB5EBA">
        <w:t>Government-to-Government Implementing Authorities</w:t>
      </w:r>
      <w:r w:rsidR="00FB5EBA" w:rsidRPr="00D4679B" w:rsidDel="00FB5EBA">
        <w:t xml:space="preserve"> </w:t>
      </w:r>
      <w:r w:rsidR="006C684E" w:rsidRPr="00D4679B">
        <w:t xml:space="preserve">will continue to work together to develop a set of International Standards for Blockchain applications including through the </w:t>
      </w:r>
      <w:r w:rsidR="00B75F64" w:rsidRPr="00B75F64">
        <w:t>International Organization for Standardization</w:t>
      </w:r>
      <w:r w:rsidR="00B75F64">
        <w:t xml:space="preserve"> (</w:t>
      </w:r>
      <w:r w:rsidR="006C684E" w:rsidRPr="00D4679B">
        <w:t>ISO</w:t>
      </w:r>
      <w:r w:rsidR="00B75F64">
        <w:t>)</w:t>
      </w:r>
      <w:r w:rsidR="006C684E" w:rsidRPr="00D4679B">
        <w:t xml:space="preserve"> technical committee chaired by Australia.</w:t>
      </w:r>
      <w:r w:rsidR="00E91E96" w:rsidRPr="00D4679B">
        <w:t xml:space="preserve"> The </w:t>
      </w:r>
      <w:r w:rsidR="00457FD0">
        <w:t>UK and Australia</w:t>
      </w:r>
      <w:r w:rsidR="00E91E96" w:rsidRPr="00D4679B">
        <w:t xml:space="preserve"> </w:t>
      </w:r>
      <w:r w:rsidR="00F12EC9" w:rsidRPr="00D4679B">
        <w:t>will work together to identify and share best practice in developing applications for blockchain within government, and in managing the policy and regulatory issues presented as this technology becomes more widely adopted in the public and private sectors.</w:t>
      </w:r>
    </w:p>
    <w:p w14:paraId="0BF67E8A" w14:textId="77777777" w:rsidR="00F94DDF" w:rsidRPr="00D4679B" w:rsidRDefault="00F94DDF" w:rsidP="004A2FC0">
      <w:pPr>
        <w:pStyle w:val="ListParagraph"/>
        <w:spacing w:after="0" w:line="276" w:lineRule="auto"/>
        <w:ind w:left="1440"/>
      </w:pPr>
    </w:p>
    <w:p w14:paraId="0A613A45" w14:textId="77777777" w:rsidR="00631743" w:rsidRPr="00762CDF" w:rsidRDefault="00631743" w:rsidP="00762CDF">
      <w:pPr>
        <w:pStyle w:val="Heading2"/>
        <w:spacing w:before="0" w:line="276" w:lineRule="auto"/>
        <w:jc w:val="center"/>
        <w:rPr>
          <w:rFonts w:asciiTheme="minorHAnsi" w:hAnsiTheme="minorHAnsi"/>
          <w:color w:val="auto"/>
          <w:sz w:val="22"/>
          <w:szCs w:val="22"/>
        </w:rPr>
      </w:pPr>
      <w:r w:rsidRPr="00762CDF">
        <w:rPr>
          <w:rFonts w:asciiTheme="minorHAnsi" w:hAnsiTheme="minorHAnsi"/>
          <w:color w:val="auto"/>
          <w:sz w:val="22"/>
          <w:szCs w:val="22"/>
        </w:rPr>
        <w:t xml:space="preserve">Section </w:t>
      </w:r>
      <w:r w:rsidR="004A2FC0">
        <w:rPr>
          <w:rFonts w:asciiTheme="minorHAnsi" w:hAnsiTheme="minorHAnsi"/>
          <w:color w:val="auto"/>
          <w:sz w:val="22"/>
          <w:szCs w:val="22"/>
        </w:rPr>
        <w:t>3</w:t>
      </w:r>
    </w:p>
    <w:p w14:paraId="4F051D24" w14:textId="77777777" w:rsidR="006C684E" w:rsidRPr="00762CDF" w:rsidRDefault="006C684E" w:rsidP="00762CDF">
      <w:pPr>
        <w:pStyle w:val="Heading2"/>
        <w:spacing w:before="0" w:line="276" w:lineRule="auto"/>
        <w:jc w:val="center"/>
        <w:rPr>
          <w:rFonts w:asciiTheme="minorHAnsi" w:hAnsiTheme="minorHAnsi"/>
          <w:color w:val="auto"/>
          <w:sz w:val="22"/>
          <w:szCs w:val="22"/>
        </w:rPr>
      </w:pPr>
      <w:r w:rsidRPr="00762CDF">
        <w:rPr>
          <w:rFonts w:asciiTheme="minorHAnsi" w:hAnsiTheme="minorHAnsi"/>
          <w:color w:val="auto"/>
          <w:sz w:val="22"/>
          <w:szCs w:val="22"/>
        </w:rPr>
        <w:t>Regulator-to-</w:t>
      </w:r>
      <w:r w:rsidR="00D4679B">
        <w:rPr>
          <w:rFonts w:asciiTheme="minorHAnsi" w:hAnsiTheme="minorHAnsi"/>
          <w:color w:val="auto"/>
          <w:sz w:val="22"/>
          <w:szCs w:val="22"/>
        </w:rPr>
        <w:t>R</w:t>
      </w:r>
      <w:r w:rsidRPr="00762CDF">
        <w:rPr>
          <w:rFonts w:asciiTheme="minorHAnsi" w:hAnsiTheme="minorHAnsi"/>
          <w:color w:val="auto"/>
          <w:sz w:val="22"/>
          <w:szCs w:val="22"/>
        </w:rPr>
        <w:t>egulator</w:t>
      </w:r>
    </w:p>
    <w:p w14:paraId="123BD123" w14:textId="77777777" w:rsidR="006C684E" w:rsidRPr="00D4679B" w:rsidRDefault="006C684E" w:rsidP="00762CDF">
      <w:pPr>
        <w:pStyle w:val="ListParagraph"/>
        <w:spacing w:after="0" w:line="276" w:lineRule="auto"/>
        <w:ind w:left="1440"/>
      </w:pPr>
    </w:p>
    <w:p w14:paraId="1BD2E423" w14:textId="77777777" w:rsidR="006B14C3" w:rsidRPr="00D4679B" w:rsidRDefault="00382032" w:rsidP="00762CDF">
      <w:pPr>
        <w:spacing w:after="0" w:line="276" w:lineRule="auto"/>
      </w:pPr>
      <w:r>
        <w:t>3</w:t>
      </w:r>
      <w:r w:rsidR="00D4679B" w:rsidRPr="00D4679B">
        <w:t xml:space="preserve">.1 </w:t>
      </w:r>
      <w:r w:rsidR="006B14C3" w:rsidRPr="00D4679B">
        <w:t>The Financial Conduct Authority (FCA) and the Australian Securities and Investments Commission</w:t>
      </w:r>
      <w:r w:rsidR="00FB5EBA">
        <w:t xml:space="preserve"> (ASIC)</w:t>
      </w:r>
      <w:r w:rsidR="006B14C3" w:rsidRPr="00D4679B">
        <w:t xml:space="preserve"> (</w:t>
      </w:r>
      <w:r w:rsidR="00FB5EBA">
        <w:t>the Regulator-to-Regulator Implementing Authorities)</w:t>
      </w:r>
      <w:r w:rsidR="006B14C3" w:rsidRPr="00D4679B">
        <w:t xml:space="preserve"> </w:t>
      </w:r>
      <w:r w:rsidR="005B1A4A">
        <w:t>committed</w:t>
      </w:r>
      <w:r w:rsidR="00457FD0">
        <w:t xml:space="preserve"> to cooperate in a range of additional areas by signing</w:t>
      </w:r>
      <w:r w:rsidR="00457FD0" w:rsidRPr="00D4679B">
        <w:t xml:space="preserve"> </w:t>
      </w:r>
      <w:r w:rsidR="00F12EC9" w:rsidRPr="00D4679B">
        <w:t>the Enhanced Agreement</w:t>
      </w:r>
      <w:r w:rsidR="00457FD0">
        <w:t>.</w:t>
      </w:r>
      <w:r w:rsidR="006B14C3" w:rsidRPr="00D4679B">
        <w:t xml:space="preserve"> </w:t>
      </w:r>
    </w:p>
    <w:p w14:paraId="0486E3F1" w14:textId="77777777" w:rsidR="00D4679B" w:rsidRPr="00D4679B" w:rsidRDefault="00D4679B" w:rsidP="00762CDF">
      <w:pPr>
        <w:spacing w:after="0" w:line="276" w:lineRule="auto"/>
      </w:pPr>
    </w:p>
    <w:p w14:paraId="45E34421" w14:textId="142B40C4" w:rsidR="0092610A" w:rsidRPr="00D4679B" w:rsidRDefault="00382032" w:rsidP="00762CDF">
      <w:pPr>
        <w:spacing w:after="0" w:line="276" w:lineRule="auto"/>
      </w:pPr>
      <w:r>
        <w:t>3</w:t>
      </w:r>
      <w:r w:rsidR="00D4679B" w:rsidRPr="00D4679B">
        <w:t xml:space="preserve">.2 </w:t>
      </w:r>
      <w:r w:rsidR="0038215E" w:rsidRPr="00D4679B">
        <w:t xml:space="preserve">Under </w:t>
      </w:r>
      <w:r w:rsidR="00F12EC9" w:rsidRPr="00D4679B">
        <w:t xml:space="preserve">the Enhanced </w:t>
      </w:r>
      <w:r w:rsidR="0038215E" w:rsidRPr="00D4679B">
        <w:t>A</w:t>
      </w:r>
      <w:r w:rsidR="006B14C3" w:rsidRPr="00D4679B">
        <w:t xml:space="preserve">greement, the </w:t>
      </w:r>
      <w:r w:rsidR="00FB5EBA">
        <w:t>Regulator-to-Regulator Implementing Authorities</w:t>
      </w:r>
      <w:r w:rsidR="00FB5EBA" w:rsidRPr="00D4679B" w:rsidDel="00FB5EBA">
        <w:t xml:space="preserve"> </w:t>
      </w:r>
      <w:r w:rsidR="006B14C3" w:rsidRPr="00D4679B">
        <w:t xml:space="preserve">have committed to facilitating the entry of FinTech start-ups from the other jurisdiction into their respective regulatory sandboxes. In this </w:t>
      </w:r>
      <w:r w:rsidR="00DE2AC0" w:rsidRPr="00D4679B">
        <w:t>way,</w:t>
      </w:r>
      <w:r w:rsidR="006B14C3" w:rsidRPr="00D4679B">
        <w:t xml:space="preserve"> the </w:t>
      </w:r>
      <w:r w:rsidR="00FB5EBA">
        <w:t>Regulator-to-Regulator Implementing Authorities</w:t>
      </w:r>
      <w:r w:rsidR="00FB5EBA" w:rsidRPr="00D4679B" w:rsidDel="00FB5EBA">
        <w:t xml:space="preserve"> </w:t>
      </w:r>
      <w:r w:rsidR="006B14C3" w:rsidRPr="00D4679B">
        <w:t xml:space="preserve">will facilitate the testing of innovative ideas in multiple jurisdictions, which would provide increased integrity of </w:t>
      </w:r>
      <w:r w:rsidR="00F12EC9">
        <w:t>s</w:t>
      </w:r>
      <w:r w:rsidR="00F12EC9" w:rsidRPr="00D4679B">
        <w:t xml:space="preserve">andbox </w:t>
      </w:r>
      <w:r w:rsidR="006B14C3" w:rsidRPr="00D4679B">
        <w:t xml:space="preserve">test results and improve the efficiency of testing in multiple markets. This builds on the Co-operation Agreement between the </w:t>
      </w:r>
      <w:r w:rsidR="00FB5EBA">
        <w:t>Regulator-to-Regulator Implementing Authorities</w:t>
      </w:r>
      <w:r w:rsidR="006B14C3" w:rsidRPr="00D4679B">
        <w:t xml:space="preserve">, which centred on enabling a referral mechanism for innovative firms seeking to enter the other’s market, together with a commitment to </w:t>
      </w:r>
      <w:r w:rsidR="00E171B2">
        <w:t xml:space="preserve">at least quarterly </w:t>
      </w:r>
      <w:r w:rsidR="00965884">
        <w:t xml:space="preserve">dialogue </w:t>
      </w:r>
      <w:r w:rsidR="00E171B2">
        <w:t xml:space="preserve">to </w:t>
      </w:r>
      <w:r w:rsidR="006B14C3" w:rsidRPr="00D4679B">
        <w:t>share information on emerging market trends and their impact on regulation.</w:t>
      </w:r>
    </w:p>
    <w:p w14:paraId="3AB98CF1" w14:textId="77777777" w:rsidR="00D4679B" w:rsidRPr="00D4679B" w:rsidRDefault="00D4679B" w:rsidP="00762CDF">
      <w:pPr>
        <w:spacing w:after="0" w:line="276" w:lineRule="auto"/>
      </w:pPr>
    </w:p>
    <w:p w14:paraId="7B60C30D" w14:textId="77777777" w:rsidR="002B3610" w:rsidRPr="00D4679B" w:rsidRDefault="002B3610" w:rsidP="002B3610">
      <w:pPr>
        <w:spacing w:after="0" w:line="276" w:lineRule="auto"/>
      </w:pPr>
      <w:r>
        <w:t xml:space="preserve">3.3 </w:t>
      </w:r>
      <w:r w:rsidRPr="00C97AE3">
        <w:t xml:space="preserve">The Regulator-to-Regulator Implementing Authorities will also explore opportunities to enable quicker processing in terms of licensing innovative businesses already licensed/authorised in the </w:t>
      </w:r>
      <w:r w:rsidRPr="00C97AE3">
        <w:lastRenderedPageBreak/>
        <w:t>other jurisdiction, which would reduce the regulatory burden on these businesses looking to expand to the other jurisdiction.</w:t>
      </w:r>
    </w:p>
    <w:p w14:paraId="4A27D131" w14:textId="77777777" w:rsidR="002B3610" w:rsidRDefault="002B3610" w:rsidP="00762CDF">
      <w:pPr>
        <w:spacing w:after="0" w:line="276" w:lineRule="auto"/>
      </w:pPr>
    </w:p>
    <w:p w14:paraId="74912E39" w14:textId="77777777" w:rsidR="006B14C3" w:rsidRPr="00D4679B" w:rsidRDefault="002B3610" w:rsidP="00762CDF">
      <w:pPr>
        <w:spacing w:after="0" w:line="276" w:lineRule="auto"/>
      </w:pPr>
      <w:r>
        <w:t xml:space="preserve">3.4 </w:t>
      </w:r>
      <w:r w:rsidR="006B14C3" w:rsidRPr="00D4679B">
        <w:t xml:space="preserve">The </w:t>
      </w:r>
      <w:r w:rsidR="00FB5EBA">
        <w:t>Regulator-to-Regulator Implementing Authorities</w:t>
      </w:r>
      <w:r w:rsidR="00FB5EBA" w:rsidRPr="00D4679B" w:rsidDel="00FB5EBA">
        <w:t xml:space="preserve"> </w:t>
      </w:r>
      <w:r w:rsidR="006B14C3" w:rsidRPr="00D4679B">
        <w:t xml:space="preserve">will also consider developing shared approaches towards technologies that require research and testing. Outcomes would be published for the benefit of industry, regulators and consumers. </w:t>
      </w:r>
    </w:p>
    <w:p w14:paraId="00A7305B" w14:textId="77777777" w:rsidR="00D4679B" w:rsidRPr="00D4679B" w:rsidRDefault="00D4679B" w:rsidP="00762CDF">
      <w:pPr>
        <w:spacing w:after="0" w:line="276" w:lineRule="auto"/>
      </w:pPr>
    </w:p>
    <w:p w14:paraId="28F6B90D" w14:textId="77777777" w:rsidR="006C684E" w:rsidRPr="00D4679B" w:rsidRDefault="00382032" w:rsidP="00762CDF">
      <w:pPr>
        <w:pStyle w:val="ListParagraph"/>
        <w:spacing w:after="0" w:line="276" w:lineRule="auto"/>
        <w:ind w:left="0"/>
        <w:contextualSpacing w:val="0"/>
      </w:pPr>
      <w:r>
        <w:t>3</w:t>
      </w:r>
      <w:r w:rsidR="00D4679B" w:rsidRPr="00D4679B">
        <w:t>.</w:t>
      </w:r>
      <w:r w:rsidR="002B3610">
        <w:t>5</w:t>
      </w:r>
      <w:r w:rsidR="002B3610" w:rsidRPr="00D4679B">
        <w:t xml:space="preserve"> </w:t>
      </w:r>
      <w:r w:rsidR="006C684E" w:rsidRPr="00D4679B">
        <w:t xml:space="preserve">Following engagement between </w:t>
      </w:r>
      <w:r w:rsidR="00FB5EBA">
        <w:t>the Australian Transaction Reports and Analysis Centre (</w:t>
      </w:r>
      <w:r w:rsidR="006C684E" w:rsidRPr="00D4679B">
        <w:t>AUSTRAC</w:t>
      </w:r>
      <w:r w:rsidR="00FB5EBA">
        <w:t>)</w:t>
      </w:r>
      <w:r w:rsidR="006C684E" w:rsidRPr="00D4679B">
        <w:t xml:space="preserve"> and the Financial Crime Department at the FCA in October 2017, the </w:t>
      </w:r>
      <w:r w:rsidR="008F5C65" w:rsidRPr="00D4679B">
        <w:t xml:space="preserve">FCA and AUSTRAC </w:t>
      </w:r>
      <w:r w:rsidR="006C684E" w:rsidRPr="00D4679B">
        <w:t>will hold quarterly teleconferences to engage on matters of mutual interest includin</w:t>
      </w:r>
      <w:r w:rsidR="008C124B">
        <w:t>g Anti-Money Laundering/Counter-</w:t>
      </w:r>
      <w:r w:rsidR="006C684E" w:rsidRPr="00D4679B">
        <w:t>Terrorism Financing regulation, compliance with the Financial Action Taskforce Standards, FinTech and RegTech.</w:t>
      </w:r>
    </w:p>
    <w:p w14:paraId="1C25DEB9" w14:textId="77777777" w:rsidR="00D4679B" w:rsidRPr="00D4679B" w:rsidRDefault="00D4679B" w:rsidP="00762CDF">
      <w:pPr>
        <w:pStyle w:val="ListParagraph"/>
        <w:spacing w:after="0" w:line="276" w:lineRule="auto"/>
        <w:ind w:left="0"/>
        <w:contextualSpacing w:val="0"/>
      </w:pPr>
    </w:p>
    <w:p w14:paraId="73DE2A9F" w14:textId="77777777" w:rsidR="006C684E" w:rsidRPr="00D4679B" w:rsidRDefault="00382032" w:rsidP="00762CDF">
      <w:pPr>
        <w:pStyle w:val="ListParagraph"/>
        <w:spacing w:after="0" w:line="276" w:lineRule="auto"/>
        <w:ind w:left="0"/>
      </w:pPr>
      <w:r>
        <w:t>3</w:t>
      </w:r>
      <w:r w:rsidR="00D4679B" w:rsidRPr="00D4679B">
        <w:t>.</w:t>
      </w:r>
      <w:r w:rsidR="002B3610">
        <w:t>6</w:t>
      </w:r>
      <w:r w:rsidR="002B3610" w:rsidRPr="00D4679B">
        <w:t xml:space="preserve"> </w:t>
      </w:r>
      <w:r w:rsidR="006C684E" w:rsidRPr="00D4679B">
        <w:t>Engagement and collaboration between the regulators will a</w:t>
      </w:r>
      <w:r w:rsidR="00E171B2">
        <w:t>lso be deepened through a short</w:t>
      </w:r>
      <w:r w:rsidR="00E171B2">
        <w:noBreakHyphen/>
      </w:r>
      <w:r w:rsidR="006C684E" w:rsidRPr="00D4679B">
        <w:t xml:space="preserve">term posting of an AUSTRAC officer to the FCA in 2018. This placement is expected to enable coordinated regulatory actions on regulated entities and developing joint projects particularly </w:t>
      </w:r>
      <w:r w:rsidR="00457FD0">
        <w:t xml:space="preserve">with </w:t>
      </w:r>
      <w:r w:rsidR="006C684E" w:rsidRPr="00D4679B">
        <w:t>regard to identifying direct financial links between Australia and the UK and monitoring new payment technologies.</w:t>
      </w:r>
    </w:p>
    <w:p w14:paraId="2D15FBEE" w14:textId="77777777" w:rsidR="00FD4F36" w:rsidRPr="00D4679B" w:rsidRDefault="00FD4F36" w:rsidP="00762CDF">
      <w:pPr>
        <w:pStyle w:val="ListParagraph"/>
        <w:spacing w:after="0" w:line="276" w:lineRule="auto"/>
        <w:ind w:left="1440"/>
      </w:pPr>
    </w:p>
    <w:p w14:paraId="3F6E9362" w14:textId="77777777" w:rsidR="00631743" w:rsidRPr="00FB5EBA" w:rsidRDefault="00631743" w:rsidP="00FB5EBA">
      <w:pPr>
        <w:pStyle w:val="Heading2"/>
        <w:spacing w:before="0" w:line="276" w:lineRule="auto"/>
        <w:jc w:val="center"/>
        <w:rPr>
          <w:rFonts w:asciiTheme="minorHAnsi" w:hAnsiTheme="minorHAnsi"/>
          <w:color w:val="auto"/>
          <w:sz w:val="22"/>
          <w:szCs w:val="22"/>
        </w:rPr>
      </w:pPr>
      <w:r w:rsidRPr="00FB5EBA">
        <w:rPr>
          <w:rFonts w:asciiTheme="minorHAnsi" w:hAnsiTheme="minorHAnsi"/>
          <w:color w:val="auto"/>
          <w:sz w:val="22"/>
          <w:szCs w:val="22"/>
        </w:rPr>
        <w:t xml:space="preserve">Section </w:t>
      </w:r>
      <w:r w:rsidR="004A2FC0">
        <w:rPr>
          <w:rFonts w:asciiTheme="minorHAnsi" w:hAnsiTheme="minorHAnsi"/>
          <w:color w:val="auto"/>
          <w:sz w:val="22"/>
          <w:szCs w:val="22"/>
        </w:rPr>
        <w:t>4</w:t>
      </w:r>
    </w:p>
    <w:p w14:paraId="1018D9BE" w14:textId="77777777" w:rsidR="00D108F4" w:rsidRPr="00FB5EBA" w:rsidRDefault="009D08DF" w:rsidP="00FB5EBA">
      <w:pPr>
        <w:pStyle w:val="Heading2"/>
        <w:spacing w:before="0" w:line="276" w:lineRule="auto"/>
        <w:jc w:val="center"/>
        <w:rPr>
          <w:rFonts w:asciiTheme="minorHAnsi" w:hAnsiTheme="minorHAnsi"/>
          <w:color w:val="auto"/>
          <w:sz w:val="22"/>
          <w:szCs w:val="22"/>
        </w:rPr>
      </w:pPr>
      <w:r w:rsidRPr="00FB5EBA">
        <w:rPr>
          <w:rFonts w:asciiTheme="minorHAnsi" w:hAnsiTheme="minorHAnsi"/>
          <w:color w:val="auto"/>
          <w:sz w:val="22"/>
          <w:szCs w:val="22"/>
        </w:rPr>
        <w:t>Trade and Investment</w:t>
      </w:r>
    </w:p>
    <w:p w14:paraId="2465F7E9" w14:textId="77777777" w:rsidR="00F70819" w:rsidRPr="00D4679B" w:rsidRDefault="00F70819" w:rsidP="00FB5EBA">
      <w:pPr>
        <w:pStyle w:val="ListParagraph"/>
        <w:spacing w:after="0" w:line="276" w:lineRule="auto"/>
        <w:ind w:left="284"/>
        <w:rPr>
          <w:b/>
        </w:rPr>
      </w:pPr>
    </w:p>
    <w:p w14:paraId="76E46DB9" w14:textId="77777777" w:rsidR="000D4B8D" w:rsidRPr="00D4679B" w:rsidRDefault="00382032" w:rsidP="00FB5EBA">
      <w:pPr>
        <w:pStyle w:val="ListParagraph"/>
        <w:spacing w:after="0" w:line="276" w:lineRule="auto"/>
        <w:ind w:left="0"/>
      </w:pPr>
      <w:r>
        <w:t>4</w:t>
      </w:r>
      <w:r w:rsidR="00D4679B" w:rsidRPr="00D4679B">
        <w:t xml:space="preserve">.1 </w:t>
      </w:r>
      <w:r w:rsidR="00FC2142" w:rsidRPr="00D4679B">
        <w:t xml:space="preserve">Both Governments will work </w:t>
      </w:r>
      <w:r w:rsidR="000D4B8D" w:rsidRPr="00D4679B" w:rsidDel="00977937">
        <w:t xml:space="preserve">to </w:t>
      </w:r>
      <w:r w:rsidR="00661324" w:rsidRPr="00D4679B" w:rsidDel="00977937">
        <w:t>rais</w:t>
      </w:r>
      <w:r w:rsidR="00FC2142" w:rsidRPr="00D4679B">
        <w:t>e</w:t>
      </w:r>
      <w:r w:rsidR="00661324" w:rsidRPr="00D4679B" w:rsidDel="00977937">
        <w:t xml:space="preserve"> the profile of the </w:t>
      </w:r>
      <w:r w:rsidR="00F12EC9" w:rsidRPr="00D4679B">
        <w:t xml:space="preserve">FinTech </w:t>
      </w:r>
      <w:r w:rsidR="008402E6" w:rsidRPr="00D4679B" w:rsidDel="00977937">
        <w:t>Bridge, as well as its</w:t>
      </w:r>
      <w:r w:rsidR="00661324" w:rsidRPr="00D4679B" w:rsidDel="00977937">
        <w:t xml:space="preserve"> benefits to</w:t>
      </w:r>
      <w:r w:rsidR="00FC2142" w:rsidRPr="00D4679B">
        <w:t xml:space="preserve"> </w:t>
      </w:r>
      <w:r w:rsidR="00935AEC" w:rsidRPr="00D4679B" w:rsidDel="00977937">
        <w:t>UK FinTech</w:t>
      </w:r>
      <w:r w:rsidR="00935AEC" w:rsidRPr="00D4679B">
        <w:t xml:space="preserve"> </w:t>
      </w:r>
      <w:r w:rsidR="00935AEC">
        <w:t xml:space="preserve">and </w:t>
      </w:r>
      <w:r w:rsidR="00FC2142" w:rsidRPr="00D4679B">
        <w:t xml:space="preserve">Australian </w:t>
      </w:r>
      <w:r w:rsidR="00F94DDF" w:rsidRPr="00D4679B">
        <w:t>firms</w:t>
      </w:r>
      <w:r w:rsidR="009F7E52" w:rsidRPr="00D4679B" w:rsidDel="00977937">
        <w:t xml:space="preserve">. </w:t>
      </w:r>
    </w:p>
    <w:p w14:paraId="3452485F" w14:textId="77777777" w:rsidR="007A37D6" w:rsidRPr="00D4679B" w:rsidRDefault="007A37D6" w:rsidP="00FB5EBA">
      <w:pPr>
        <w:pStyle w:val="ListParagraph"/>
        <w:spacing w:after="0" w:line="276" w:lineRule="auto"/>
        <w:ind w:left="0"/>
      </w:pPr>
    </w:p>
    <w:p w14:paraId="53AF2938" w14:textId="77777777" w:rsidR="00F70819" w:rsidRPr="00D4679B" w:rsidRDefault="00382032" w:rsidP="007E5F21">
      <w:pPr>
        <w:spacing w:after="0" w:line="276" w:lineRule="auto"/>
      </w:pPr>
      <w:r>
        <w:t>4</w:t>
      </w:r>
      <w:r w:rsidR="00D4679B" w:rsidRPr="00D4679B">
        <w:t xml:space="preserve">.2 </w:t>
      </w:r>
      <w:r w:rsidR="00FB5EBA">
        <w:t>The</w:t>
      </w:r>
      <w:r w:rsidR="007E5F21" w:rsidRPr="007E5F21">
        <w:t xml:space="preserve"> </w:t>
      </w:r>
      <w:r w:rsidR="007E5F21" w:rsidRPr="00D4679B">
        <w:t>Department for International Trade (DIT) and</w:t>
      </w:r>
      <w:r w:rsidR="007E5F21">
        <w:t xml:space="preserve"> the Australian Trade and Investment Commission</w:t>
      </w:r>
      <w:r w:rsidR="007E5F21" w:rsidRPr="00D4679B">
        <w:t xml:space="preserve"> </w:t>
      </w:r>
      <w:r w:rsidR="007E5F21">
        <w:t>(</w:t>
      </w:r>
      <w:r w:rsidR="007E5F21" w:rsidRPr="00D4679B">
        <w:t>Austrade</w:t>
      </w:r>
      <w:r w:rsidR="007E5F21">
        <w:t xml:space="preserve">) (the Trade and Investment Implementing Authorities) </w:t>
      </w:r>
      <w:r w:rsidR="007A37D6" w:rsidRPr="00D4679B">
        <w:t xml:space="preserve">also intend </w:t>
      </w:r>
      <w:r w:rsidR="009523A9" w:rsidRPr="00D4679B">
        <w:t xml:space="preserve">to support </w:t>
      </w:r>
      <w:r w:rsidR="000E0B6F" w:rsidRPr="00D4679B">
        <w:t xml:space="preserve">the success of </w:t>
      </w:r>
      <w:r w:rsidR="007B2AA6">
        <w:t>this FinTech</w:t>
      </w:r>
      <w:r w:rsidR="000E0B6F" w:rsidRPr="00D4679B">
        <w:t xml:space="preserve"> Bridge through</w:t>
      </w:r>
      <w:r w:rsidR="004850F2" w:rsidRPr="00D4679B">
        <w:t xml:space="preserve">: </w:t>
      </w:r>
    </w:p>
    <w:p w14:paraId="01CD38D7" w14:textId="77777777" w:rsidR="00F94DDF" w:rsidRPr="00D4679B" w:rsidRDefault="00F94DDF" w:rsidP="00FB5EBA">
      <w:pPr>
        <w:pStyle w:val="ListParagraph"/>
        <w:keepNext/>
        <w:spacing w:after="0" w:line="276" w:lineRule="auto"/>
        <w:ind w:left="0"/>
      </w:pPr>
    </w:p>
    <w:p w14:paraId="390A4E5F" w14:textId="77777777" w:rsidR="000E0B6F" w:rsidRPr="00D4679B" w:rsidRDefault="007A37D6" w:rsidP="00FB5EBA">
      <w:pPr>
        <w:pStyle w:val="ListParagraph"/>
        <w:numPr>
          <w:ilvl w:val="2"/>
          <w:numId w:val="13"/>
        </w:numPr>
        <w:spacing w:after="0" w:line="276" w:lineRule="auto"/>
      </w:pPr>
      <w:r w:rsidRPr="00D4679B">
        <w:t>For DIT, t</w:t>
      </w:r>
      <w:r w:rsidR="000E0B6F" w:rsidRPr="00D4679B">
        <w:t>he a</w:t>
      </w:r>
      <w:r w:rsidR="009523A9" w:rsidRPr="00D4679B">
        <w:t xml:space="preserve">ppointment of a FinTech specialist to </w:t>
      </w:r>
      <w:r w:rsidR="000E0B6F" w:rsidRPr="00D4679B">
        <w:t>provi</w:t>
      </w:r>
      <w:r w:rsidRPr="00D4679B">
        <w:t>de</w:t>
      </w:r>
      <w:r w:rsidR="009523A9" w:rsidRPr="00D4679B">
        <w:t xml:space="preserve"> </w:t>
      </w:r>
      <w:r w:rsidR="00F12EC9" w:rsidRPr="00D4679B">
        <w:t xml:space="preserve">FinTech </w:t>
      </w:r>
      <w:r w:rsidR="009523A9" w:rsidRPr="00D4679B">
        <w:t xml:space="preserve">Bridge activity, </w:t>
      </w:r>
      <w:r w:rsidRPr="00D4679B">
        <w:t>including</w:t>
      </w:r>
      <w:r w:rsidR="009523A9" w:rsidRPr="00D4679B">
        <w:t xml:space="preserve"> bespoke strategic advice to Australian FinTech</w:t>
      </w:r>
      <w:r w:rsidR="00A4524F" w:rsidRPr="00D4679B">
        <w:t xml:space="preserve"> firms</w:t>
      </w:r>
      <w:r w:rsidR="009523A9" w:rsidRPr="00D4679B">
        <w:t xml:space="preserve"> establishing operations in the UK</w:t>
      </w:r>
      <w:r w:rsidRPr="00D4679B">
        <w:t>. F</w:t>
      </w:r>
      <w:r w:rsidR="00B308F5" w:rsidRPr="00D4679B">
        <w:t xml:space="preserve">or Austrade, providing bespoke strategic advice to UK </w:t>
      </w:r>
      <w:r w:rsidR="009014E9" w:rsidRPr="00D4679B">
        <w:t>FinTech</w:t>
      </w:r>
      <w:r w:rsidR="00F12EC9">
        <w:t xml:space="preserve"> </w:t>
      </w:r>
      <w:r w:rsidR="00F12EC9" w:rsidRPr="00D4679B">
        <w:t>firms</w:t>
      </w:r>
      <w:r w:rsidR="009014E9" w:rsidRPr="00D4679B">
        <w:t xml:space="preserve"> </w:t>
      </w:r>
      <w:r w:rsidR="00B308F5" w:rsidRPr="00D4679B">
        <w:t xml:space="preserve">establishing operations in </w:t>
      </w:r>
      <w:r w:rsidR="00E64831" w:rsidRPr="00D4679B">
        <w:t>Australia</w:t>
      </w:r>
      <w:r w:rsidR="00B308F5" w:rsidRPr="00D4679B">
        <w:t>.</w:t>
      </w:r>
    </w:p>
    <w:p w14:paraId="5B6D6A2E" w14:textId="77777777" w:rsidR="009804A4" w:rsidRPr="00D4679B" w:rsidRDefault="009804A4" w:rsidP="00FB5EBA">
      <w:pPr>
        <w:pStyle w:val="ListParagraph"/>
        <w:numPr>
          <w:ilvl w:val="2"/>
          <w:numId w:val="13"/>
        </w:numPr>
        <w:spacing w:after="0" w:line="276" w:lineRule="auto"/>
      </w:pPr>
      <w:r w:rsidRPr="00D4679B">
        <w:t xml:space="preserve">Providing a point of contact </w:t>
      </w:r>
      <w:r w:rsidR="00FB5EBA">
        <w:t>within the Trade and Investment Implementing Authorities</w:t>
      </w:r>
      <w:r w:rsidR="00B308F5" w:rsidRPr="00D4679B">
        <w:t xml:space="preserve"> </w:t>
      </w:r>
      <w:r w:rsidRPr="00D4679B">
        <w:t xml:space="preserve">for FinTech </w:t>
      </w:r>
      <w:r w:rsidR="00A4524F" w:rsidRPr="00D4679B">
        <w:t xml:space="preserve">firms </w:t>
      </w:r>
      <w:r w:rsidRPr="00D4679B">
        <w:t>in each market, to offer assistance on queries and support the identification of opportunities</w:t>
      </w:r>
      <w:r w:rsidR="00F94DDF" w:rsidRPr="00D4679B">
        <w:t>.</w:t>
      </w:r>
    </w:p>
    <w:p w14:paraId="0F8F4520" w14:textId="77777777" w:rsidR="00563C36" w:rsidRPr="00D4679B" w:rsidRDefault="00563C36" w:rsidP="00FB5EBA">
      <w:pPr>
        <w:pStyle w:val="ListParagraph"/>
        <w:numPr>
          <w:ilvl w:val="2"/>
          <w:numId w:val="13"/>
        </w:numPr>
        <w:spacing w:after="0" w:line="276" w:lineRule="auto"/>
      </w:pPr>
      <w:r w:rsidRPr="00D4679B">
        <w:t xml:space="preserve">Establishing introductions </w:t>
      </w:r>
      <w:r w:rsidR="00457FD0">
        <w:t>between the Trade and Investment Implementing Authorities’</w:t>
      </w:r>
      <w:r w:rsidRPr="00D4679B">
        <w:t xml:space="preserve"> relevant personnel working in FinTech, such as establishing links between the UK’s </w:t>
      </w:r>
      <w:r w:rsidR="00A47CFC" w:rsidRPr="00D4679B">
        <w:t xml:space="preserve">FinTech </w:t>
      </w:r>
      <w:r w:rsidRPr="00D4679B">
        <w:t>emissary to Australia’s Senior Trade and Investment Commissioner in the UK, and to Austrade’s Senior Executive responsible for Services and Technology in Australia.</w:t>
      </w:r>
    </w:p>
    <w:p w14:paraId="065B8B02" w14:textId="77777777" w:rsidR="00977937" w:rsidRPr="00D4679B" w:rsidRDefault="000E0B6F" w:rsidP="00FB5EBA">
      <w:pPr>
        <w:pStyle w:val="ListParagraph"/>
        <w:numPr>
          <w:ilvl w:val="2"/>
          <w:numId w:val="13"/>
        </w:numPr>
        <w:spacing w:after="0" w:line="276" w:lineRule="auto"/>
      </w:pPr>
      <w:r w:rsidRPr="00D4679B">
        <w:t>Facilitat</w:t>
      </w:r>
      <w:r w:rsidR="00F12EC9">
        <w:t>ing</w:t>
      </w:r>
      <w:r w:rsidRPr="00D4679B">
        <w:t xml:space="preserve"> </w:t>
      </w:r>
      <w:r w:rsidR="007933B2" w:rsidRPr="00D4679B">
        <w:t>matchmaking events, meeting</w:t>
      </w:r>
      <w:r w:rsidRPr="00D4679B">
        <w:t>s and networking opportunities f</w:t>
      </w:r>
      <w:r w:rsidR="007933B2" w:rsidRPr="00D4679B">
        <w:t>or UK and Australian companies with potential partnership prospects</w:t>
      </w:r>
      <w:r w:rsidR="007D3DD4" w:rsidRPr="00D4679B">
        <w:t>.</w:t>
      </w:r>
      <w:r w:rsidR="008402E6" w:rsidRPr="00D4679B">
        <w:t xml:space="preserve"> </w:t>
      </w:r>
    </w:p>
    <w:p w14:paraId="00F08FEA" w14:textId="77777777" w:rsidR="00F81BF2" w:rsidRDefault="00F81BF2" w:rsidP="00FB5EBA">
      <w:pPr>
        <w:pStyle w:val="Heading3"/>
        <w:spacing w:before="0" w:line="276" w:lineRule="auto"/>
        <w:rPr>
          <w:rFonts w:asciiTheme="minorHAnsi" w:hAnsiTheme="minorHAnsi"/>
          <w:color w:val="auto"/>
        </w:rPr>
      </w:pPr>
    </w:p>
    <w:p w14:paraId="27CDC2B9" w14:textId="77777777" w:rsidR="002D1ADE" w:rsidRPr="00FB5EBA" w:rsidRDefault="00723A14" w:rsidP="00FB5EBA">
      <w:pPr>
        <w:pStyle w:val="Heading3"/>
        <w:spacing w:before="0" w:line="276" w:lineRule="auto"/>
        <w:rPr>
          <w:rFonts w:asciiTheme="minorHAnsi" w:hAnsiTheme="minorHAnsi"/>
          <w:color w:val="auto"/>
        </w:rPr>
      </w:pPr>
      <w:r>
        <w:rPr>
          <w:rFonts w:asciiTheme="minorHAnsi" w:hAnsiTheme="minorHAnsi"/>
          <w:color w:val="auto"/>
        </w:rPr>
        <w:t xml:space="preserve">Support for </w:t>
      </w:r>
      <w:r w:rsidR="00033456">
        <w:rPr>
          <w:rFonts w:asciiTheme="minorHAnsi" w:hAnsiTheme="minorHAnsi"/>
          <w:color w:val="auto"/>
        </w:rPr>
        <w:t xml:space="preserve">FinTech </w:t>
      </w:r>
      <w:r>
        <w:rPr>
          <w:rFonts w:asciiTheme="minorHAnsi" w:hAnsiTheme="minorHAnsi"/>
          <w:color w:val="auto"/>
        </w:rPr>
        <w:t>firms entering Australia</w:t>
      </w:r>
    </w:p>
    <w:p w14:paraId="1BB40E53" w14:textId="77777777" w:rsidR="00D4679B" w:rsidRPr="00D4679B" w:rsidRDefault="00382032" w:rsidP="00F81BF2">
      <w:pPr>
        <w:pStyle w:val="ListParagraph"/>
        <w:spacing w:after="0" w:line="276" w:lineRule="auto"/>
        <w:ind w:left="0"/>
      </w:pPr>
      <w:r>
        <w:t>4</w:t>
      </w:r>
      <w:r w:rsidR="00D4679B" w:rsidRPr="00D4679B">
        <w:t xml:space="preserve">.3 </w:t>
      </w:r>
      <w:r w:rsidR="000C7CDC" w:rsidRPr="00D4679B">
        <w:t>DIT</w:t>
      </w:r>
      <w:r w:rsidR="000D4B8D" w:rsidRPr="00D4679B">
        <w:t xml:space="preserve"> commit</w:t>
      </w:r>
      <w:r w:rsidR="001C481C" w:rsidRPr="00D4679B">
        <w:t>s</w:t>
      </w:r>
      <w:r w:rsidR="000D4B8D" w:rsidRPr="00D4679B">
        <w:t xml:space="preserve"> to</w:t>
      </w:r>
      <w:r w:rsidR="00961045" w:rsidRPr="00D4679B">
        <w:t xml:space="preserve"> </w:t>
      </w:r>
      <w:r w:rsidR="005603BF" w:rsidRPr="00D4679B">
        <w:t xml:space="preserve">the promotion of Australian </w:t>
      </w:r>
      <w:r w:rsidR="000C7CDC" w:rsidRPr="00D4679B">
        <w:t>export</w:t>
      </w:r>
      <w:r w:rsidR="00961045" w:rsidRPr="00D4679B">
        <w:t xml:space="preserve"> opportunities</w:t>
      </w:r>
      <w:r w:rsidR="005603BF" w:rsidRPr="00D4679B">
        <w:t xml:space="preserve"> </w:t>
      </w:r>
      <w:r w:rsidR="000C7CDC" w:rsidRPr="00D4679B">
        <w:t>to</w:t>
      </w:r>
      <w:r w:rsidR="00961045" w:rsidRPr="00D4679B">
        <w:t xml:space="preserve"> UK </w:t>
      </w:r>
      <w:r w:rsidR="009014E9" w:rsidRPr="00D4679B">
        <w:t>FinTech</w:t>
      </w:r>
      <w:r w:rsidR="00F12EC9" w:rsidRPr="00F12EC9">
        <w:t xml:space="preserve"> </w:t>
      </w:r>
      <w:r w:rsidR="00F12EC9" w:rsidRPr="00D4679B">
        <w:t>firms</w:t>
      </w:r>
      <w:r w:rsidR="006D3E36">
        <w:t>.</w:t>
      </w:r>
      <w:r w:rsidR="005603BF" w:rsidRPr="00D4679B">
        <w:t xml:space="preserve"> </w:t>
      </w:r>
      <w:r w:rsidR="007E5F21" w:rsidRPr="00D4679B">
        <w:t xml:space="preserve">Austrade will provide bespoke support for UK </w:t>
      </w:r>
      <w:r w:rsidR="007B2AA6">
        <w:t xml:space="preserve">FinTech </w:t>
      </w:r>
      <w:r w:rsidR="007E5F21" w:rsidRPr="00D4679B">
        <w:t>firms using the FinTech Bridge</w:t>
      </w:r>
      <w:r w:rsidR="006D3E36">
        <w:t xml:space="preserve"> </w:t>
      </w:r>
      <w:r w:rsidR="00F81BF2">
        <w:t>to</w:t>
      </w:r>
      <w:r w:rsidR="00F81BF2" w:rsidRPr="00D4679B">
        <w:t xml:space="preserve"> support</w:t>
      </w:r>
      <w:r w:rsidR="007E5F21" w:rsidRPr="00D4679B">
        <w:t xml:space="preserve"> </w:t>
      </w:r>
      <w:r w:rsidR="006D3E36">
        <w:t xml:space="preserve">access to </w:t>
      </w:r>
      <w:r w:rsidR="007E5F21" w:rsidRPr="00D4679B">
        <w:t>opportunities in the Australian market.</w:t>
      </w:r>
    </w:p>
    <w:p w14:paraId="65964055" w14:textId="77777777" w:rsidR="00F81BF2" w:rsidRDefault="00F81BF2" w:rsidP="00FB5EBA">
      <w:pPr>
        <w:pStyle w:val="ListParagraph"/>
        <w:spacing w:after="0" w:line="276" w:lineRule="auto"/>
        <w:ind w:left="0"/>
      </w:pPr>
    </w:p>
    <w:p w14:paraId="502EEB96" w14:textId="77777777" w:rsidR="00BA5D92" w:rsidRDefault="00382032" w:rsidP="00FB5EBA">
      <w:pPr>
        <w:pStyle w:val="ListParagraph"/>
        <w:spacing w:after="0" w:line="276" w:lineRule="auto"/>
        <w:ind w:left="0"/>
      </w:pPr>
      <w:r>
        <w:t>4</w:t>
      </w:r>
      <w:r w:rsidR="00D4679B" w:rsidRPr="00D4679B">
        <w:t xml:space="preserve">.4 </w:t>
      </w:r>
      <w:r w:rsidR="005603BF" w:rsidRPr="00D4679B">
        <w:t xml:space="preserve">Additionally, </w:t>
      </w:r>
      <w:r w:rsidR="00FB5EBA">
        <w:t>the Trade and Investment Implementing Authorities</w:t>
      </w:r>
      <w:r w:rsidR="00FB5EBA" w:rsidRPr="00D4679B" w:rsidDel="00FB5EBA">
        <w:t xml:space="preserve"> </w:t>
      </w:r>
      <w:r w:rsidR="00972480" w:rsidRPr="00D4679B">
        <w:t>will actively support opportunities for UK FinTech</w:t>
      </w:r>
      <w:r w:rsidR="008604ED">
        <w:t xml:space="preserve"> </w:t>
      </w:r>
      <w:r w:rsidR="008604ED" w:rsidRPr="00D4679B">
        <w:t>firms</w:t>
      </w:r>
      <w:r w:rsidR="00972480" w:rsidRPr="00D4679B">
        <w:t xml:space="preserve"> to utilise the </w:t>
      </w:r>
      <w:r w:rsidR="000D3813" w:rsidRPr="00D4679B">
        <w:t xml:space="preserve">FinTech </w:t>
      </w:r>
      <w:r w:rsidR="00972480" w:rsidRPr="00D4679B">
        <w:t xml:space="preserve">Bridge via trade missions into market and key second-party events, </w:t>
      </w:r>
      <w:r w:rsidR="00961045" w:rsidRPr="00D4679B">
        <w:t>including Collab/Collide</w:t>
      </w:r>
      <w:r w:rsidR="0017167D" w:rsidRPr="00D4679B">
        <w:t>;</w:t>
      </w:r>
      <w:r w:rsidR="00961045" w:rsidRPr="00D4679B">
        <w:t xml:space="preserve"> </w:t>
      </w:r>
      <w:r w:rsidR="00661324" w:rsidRPr="00D4679B">
        <w:t>Lord Mayor</w:t>
      </w:r>
      <w:r w:rsidR="00A4524F" w:rsidRPr="00D4679B">
        <w:t>’s</w:t>
      </w:r>
      <w:r w:rsidR="00BA5D92" w:rsidRPr="00D4679B">
        <w:t xml:space="preserve"> </w:t>
      </w:r>
      <w:r w:rsidR="00972480" w:rsidRPr="00D4679B">
        <w:t xml:space="preserve">business </w:t>
      </w:r>
      <w:r w:rsidR="007933B2" w:rsidRPr="00D4679B">
        <w:t>delegation</w:t>
      </w:r>
      <w:r w:rsidR="00401C5E" w:rsidRPr="00D4679B">
        <w:t>s</w:t>
      </w:r>
      <w:r w:rsidR="00BA5D92" w:rsidRPr="00D4679B">
        <w:t xml:space="preserve"> to</w:t>
      </w:r>
      <w:r w:rsidR="000D4B8D" w:rsidRPr="00D4679B">
        <w:t xml:space="preserve"> Australia</w:t>
      </w:r>
      <w:r w:rsidR="00972480" w:rsidRPr="00D4679B">
        <w:t xml:space="preserve">; SIBOS 2018; </w:t>
      </w:r>
      <w:r w:rsidR="00BA5D92" w:rsidRPr="00D4679B">
        <w:t>as well as other high profile events</w:t>
      </w:r>
      <w:r w:rsidR="007933B2" w:rsidRPr="00D4679B">
        <w:t xml:space="preserve"> in the </w:t>
      </w:r>
      <w:r w:rsidR="00C17000" w:rsidRPr="00D4679B">
        <w:t xml:space="preserve">Australian </w:t>
      </w:r>
      <w:r w:rsidR="007933B2" w:rsidRPr="00D4679B">
        <w:t>FinT</w:t>
      </w:r>
      <w:r w:rsidR="00C17000" w:rsidRPr="00D4679B">
        <w:t>e</w:t>
      </w:r>
      <w:r w:rsidR="007933B2" w:rsidRPr="00D4679B">
        <w:t>ch calendar.</w:t>
      </w:r>
    </w:p>
    <w:p w14:paraId="3310AE76" w14:textId="77777777" w:rsidR="00382032" w:rsidRPr="00D4679B" w:rsidRDefault="00382032" w:rsidP="00FB5EBA">
      <w:pPr>
        <w:pStyle w:val="ListParagraph"/>
        <w:spacing w:after="0" w:line="276" w:lineRule="auto"/>
        <w:ind w:left="0"/>
      </w:pPr>
    </w:p>
    <w:p w14:paraId="2201BDF6" w14:textId="77777777" w:rsidR="00AB4C6D" w:rsidRPr="00D4679B" w:rsidRDefault="00382032" w:rsidP="00FB5EBA">
      <w:pPr>
        <w:spacing w:after="0" w:line="276" w:lineRule="auto"/>
      </w:pPr>
      <w:r>
        <w:t>4</w:t>
      </w:r>
      <w:r w:rsidR="00D4679B" w:rsidRPr="00D4679B">
        <w:t xml:space="preserve">.5 </w:t>
      </w:r>
      <w:r w:rsidR="00FB5EBA">
        <w:t>The Trade and Investment Implementing Authorities</w:t>
      </w:r>
      <w:r w:rsidR="00AB4C6D" w:rsidRPr="00D4679B">
        <w:t xml:space="preserve"> will support UK FinTech firms </w:t>
      </w:r>
      <w:r w:rsidR="001C0891" w:rsidRPr="00D4679B">
        <w:t xml:space="preserve">to </w:t>
      </w:r>
      <w:r w:rsidR="00AB4C6D" w:rsidRPr="00D4679B">
        <w:t>access:</w:t>
      </w:r>
    </w:p>
    <w:p w14:paraId="37E138B8" w14:textId="77777777" w:rsidR="00A5433D" w:rsidRPr="00D4679B" w:rsidRDefault="00C17000" w:rsidP="00FB5EBA">
      <w:pPr>
        <w:pStyle w:val="ListParagraph"/>
        <w:numPr>
          <w:ilvl w:val="2"/>
          <w:numId w:val="7"/>
        </w:numPr>
        <w:spacing w:after="0" w:line="276" w:lineRule="auto"/>
        <w:ind w:left="720"/>
        <w:contextualSpacing w:val="0"/>
      </w:pPr>
      <w:r w:rsidRPr="00D4679B">
        <w:t xml:space="preserve">Australian </w:t>
      </w:r>
      <w:r w:rsidR="008604ED">
        <w:t>f</w:t>
      </w:r>
      <w:r w:rsidR="00A5433D" w:rsidRPr="00D4679B">
        <w:t xml:space="preserve">inancial institutions and </w:t>
      </w:r>
      <w:r w:rsidR="002549D2" w:rsidRPr="00D4679B">
        <w:t>relevant i</w:t>
      </w:r>
      <w:r w:rsidR="00A5433D" w:rsidRPr="00D4679B">
        <w:t xml:space="preserve">nnovation centres </w:t>
      </w:r>
    </w:p>
    <w:p w14:paraId="5649C714" w14:textId="77777777" w:rsidR="00AB4C6D" w:rsidRPr="00D4679B" w:rsidRDefault="00C17000" w:rsidP="00FB5EBA">
      <w:pPr>
        <w:pStyle w:val="ListParagraph"/>
        <w:numPr>
          <w:ilvl w:val="2"/>
          <w:numId w:val="7"/>
        </w:numPr>
        <w:spacing w:after="0" w:line="276" w:lineRule="auto"/>
        <w:ind w:left="720"/>
        <w:contextualSpacing w:val="0"/>
      </w:pPr>
      <w:r w:rsidRPr="00D4679B">
        <w:t>Australian</w:t>
      </w:r>
      <w:r w:rsidR="00FB36D4" w:rsidRPr="00D4679B">
        <w:t xml:space="preserve"> incubators/accelerators and </w:t>
      </w:r>
      <w:r w:rsidR="002549D2" w:rsidRPr="00D4679B">
        <w:t>i</w:t>
      </w:r>
      <w:r w:rsidR="00FB36D4" w:rsidRPr="00D4679B">
        <w:t>nnovation programmes</w:t>
      </w:r>
    </w:p>
    <w:p w14:paraId="67673B1B" w14:textId="77777777" w:rsidR="00D4679B" w:rsidRPr="00D4679B" w:rsidRDefault="00AB4C6D" w:rsidP="00FB5EBA">
      <w:pPr>
        <w:pStyle w:val="ListParagraph"/>
        <w:numPr>
          <w:ilvl w:val="2"/>
          <w:numId w:val="7"/>
        </w:numPr>
        <w:spacing w:after="0" w:line="276" w:lineRule="auto"/>
        <w:ind w:left="720"/>
        <w:contextualSpacing w:val="0"/>
      </w:pPr>
      <w:r w:rsidRPr="00D4679B">
        <w:t>I</w:t>
      </w:r>
      <w:r w:rsidR="00FB36D4" w:rsidRPr="00D4679B">
        <w:t>nvestors</w:t>
      </w:r>
      <w:r w:rsidR="002549D2" w:rsidRPr="00D4679B">
        <w:t xml:space="preserve"> </w:t>
      </w:r>
    </w:p>
    <w:p w14:paraId="7E5369C6" w14:textId="77777777" w:rsidR="00D4679B" w:rsidDel="00F81BF2" w:rsidRDefault="00D4679B" w:rsidP="00FB5EBA">
      <w:pPr>
        <w:spacing w:after="0" w:line="276" w:lineRule="auto"/>
      </w:pPr>
    </w:p>
    <w:p w14:paraId="610DD181" w14:textId="77777777" w:rsidR="00F94DDF" w:rsidRPr="00D4679B" w:rsidRDefault="00382032" w:rsidP="00FB5EBA">
      <w:pPr>
        <w:spacing w:after="0" w:line="276" w:lineRule="auto"/>
        <w:rPr>
          <w:rFonts w:eastAsia="Times New Roman"/>
        </w:rPr>
      </w:pPr>
      <w:r>
        <w:t>4</w:t>
      </w:r>
      <w:r w:rsidR="00D4679B" w:rsidRPr="00D4679B">
        <w:t xml:space="preserve">.6 </w:t>
      </w:r>
      <w:r w:rsidR="00B308F5" w:rsidRPr="00D4679B">
        <w:t>DIT will run one or more bespoke FinTech Trade Missions (subject to companies’ interest) in 2018/2019</w:t>
      </w:r>
      <w:r w:rsidR="006D3E36">
        <w:t xml:space="preserve"> </w:t>
      </w:r>
      <w:r w:rsidR="0092610A" w:rsidRPr="00D4679B" w:rsidDel="00723A14">
        <w:t>t</w:t>
      </w:r>
      <w:r w:rsidR="00B308F5" w:rsidRPr="00D4679B" w:rsidDel="00723A14">
        <w:t>o promote market opportunities, support business development and encourage overseas investment</w:t>
      </w:r>
      <w:r w:rsidR="00F47FBC">
        <w:t>.</w:t>
      </w:r>
      <w:r w:rsidR="00CB22A4" w:rsidRPr="00D4679B" w:rsidDel="00723A14">
        <w:t xml:space="preserve"> </w:t>
      </w:r>
      <w:r w:rsidR="00A15DE2" w:rsidRPr="00D4679B">
        <w:rPr>
          <w:rFonts w:eastAsia="Times New Roman"/>
        </w:rPr>
        <w:t xml:space="preserve">Austrade will provide pre-departure briefing sessions for UK delegates on </w:t>
      </w:r>
      <w:r w:rsidR="008604ED">
        <w:rPr>
          <w:rFonts w:eastAsia="Times New Roman"/>
        </w:rPr>
        <w:t>FinTech</w:t>
      </w:r>
      <w:r w:rsidR="008604ED" w:rsidRPr="00D4679B">
        <w:rPr>
          <w:rFonts w:eastAsia="Times New Roman"/>
        </w:rPr>
        <w:t xml:space="preserve"> </w:t>
      </w:r>
      <w:r w:rsidR="00A15DE2" w:rsidRPr="00D4679B">
        <w:rPr>
          <w:rFonts w:eastAsia="Times New Roman"/>
        </w:rPr>
        <w:t xml:space="preserve">missions to Australia which are organised by DIT or </w:t>
      </w:r>
      <w:r w:rsidR="0092610A" w:rsidRPr="00D4679B">
        <w:rPr>
          <w:rFonts w:eastAsia="Times New Roman"/>
        </w:rPr>
        <w:t>other government bodies</w:t>
      </w:r>
      <w:r w:rsidR="00A9480D" w:rsidRPr="00D4679B">
        <w:rPr>
          <w:rFonts w:eastAsia="Times New Roman"/>
        </w:rPr>
        <w:t>.</w:t>
      </w:r>
    </w:p>
    <w:p w14:paraId="6A2B3660" w14:textId="77777777" w:rsidR="004A2FC0" w:rsidRDefault="004A2FC0" w:rsidP="00FB5EBA">
      <w:pPr>
        <w:pStyle w:val="Heading3"/>
        <w:spacing w:before="0" w:line="276" w:lineRule="auto"/>
        <w:rPr>
          <w:rFonts w:asciiTheme="minorHAnsi" w:hAnsiTheme="minorHAnsi"/>
          <w:color w:val="auto"/>
        </w:rPr>
      </w:pPr>
    </w:p>
    <w:p w14:paraId="16D1EC06" w14:textId="77777777" w:rsidR="002D1ADE" w:rsidRPr="00FB5EBA" w:rsidRDefault="00723A14" w:rsidP="00FB5EBA">
      <w:pPr>
        <w:pStyle w:val="Heading3"/>
        <w:spacing w:before="0" w:line="276" w:lineRule="auto"/>
        <w:rPr>
          <w:rFonts w:asciiTheme="minorHAnsi" w:hAnsiTheme="minorHAnsi"/>
          <w:color w:val="auto"/>
        </w:rPr>
      </w:pPr>
      <w:r>
        <w:rPr>
          <w:rFonts w:asciiTheme="minorHAnsi" w:hAnsiTheme="minorHAnsi"/>
          <w:color w:val="auto"/>
        </w:rPr>
        <w:t xml:space="preserve">Support for </w:t>
      </w:r>
      <w:r w:rsidR="00033456">
        <w:rPr>
          <w:rFonts w:asciiTheme="minorHAnsi" w:hAnsiTheme="minorHAnsi"/>
          <w:color w:val="auto"/>
        </w:rPr>
        <w:t xml:space="preserve">FinTech </w:t>
      </w:r>
      <w:r>
        <w:rPr>
          <w:rFonts w:asciiTheme="minorHAnsi" w:hAnsiTheme="minorHAnsi"/>
          <w:color w:val="auto"/>
        </w:rPr>
        <w:t>firms entering the UK</w:t>
      </w:r>
    </w:p>
    <w:p w14:paraId="0E587248" w14:textId="77777777" w:rsidR="008B6632" w:rsidRPr="001C0D86" w:rsidRDefault="0097741D" w:rsidP="00FB5EBA">
      <w:pPr>
        <w:spacing w:after="0" w:line="276" w:lineRule="auto"/>
      </w:pPr>
      <w:r>
        <w:t>4.</w:t>
      </w:r>
      <w:r w:rsidR="007157C5">
        <w:t>7</w:t>
      </w:r>
      <w:r>
        <w:t xml:space="preserve"> </w:t>
      </w:r>
      <w:r w:rsidR="00723A14" w:rsidRPr="00D4679B">
        <w:t>Austrade will seek to introduce Australian FinTech</w:t>
      </w:r>
      <w:r w:rsidR="00723A14" w:rsidRPr="00F12EC9">
        <w:t xml:space="preserve"> </w:t>
      </w:r>
      <w:r w:rsidR="00723A14" w:rsidRPr="00D4679B">
        <w:t>firms</w:t>
      </w:r>
      <w:r w:rsidR="00723A14">
        <w:t xml:space="preserve"> </w:t>
      </w:r>
      <w:r w:rsidR="00723A14" w:rsidRPr="00D4679B">
        <w:t>to the UK Fin</w:t>
      </w:r>
      <w:r w:rsidR="00723A14">
        <w:t>T</w:t>
      </w:r>
      <w:r>
        <w:t>ech network and to</w:t>
      </w:r>
      <w:r w:rsidR="00AB4C6D" w:rsidRPr="00D4679B">
        <w:t xml:space="preserve"> support Australian FinTech firms access</w:t>
      </w:r>
      <w:r w:rsidR="00F70819" w:rsidRPr="00D4679B">
        <w:t>ing</w:t>
      </w:r>
      <w:r w:rsidR="00AB4C6D" w:rsidRPr="00D4679B">
        <w:t xml:space="preserve"> opportunities in the UK market</w:t>
      </w:r>
      <w:r w:rsidR="006D3E36">
        <w:t>.</w:t>
      </w:r>
      <w:r w:rsidR="00AB4C6D" w:rsidRPr="00D4679B">
        <w:t xml:space="preserve"> </w:t>
      </w:r>
      <w:r w:rsidR="000D4B8D" w:rsidRPr="00D4679B">
        <w:t xml:space="preserve">DIT will </w:t>
      </w:r>
      <w:r w:rsidR="00AB4C6D" w:rsidRPr="00D4679B">
        <w:t xml:space="preserve">provide bespoke support for Australian firms </w:t>
      </w:r>
      <w:r w:rsidR="0017167D" w:rsidRPr="00D4679B">
        <w:t>using the</w:t>
      </w:r>
      <w:r w:rsidR="000D3813" w:rsidRPr="00D4679B">
        <w:t xml:space="preserve"> </w:t>
      </w:r>
      <w:r w:rsidR="008604ED">
        <w:t xml:space="preserve">FinTech </w:t>
      </w:r>
      <w:r w:rsidR="0017167D" w:rsidRPr="00D4679B">
        <w:t>Bri</w:t>
      </w:r>
      <w:r w:rsidR="0017167D" w:rsidRPr="001C0D86">
        <w:t>dge</w:t>
      </w:r>
      <w:r w:rsidR="00E64831" w:rsidRPr="001C0D86">
        <w:t xml:space="preserve">.  </w:t>
      </w:r>
    </w:p>
    <w:p w14:paraId="7224EE4C" w14:textId="77777777" w:rsidR="00723A14" w:rsidRPr="001C0D86" w:rsidRDefault="00723A14" w:rsidP="00FB5EBA">
      <w:pPr>
        <w:spacing w:after="0" w:line="276" w:lineRule="auto"/>
      </w:pPr>
    </w:p>
    <w:p w14:paraId="0DD6D804" w14:textId="77777777" w:rsidR="007157C5" w:rsidRPr="001C0D86" w:rsidRDefault="007157C5" w:rsidP="00FB5EBA">
      <w:pPr>
        <w:spacing w:after="0" w:line="276" w:lineRule="auto"/>
      </w:pPr>
      <w:r w:rsidRPr="001C0D86">
        <w:t>4.8 Events promoting FinTech Bridge activities and UK opportunities will be showcased across the key hubs of Australia, led in partnership by the Trade and Investment Implementing Authorities.</w:t>
      </w:r>
    </w:p>
    <w:p w14:paraId="0629D56B" w14:textId="77777777" w:rsidR="007157C5" w:rsidRPr="001C0D86" w:rsidRDefault="007157C5" w:rsidP="00FB5EBA">
      <w:pPr>
        <w:spacing w:after="0" w:line="276" w:lineRule="auto"/>
      </w:pPr>
    </w:p>
    <w:p w14:paraId="6ADB595C" w14:textId="77777777" w:rsidR="007A069F" w:rsidRDefault="00F81BF2" w:rsidP="007A069F">
      <w:pPr>
        <w:spacing w:after="0" w:line="276" w:lineRule="auto"/>
      </w:pPr>
      <w:r w:rsidRPr="001C0D86">
        <w:t>4.9</w:t>
      </w:r>
      <w:r w:rsidR="0097741D" w:rsidRPr="001C0D86">
        <w:t xml:space="preserve"> </w:t>
      </w:r>
      <w:r w:rsidR="006D3E36" w:rsidRPr="001C0D86">
        <w:t>The Trade</w:t>
      </w:r>
      <w:r w:rsidR="00723A14" w:rsidRPr="001C0D86">
        <w:t xml:space="preserve"> and </w:t>
      </w:r>
      <w:r w:rsidR="006D3E36" w:rsidRPr="001C0D86">
        <w:t>Investment Implementing Authorities</w:t>
      </w:r>
      <w:r w:rsidR="00723A14" w:rsidRPr="001C0D86">
        <w:t xml:space="preserve"> will </w:t>
      </w:r>
      <w:r w:rsidR="00EE1C3D" w:rsidRPr="001C0D86">
        <w:t xml:space="preserve">provide opportunities for Australian FinTech firms to utilise </w:t>
      </w:r>
      <w:r w:rsidR="008C124B">
        <w:t xml:space="preserve">this FinTech </w:t>
      </w:r>
      <w:r w:rsidR="00EE1C3D" w:rsidRPr="001C0D86">
        <w:t xml:space="preserve">Bridge including promotion of high profile UK FinTech events such as the Innovate Finance Global Summit, London FinTech Week and </w:t>
      </w:r>
      <w:r w:rsidR="00723A14" w:rsidRPr="001C0D86">
        <w:t>support</w:t>
      </w:r>
      <w:r w:rsidR="00EE1C3D" w:rsidRPr="001C0D86">
        <w:t>ing</w:t>
      </w:r>
      <w:r w:rsidR="00723A14" w:rsidRPr="001C0D86">
        <w:t xml:space="preserve"> </w:t>
      </w:r>
      <w:r w:rsidR="00A564A7" w:rsidRPr="001C0D86">
        <w:t>activities</w:t>
      </w:r>
      <w:r w:rsidR="00EE1C3D" w:rsidRPr="001C0D86">
        <w:t xml:space="preserve"> </w:t>
      </w:r>
      <w:r w:rsidR="00E44BC5" w:rsidRPr="001C0D86">
        <w:t xml:space="preserve">including </w:t>
      </w:r>
      <w:r w:rsidR="00723A14" w:rsidRPr="001C0D86">
        <w:rPr>
          <w:rFonts w:eastAsia="Times New Roman"/>
        </w:rPr>
        <w:t>the Australian British Chamber of Commerce</w:t>
      </w:r>
      <w:r w:rsidR="00723A14" w:rsidRPr="001C0D86">
        <w:t xml:space="preserve"> </w:t>
      </w:r>
      <w:r w:rsidR="00723A14" w:rsidRPr="001C0D86">
        <w:rPr>
          <w:rFonts w:eastAsia="Times New Roman"/>
        </w:rPr>
        <w:t>annual trade mission of Australian FinTech</w:t>
      </w:r>
      <w:r w:rsidR="00723A14" w:rsidRPr="001C0D86">
        <w:t xml:space="preserve"> firms</w:t>
      </w:r>
      <w:r w:rsidR="00723A14" w:rsidRPr="001C0D86">
        <w:rPr>
          <w:rFonts w:eastAsia="Times New Roman"/>
        </w:rPr>
        <w:t xml:space="preserve"> to the </w:t>
      </w:r>
      <w:r w:rsidR="0097741D" w:rsidRPr="001C0D86">
        <w:rPr>
          <w:rFonts w:eastAsia="Times New Roman"/>
        </w:rPr>
        <w:t>UK</w:t>
      </w:r>
      <w:r w:rsidR="00723A14" w:rsidRPr="001C0D86">
        <w:rPr>
          <w:rFonts w:eastAsia="Times New Roman"/>
        </w:rPr>
        <w:t xml:space="preserve"> </w:t>
      </w:r>
      <w:r w:rsidR="00723A14" w:rsidRPr="001C0D86">
        <w:t>to promote market opportunities, support business development and encourage overseas investment.</w:t>
      </w:r>
      <w:r w:rsidR="00033456" w:rsidRPr="001C0D86">
        <w:t xml:space="preserve"> </w:t>
      </w:r>
    </w:p>
    <w:p w14:paraId="26682E24" w14:textId="77777777" w:rsidR="007A069F" w:rsidRDefault="007A069F" w:rsidP="007A069F">
      <w:pPr>
        <w:spacing w:after="0" w:line="276" w:lineRule="auto"/>
      </w:pPr>
    </w:p>
    <w:p w14:paraId="6496F0DB" w14:textId="7BFFFBB4" w:rsidR="00723A14" w:rsidRDefault="00785B18" w:rsidP="007A069F">
      <w:pPr>
        <w:spacing w:after="0" w:line="276" w:lineRule="auto"/>
      </w:pPr>
      <w:r>
        <w:t xml:space="preserve">4.10 </w:t>
      </w:r>
      <w:r w:rsidRPr="00FB5EBA">
        <w:t xml:space="preserve">In addition, to encourage Australian FinTech firms to explore UK opportunities, DIT will support an annual FinTech competition – whereby competing Australian </w:t>
      </w:r>
      <w:r>
        <w:t>FinTech</w:t>
      </w:r>
      <w:r w:rsidRPr="008604ED">
        <w:t xml:space="preserve"> </w:t>
      </w:r>
      <w:r w:rsidRPr="00FB5EBA">
        <w:t>firms</w:t>
      </w:r>
      <w:r>
        <w:t xml:space="preserve"> </w:t>
      </w:r>
      <w:r w:rsidRPr="00FB5EBA">
        <w:t xml:space="preserve">will have the chance to win a personalised trip to the UK for the purpose of business development and international expansion. </w:t>
      </w:r>
      <w:r w:rsidRPr="00FB5EBA">
        <w:rPr>
          <w:rFonts w:eastAsia="Times New Roman"/>
        </w:rPr>
        <w:t>The successful firm would benefit from specialist mentorship, membership discounts to key FinTech institutions, firs</w:t>
      </w:r>
      <w:r>
        <w:rPr>
          <w:rFonts w:eastAsia="Times New Roman"/>
        </w:rPr>
        <w:t>t-refusal to DIT’s European FinT</w:t>
      </w:r>
      <w:r w:rsidRPr="00FB5EBA">
        <w:rPr>
          <w:rFonts w:eastAsia="Times New Roman"/>
        </w:rPr>
        <w:t>ech events, and a bespoke programme of meetings with potential investors, buyers and suppliers (to be determined by the unique requirements of the ‘championship’ winner).</w:t>
      </w:r>
    </w:p>
    <w:p w14:paraId="0DA2EC2F" w14:textId="77777777" w:rsidR="00785B18" w:rsidRDefault="00785B18" w:rsidP="00723A14">
      <w:pPr>
        <w:pStyle w:val="Heading3"/>
        <w:spacing w:before="0" w:line="276" w:lineRule="auto"/>
        <w:rPr>
          <w:rFonts w:asciiTheme="minorHAnsi" w:hAnsiTheme="minorHAnsi"/>
          <w:color w:val="auto"/>
        </w:rPr>
      </w:pPr>
    </w:p>
    <w:p w14:paraId="3E4B8CC2" w14:textId="77777777" w:rsidR="00723A14" w:rsidRDefault="007C2CD2" w:rsidP="00723A14">
      <w:pPr>
        <w:pStyle w:val="Heading3"/>
        <w:spacing w:before="0" w:line="276" w:lineRule="auto"/>
        <w:rPr>
          <w:rFonts w:asciiTheme="minorHAnsi" w:hAnsiTheme="minorHAnsi"/>
          <w:b w:val="0"/>
          <w:color w:val="auto"/>
        </w:rPr>
      </w:pPr>
      <w:r>
        <w:rPr>
          <w:rFonts w:asciiTheme="minorHAnsi" w:hAnsiTheme="minorHAnsi"/>
          <w:color w:val="auto"/>
        </w:rPr>
        <w:t>Support for F</w:t>
      </w:r>
      <w:r w:rsidR="00033456">
        <w:rPr>
          <w:rFonts w:asciiTheme="minorHAnsi" w:hAnsiTheme="minorHAnsi"/>
          <w:color w:val="auto"/>
        </w:rPr>
        <w:t>inTech f</w:t>
      </w:r>
      <w:r>
        <w:rPr>
          <w:rFonts w:asciiTheme="minorHAnsi" w:hAnsiTheme="minorHAnsi"/>
          <w:color w:val="auto"/>
        </w:rPr>
        <w:t>irms entering either market</w:t>
      </w:r>
    </w:p>
    <w:p w14:paraId="7363C577" w14:textId="77777777" w:rsidR="004A7D54" w:rsidRPr="00D4679B" w:rsidRDefault="0097741D" w:rsidP="00FB5EBA">
      <w:pPr>
        <w:spacing w:after="0" w:line="276" w:lineRule="auto"/>
      </w:pPr>
      <w:r>
        <w:t>4.1</w:t>
      </w:r>
      <w:r w:rsidR="00785B18">
        <w:t>1</w:t>
      </w:r>
      <w:r>
        <w:t xml:space="preserve"> </w:t>
      </w:r>
      <w:r w:rsidR="00E64831" w:rsidRPr="00D4679B">
        <w:t>Assistance will be provided</w:t>
      </w:r>
      <w:r w:rsidR="00723A14">
        <w:t xml:space="preserve"> by the Trade and Investment Implementing Authorities</w:t>
      </w:r>
      <w:r w:rsidR="00723A14" w:rsidRPr="00D4679B">
        <w:t xml:space="preserve"> </w:t>
      </w:r>
      <w:r w:rsidR="007C2CD2">
        <w:t>for FinTech firms</w:t>
      </w:r>
      <w:r w:rsidR="007C2CD2" w:rsidRPr="00D4679B">
        <w:t xml:space="preserve"> </w:t>
      </w:r>
      <w:r w:rsidR="007C2CD2">
        <w:t xml:space="preserve">to </w:t>
      </w:r>
      <w:r w:rsidR="0017167D" w:rsidRPr="00D4679B">
        <w:t>set</w:t>
      </w:r>
      <w:r w:rsidR="004A7D54" w:rsidRPr="00D4679B">
        <w:t xml:space="preserve"> up or </w:t>
      </w:r>
      <w:r w:rsidR="00AB4C6D" w:rsidRPr="00D4679B">
        <w:t xml:space="preserve">expand </w:t>
      </w:r>
      <w:r w:rsidR="004A7D54" w:rsidRPr="00D4679B">
        <w:t>by:</w:t>
      </w:r>
    </w:p>
    <w:p w14:paraId="559B6203" w14:textId="77777777" w:rsidR="004A7D54" w:rsidRPr="00D4679B" w:rsidRDefault="004A7D54" w:rsidP="00FB5EBA">
      <w:pPr>
        <w:pStyle w:val="ListParagraph"/>
        <w:numPr>
          <w:ilvl w:val="2"/>
          <w:numId w:val="7"/>
        </w:numPr>
        <w:spacing w:after="0" w:line="276" w:lineRule="auto"/>
        <w:ind w:left="720"/>
        <w:contextualSpacing w:val="0"/>
      </w:pPr>
      <w:r w:rsidRPr="00D4679B">
        <w:t xml:space="preserve">Providing a </w:t>
      </w:r>
      <w:r w:rsidR="0017167D" w:rsidRPr="00D4679B">
        <w:t>‘</w:t>
      </w:r>
      <w:r w:rsidRPr="00D4679B">
        <w:t>one stop shop service</w:t>
      </w:r>
      <w:r w:rsidR="0017167D" w:rsidRPr="00D4679B">
        <w:t>’</w:t>
      </w:r>
      <w:r w:rsidRPr="00D4679B">
        <w:t xml:space="preserve"> to enable firms to access legal, regulatory and practical advice about setting up </w:t>
      </w:r>
      <w:r w:rsidR="00CF217A" w:rsidRPr="00D4679B">
        <w:t>between the two markets</w:t>
      </w:r>
      <w:r w:rsidRPr="00D4679B">
        <w:t>;</w:t>
      </w:r>
    </w:p>
    <w:p w14:paraId="450BE9A0" w14:textId="77777777" w:rsidR="004A7D54" w:rsidRPr="00D4679B" w:rsidRDefault="004A7D54" w:rsidP="00FB5EBA">
      <w:pPr>
        <w:pStyle w:val="ListParagraph"/>
        <w:numPr>
          <w:ilvl w:val="2"/>
          <w:numId w:val="7"/>
        </w:numPr>
        <w:spacing w:after="0" w:line="276" w:lineRule="auto"/>
        <w:ind w:left="720"/>
        <w:contextualSpacing w:val="0"/>
      </w:pPr>
      <w:r w:rsidRPr="00D4679B">
        <w:t>Providing introductio</w:t>
      </w:r>
      <w:r w:rsidR="00972480" w:rsidRPr="00D4679B">
        <w:t xml:space="preserve">ns and networking opportunities </w:t>
      </w:r>
      <w:r w:rsidRPr="00D4679B">
        <w:t>with</w:t>
      </w:r>
      <w:r w:rsidR="00CF217A" w:rsidRPr="00D4679B">
        <w:t xml:space="preserve">in the UK and Australian </w:t>
      </w:r>
      <w:r w:rsidR="008604ED" w:rsidRPr="00D4679B">
        <w:t xml:space="preserve">FinTech </w:t>
      </w:r>
      <w:r w:rsidR="00CF217A" w:rsidRPr="00D4679B">
        <w:rPr>
          <w:rFonts w:eastAsia="Times New Roman"/>
        </w:rPr>
        <w:t>entrepreneurship ecosystems, including advice and assistance on placements to</w:t>
      </w:r>
      <w:r w:rsidR="00CF217A" w:rsidRPr="00D4679B">
        <w:t xml:space="preserve"> established</w:t>
      </w:r>
      <w:r w:rsidR="00972480" w:rsidRPr="00D4679B">
        <w:t xml:space="preserve"> </w:t>
      </w:r>
      <w:r w:rsidRPr="00D4679B">
        <w:t>incubators</w:t>
      </w:r>
      <w:r w:rsidR="00CF217A" w:rsidRPr="00D4679B">
        <w:t xml:space="preserve">, </w:t>
      </w:r>
      <w:r w:rsidRPr="00D4679B">
        <w:t xml:space="preserve">accelerators and </w:t>
      </w:r>
      <w:r w:rsidR="00CF217A" w:rsidRPr="00D4679B">
        <w:t xml:space="preserve">innovation </w:t>
      </w:r>
      <w:r w:rsidRPr="00D4679B">
        <w:t>programmes</w:t>
      </w:r>
      <w:r w:rsidR="00E64831" w:rsidRPr="00D4679B">
        <w:t>;</w:t>
      </w:r>
    </w:p>
    <w:p w14:paraId="750E8579" w14:textId="77777777" w:rsidR="004A7D54" w:rsidRPr="00D4679B" w:rsidRDefault="004A7D54" w:rsidP="00FB5EBA">
      <w:pPr>
        <w:pStyle w:val="ListParagraph"/>
        <w:numPr>
          <w:ilvl w:val="2"/>
          <w:numId w:val="7"/>
        </w:numPr>
        <w:spacing w:after="0" w:line="276" w:lineRule="auto"/>
        <w:ind w:left="720"/>
        <w:contextualSpacing w:val="0"/>
      </w:pPr>
      <w:r w:rsidRPr="00D4679B">
        <w:t xml:space="preserve">Introductions to the </w:t>
      </w:r>
      <w:r w:rsidR="000D3813" w:rsidRPr="00D4679B">
        <w:t>i</w:t>
      </w:r>
      <w:r w:rsidRPr="00D4679B">
        <w:t xml:space="preserve">nnovation teams at banks and </w:t>
      </w:r>
      <w:r w:rsidR="000D3813" w:rsidRPr="00D4679B">
        <w:t>f</w:t>
      </w:r>
      <w:r w:rsidRPr="00D4679B">
        <w:t xml:space="preserve">inancial </w:t>
      </w:r>
      <w:r w:rsidR="000D3813" w:rsidRPr="00D4679B">
        <w:t>i</w:t>
      </w:r>
      <w:r w:rsidRPr="00D4679B">
        <w:t>nstitutions looking for FinTech firms to partner with</w:t>
      </w:r>
      <w:r w:rsidR="00E64831" w:rsidRPr="00D4679B">
        <w:t>;</w:t>
      </w:r>
    </w:p>
    <w:p w14:paraId="492377CE" w14:textId="77777777" w:rsidR="00972480" w:rsidRPr="00D4679B" w:rsidRDefault="00972480" w:rsidP="00FB5EBA">
      <w:pPr>
        <w:pStyle w:val="ListParagraph"/>
        <w:numPr>
          <w:ilvl w:val="2"/>
          <w:numId w:val="7"/>
        </w:numPr>
        <w:spacing w:after="0" w:line="276" w:lineRule="auto"/>
        <w:ind w:left="720"/>
        <w:contextualSpacing w:val="0"/>
      </w:pPr>
      <w:r w:rsidRPr="00D4679B">
        <w:t>Introductions to investors</w:t>
      </w:r>
      <w:r w:rsidR="004B2B2B" w:rsidRPr="00D4679B">
        <w:t xml:space="preserve"> </w:t>
      </w:r>
      <w:r w:rsidR="00CC538A" w:rsidRPr="00D4679B">
        <w:t>– assisted by specialist teams</w:t>
      </w:r>
      <w:r w:rsidR="00E64831" w:rsidRPr="00D4679B">
        <w:t>;</w:t>
      </w:r>
    </w:p>
    <w:p w14:paraId="70B7F59F" w14:textId="77777777" w:rsidR="000D4B8D" w:rsidRPr="00D4679B" w:rsidRDefault="00CC538A" w:rsidP="00FB5EBA">
      <w:pPr>
        <w:pStyle w:val="ListParagraph"/>
        <w:numPr>
          <w:ilvl w:val="2"/>
          <w:numId w:val="7"/>
        </w:numPr>
        <w:spacing w:after="0" w:line="276" w:lineRule="auto"/>
        <w:ind w:left="720"/>
        <w:contextualSpacing w:val="0"/>
      </w:pPr>
      <w:r w:rsidRPr="00D4679B">
        <w:t>Tailored advice and one-to-one mentorship from FinTech specialists</w:t>
      </w:r>
      <w:r w:rsidR="00685F2D" w:rsidRPr="00D4679B">
        <w:t>.</w:t>
      </w:r>
    </w:p>
    <w:p w14:paraId="5C56C228" w14:textId="77777777" w:rsidR="00D4679B" w:rsidRPr="00FB5EBA" w:rsidRDefault="00D4679B" w:rsidP="00FB5EBA">
      <w:pPr>
        <w:pStyle w:val="Heading3"/>
        <w:spacing w:before="0" w:line="276" w:lineRule="auto"/>
        <w:rPr>
          <w:rFonts w:asciiTheme="minorHAnsi" w:hAnsiTheme="minorHAnsi"/>
          <w:color w:val="auto"/>
        </w:rPr>
      </w:pPr>
    </w:p>
    <w:p w14:paraId="076359DE" w14:textId="77777777" w:rsidR="00D4679B" w:rsidRPr="00D4679B" w:rsidRDefault="00D4679B" w:rsidP="00FB5EBA">
      <w:pPr>
        <w:pStyle w:val="ListParagraph"/>
        <w:spacing w:after="0" w:line="276" w:lineRule="auto"/>
        <w:ind w:left="0"/>
      </w:pPr>
    </w:p>
    <w:p w14:paraId="097B4B41" w14:textId="77777777" w:rsidR="00F94DDF" w:rsidRPr="00D4679B" w:rsidRDefault="0097741D" w:rsidP="00FB5EBA">
      <w:pPr>
        <w:pStyle w:val="ListParagraph"/>
        <w:spacing w:after="0" w:line="276" w:lineRule="auto"/>
        <w:ind w:left="0"/>
      </w:pPr>
      <w:r>
        <w:t>4.1</w:t>
      </w:r>
      <w:r w:rsidR="0011268C">
        <w:t>2</w:t>
      </w:r>
      <w:r>
        <w:t xml:space="preserve"> </w:t>
      </w:r>
      <w:r w:rsidR="00F94DDF" w:rsidRPr="00D4679B">
        <w:t xml:space="preserve">Within sixty days of the signing of </w:t>
      </w:r>
      <w:r w:rsidR="008604ED">
        <w:t>this</w:t>
      </w:r>
      <w:r w:rsidR="000D3813" w:rsidRPr="00D4679B">
        <w:t xml:space="preserve"> </w:t>
      </w:r>
      <w:r w:rsidR="002D47E1" w:rsidRPr="00D4679B">
        <w:t>FinTech Bridge</w:t>
      </w:r>
      <w:r w:rsidR="00F94DDF" w:rsidRPr="00D4679B">
        <w:t xml:space="preserve">, </w:t>
      </w:r>
      <w:r w:rsidR="00FB5EBA">
        <w:t>the Trade and Investment Implementing Authorities</w:t>
      </w:r>
      <w:r w:rsidR="00FB5EBA" w:rsidRPr="00D4679B" w:rsidDel="00FB5EBA">
        <w:t xml:space="preserve"> </w:t>
      </w:r>
      <w:r w:rsidR="00F94DDF" w:rsidRPr="00D4679B">
        <w:t>will establish a joint working group (</w:t>
      </w:r>
      <w:r w:rsidR="000D3813" w:rsidRPr="00D4679B">
        <w:t>‘</w:t>
      </w:r>
      <w:r w:rsidR="00F94DDF" w:rsidRPr="00D4679B">
        <w:t>Working Group</w:t>
      </w:r>
      <w:r w:rsidR="000D3813" w:rsidRPr="00D4679B">
        <w:t>’</w:t>
      </w:r>
      <w:r w:rsidR="00F94DDF" w:rsidRPr="00D4679B">
        <w:t xml:space="preserve">), comprising a senior representative of each of Austrade London Post, Austrade in Australia, DIT in London and DIT Post in Australia. </w:t>
      </w:r>
    </w:p>
    <w:p w14:paraId="5A02B987" w14:textId="77777777" w:rsidR="00F94DDF" w:rsidRPr="00D4679B" w:rsidRDefault="00F94DDF" w:rsidP="00FB5EBA">
      <w:pPr>
        <w:pStyle w:val="ListParagraph"/>
        <w:spacing w:after="0" w:line="276" w:lineRule="auto"/>
        <w:ind w:left="0"/>
      </w:pPr>
    </w:p>
    <w:p w14:paraId="359463BC" w14:textId="5A6067A8" w:rsidR="00F94DDF" w:rsidRPr="00D4679B" w:rsidRDefault="0097741D" w:rsidP="00FB5EBA">
      <w:pPr>
        <w:pStyle w:val="ListParagraph"/>
        <w:spacing w:after="0" w:line="276" w:lineRule="auto"/>
        <w:ind w:left="0"/>
      </w:pPr>
      <w:r>
        <w:t>4.1</w:t>
      </w:r>
      <w:r w:rsidR="0011268C">
        <w:t>3</w:t>
      </w:r>
      <w:r>
        <w:t xml:space="preserve"> </w:t>
      </w:r>
      <w:r w:rsidR="00F94DDF" w:rsidRPr="00D4679B">
        <w:t xml:space="preserve">The Working Group will determine the joint events and activities to be conducted and promoted by DIT and Austrade to enable </w:t>
      </w:r>
      <w:r w:rsidR="00907B70">
        <w:t>expansion of</w:t>
      </w:r>
      <w:r w:rsidR="00F94DDF" w:rsidRPr="00D4679B">
        <w:t xml:space="preserve"> two-way trade and investment in </w:t>
      </w:r>
      <w:r w:rsidR="008604ED" w:rsidRPr="00D4679B">
        <w:t xml:space="preserve">FinTech </w:t>
      </w:r>
      <w:r w:rsidR="00F94DDF" w:rsidRPr="00D4679B">
        <w:t xml:space="preserve">between Australia and the UK and to promote </w:t>
      </w:r>
      <w:r w:rsidR="008604ED" w:rsidRPr="00D4679B">
        <w:t xml:space="preserve">this FinTech </w:t>
      </w:r>
      <w:r w:rsidR="00F94DDF" w:rsidRPr="00D4679B">
        <w:t xml:space="preserve">Bridge. </w:t>
      </w:r>
    </w:p>
    <w:p w14:paraId="18C2E829" w14:textId="77777777" w:rsidR="00523E16" w:rsidRPr="00D4679B" w:rsidRDefault="00523E16" w:rsidP="00FB5EBA">
      <w:pPr>
        <w:pStyle w:val="ListParagraph"/>
        <w:spacing w:after="0" w:line="276" w:lineRule="auto"/>
        <w:ind w:left="0"/>
      </w:pPr>
    </w:p>
    <w:p w14:paraId="08511D9A" w14:textId="77777777" w:rsidR="00523E16" w:rsidRPr="00D4679B" w:rsidRDefault="0097741D" w:rsidP="00FB5EBA">
      <w:pPr>
        <w:pStyle w:val="ListParagraph"/>
        <w:spacing w:after="0" w:line="276" w:lineRule="auto"/>
        <w:ind w:left="0"/>
      </w:pPr>
      <w:r>
        <w:t>4.1</w:t>
      </w:r>
      <w:r w:rsidR="0011268C">
        <w:t>4</w:t>
      </w:r>
      <w:r>
        <w:t xml:space="preserve"> </w:t>
      </w:r>
      <w:r w:rsidR="00523E16" w:rsidRPr="00D4679B">
        <w:t>Those events and activities will include those mentioned above, and other</w:t>
      </w:r>
      <w:r w:rsidR="000D3813" w:rsidRPr="00D4679B">
        <w:t>s</w:t>
      </w:r>
      <w:r w:rsidR="00523E16" w:rsidRPr="00D4679B">
        <w:t xml:space="preserve"> </w:t>
      </w:r>
      <w:r w:rsidR="001B3460" w:rsidRPr="00D4679B">
        <w:t>determined</w:t>
      </w:r>
      <w:r w:rsidR="00523E16" w:rsidRPr="00D4679B">
        <w:t xml:space="preserve"> by the Working Group.</w:t>
      </w:r>
    </w:p>
    <w:p w14:paraId="2AE952F8" w14:textId="77777777" w:rsidR="00D4679B" w:rsidRPr="00FB5EBA" w:rsidRDefault="00D4679B" w:rsidP="00FB5EBA">
      <w:pPr>
        <w:pStyle w:val="Heading2"/>
        <w:spacing w:before="0" w:line="276" w:lineRule="auto"/>
        <w:jc w:val="center"/>
        <w:rPr>
          <w:rFonts w:asciiTheme="minorHAnsi" w:hAnsiTheme="minorHAnsi"/>
          <w:color w:val="auto"/>
          <w:sz w:val="22"/>
          <w:szCs w:val="22"/>
        </w:rPr>
      </w:pPr>
    </w:p>
    <w:p w14:paraId="5420CC82" w14:textId="77777777" w:rsidR="00631743" w:rsidRPr="00FB5EBA" w:rsidRDefault="00631743" w:rsidP="00FB5EBA">
      <w:pPr>
        <w:pStyle w:val="Heading2"/>
        <w:spacing w:before="0" w:line="276" w:lineRule="auto"/>
        <w:jc w:val="center"/>
        <w:rPr>
          <w:rFonts w:asciiTheme="minorHAnsi" w:hAnsiTheme="minorHAnsi"/>
          <w:color w:val="auto"/>
          <w:sz w:val="22"/>
          <w:szCs w:val="22"/>
        </w:rPr>
      </w:pPr>
      <w:r w:rsidRPr="00FB5EBA">
        <w:rPr>
          <w:rFonts w:asciiTheme="minorHAnsi" w:hAnsiTheme="minorHAnsi"/>
          <w:color w:val="auto"/>
          <w:sz w:val="22"/>
          <w:szCs w:val="22"/>
        </w:rPr>
        <w:t xml:space="preserve">Section </w:t>
      </w:r>
      <w:r w:rsidR="004A2FC0">
        <w:rPr>
          <w:rFonts w:asciiTheme="minorHAnsi" w:hAnsiTheme="minorHAnsi"/>
          <w:color w:val="auto"/>
          <w:sz w:val="22"/>
          <w:szCs w:val="22"/>
        </w:rPr>
        <w:t>5</w:t>
      </w:r>
    </w:p>
    <w:p w14:paraId="09527DF5" w14:textId="77777777" w:rsidR="006C684E" w:rsidRPr="00FB5EBA" w:rsidRDefault="006C684E" w:rsidP="00FB5EBA">
      <w:pPr>
        <w:pStyle w:val="Heading2"/>
        <w:spacing w:before="0" w:line="276" w:lineRule="auto"/>
        <w:jc w:val="center"/>
        <w:rPr>
          <w:rFonts w:asciiTheme="minorHAnsi" w:hAnsiTheme="minorHAnsi"/>
          <w:color w:val="auto"/>
          <w:sz w:val="22"/>
          <w:szCs w:val="22"/>
        </w:rPr>
      </w:pPr>
      <w:r w:rsidRPr="00FB5EBA">
        <w:rPr>
          <w:rFonts w:asciiTheme="minorHAnsi" w:hAnsiTheme="minorHAnsi"/>
          <w:color w:val="auto"/>
          <w:sz w:val="22"/>
          <w:szCs w:val="22"/>
        </w:rPr>
        <w:t>Business-to-Business</w:t>
      </w:r>
    </w:p>
    <w:p w14:paraId="3CB6D49B" w14:textId="77777777" w:rsidR="006C684E" w:rsidRPr="00D4679B" w:rsidRDefault="006C684E" w:rsidP="00FB5EBA">
      <w:pPr>
        <w:pStyle w:val="ListParagraph"/>
        <w:spacing w:after="0" w:line="276" w:lineRule="auto"/>
        <w:ind w:left="1440"/>
      </w:pPr>
    </w:p>
    <w:p w14:paraId="4D07056A" w14:textId="77777777" w:rsidR="00567021" w:rsidRDefault="00382032" w:rsidP="00D25D1C">
      <w:pPr>
        <w:pStyle w:val="ListParagraph"/>
        <w:spacing w:after="0" w:line="276" w:lineRule="auto"/>
        <w:ind w:left="0"/>
      </w:pPr>
      <w:r w:rsidRPr="001964EC">
        <w:t>5</w:t>
      </w:r>
      <w:r w:rsidR="00D4679B" w:rsidRPr="001964EC">
        <w:t>.1</w:t>
      </w:r>
      <w:r w:rsidR="00B45616" w:rsidRPr="00B45616">
        <w:t xml:space="preserve"> </w:t>
      </w:r>
      <w:r w:rsidR="00640588">
        <w:t xml:space="preserve">Both Governments </w:t>
      </w:r>
      <w:r w:rsidR="00D25D1C">
        <w:t xml:space="preserve">will </w:t>
      </w:r>
      <w:r w:rsidR="00640588">
        <w:t xml:space="preserve">support </w:t>
      </w:r>
      <w:r w:rsidR="00B85D30">
        <w:t>active</w:t>
      </w:r>
      <w:r w:rsidR="00640588">
        <w:t xml:space="preserve"> engagement between </w:t>
      </w:r>
      <w:r w:rsidR="00B85D30">
        <w:t xml:space="preserve">FinTech industry bodies, such as </w:t>
      </w:r>
      <w:r w:rsidR="00640588" w:rsidRPr="00B75F64">
        <w:t>Innovate Finance (UK) and FinTech Australia (FinTech Industry Bodies)</w:t>
      </w:r>
      <w:r w:rsidR="00B85D30">
        <w:t xml:space="preserve"> and welcome their </w:t>
      </w:r>
      <w:r w:rsidR="00A06215">
        <w:t>i</w:t>
      </w:r>
      <w:r w:rsidR="00B85D30">
        <w:t xml:space="preserve">ntent </w:t>
      </w:r>
      <w:r w:rsidR="00A90357">
        <w:t xml:space="preserve">to </w:t>
      </w:r>
      <w:r w:rsidR="00865C03" w:rsidRPr="00B75F64">
        <w:t xml:space="preserve">curate and lead regular </w:t>
      </w:r>
      <w:r w:rsidR="00B92FA7" w:rsidRPr="00B75F64">
        <w:t>b</w:t>
      </w:r>
      <w:r w:rsidR="00865C03" w:rsidRPr="00B75F64">
        <w:t>usiness-to-business summit discussions involving industry representative groups, co-chaired for the UK by the Prime Minister’s envoy for FinTech and a FinTech Australia nominee.</w:t>
      </w:r>
      <w:r w:rsidR="00865C03">
        <w:t xml:space="preserve"> </w:t>
      </w:r>
    </w:p>
    <w:p w14:paraId="21679BCF" w14:textId="77777777" w:rsidR="00567021" w:rsidRDefault="00567021" w:rsidP="00D25D1C">
      <w:pPr>
        <w:pStyle w:val="ListParagraph"/>
        <w:spacing w:after="0" w:line="276" w:lineRule="auto"/>
        <w:ind w:left="0"/>
      </w:pPr>
    </w:p>
    <w:p w14:paraId="1ED1280C" w14:textId="3F758AAC" w:rsidR="006C684E" w:rsidRPr="00D4679B" w:rsidRDefault="00567021" w:rsidP="00D25D1C">
      <w:pPr>
        <w:pStyle w:val="ListParagraph"/>
        <w:spacing w:after="0" w:line="276" w:lineRule="auto"/>
        <w:ind w:left="0"/>
      </w:pPr>
      <w:r>
        <w:t xml:space="preserve">5.2 </w:t>
      </w:r>
      <w:r w:rsidR="00865C03">
        <w:t xml:space="preserve">Both Governments </w:t>
      </w:r>
      <w:r>
        <w:t xml:space="preserve">endorse the FinTech Industry Bodies’ intent </w:t>
      </w:r>
      <w:r w:rsidR="00865C03">
        <w:t xml:space="preserve">that </w:t>
      </w:r>
      <w:r w:rsidR="006C684E" w:rsidRPr="00D4679B">
        <w:t>one of the first topics for these discussions will</w:t>
      </w:r>
      <w:r w:rsidR="00907B70">
        <w:t xml:space="preserve"> be to</w:t>
      </w:r>
      <w:r w:rsidR="006C684E" w:rsidRPr="00D4679B">
        <w:t xml:space="preserve"> explore collaboration around blockchain technology </w:t>
      </w:r>
      <w:r w:rsidR="00D4679B">
        <w:t>–</w:t>
      </w:r>
      <w:r w:rsidR="006C684E" w:rsidRPr="00D4679B">
        <w:t xml:space="preserve"> for example in areas such as supply-chain finance, digital </w:t>
      </w:r>
      <w:r w:rsidR="00640588">
        <w:t>assets</w:t>
      </w:r>
      <w:r w:rsidR="00640588" w:rsidRPr="00D4679B">
        <w:t xml:space="preserve"> </w:t>
      </w:r>
      <w:r w:rsidR="006C684E" w:rsidRPr="00D4679B">
        <w:t xml:space="preserve">and the use of </w:t>
      </w:r>
      <w:r w:rsidR="00865C03">
        <w:t>b</w:t>
      </w:r>
      <w:r w:rsidR="006C684E" w:rsidRPr="00D4679B">
        <w:t>lockchain in government applications such as welfare</w:t>
      </w:r>
      <w:r w:rsidR="00865C03">
        <w:t>; and that o</w:t>
      </w:r>
      <w:r w:rsidR="006C684E" w:rsidRPr="00D4679B">
        <w:t>ver time, discussions may also consider collaborations in mutually relevant areas, such as financial technology applications in wealth/pensions, data exchange and RegTech.</w:t>
      </w:r>
    </w:p>
    <w:p w14:paraId="58FA11A6" w14:textId="77777777" w:rsidR="006C684E" w:rsidRPr="00D4679B" w:rsidRDefault="006C684E" w:rsidP="00FB5EBA">
      <w:pPr>
        <w:pStyle w:val="ListParagraph"/>
        <w:spacing w:after="0" w:line="276" w:lineRule="auto"/>
        <w:ind w:left="0"/>
      </w:pPr>
      <w:r w:rsidRPr="00D4679B">
        <w:t xml:space="preserve"> </w:t>
      </w:r>
    </w:p>
    <w:p w14:paraId="0C83FD7A" w14:textId="77777777" w:rsidR="006C684E" w:rsidRPr="00D4679B" w:rsidRDefault="00382032" w:rsidP="00FB5EBA">
      <w:pPr>
        <w:pStyle w:val="ListParagraph"/>
        <w:spacing w:after="0" w:line="276" w:lineRule="auto"/>
        <w:ind w:left="0"/>
      </w:pPr>
      <w:r>
        <w:t>5</w:t>
      </w:r>
      <w:r w:rsidR="00D4679B" w:rsidRPr="00D4679B">
        <w:t>.</w:t>
      </w:r>
      <w:r w:rsidR="00865C03">
        <w:t>3</w:t>
      </w:r>
      <w:r w:rsidR="00D4679B" w:rsidRPr="00D4679B">
        <w:t xml:space="preserve"> </w:t>
      </w:r>
      <w:r w:rsidR="00865C03" w:rsidDel="00640588">
        <w:t xml:space="preserve">Both Governments </w:t>
      </w:r>
      <w:r w:rsidR="00B85D30">
        <w:t xml:space="preserve">welcome </w:t>
      </w:r>
      <w:r w:rsidR="00865C03">
        <w:t>t</w:t>
      </w:r>
      <w:r w:rsidR="006C684E" w:rsidRPr="00D4679B">
        <w:t xml:space="preserve">hese forums </w:t>
      </w:r>
      <w:r w:rsidR="00B85D30">
        <w:t xml:space="preserve">as </w:t>
      </w:r>
      <w:r w:rsidR="006C684E" w:rsidRPr="00D4679B">
        <w:t xml:space="preserve">an opportunity </w:t>
      </w:r>
      <w:r w:rsidR="00B85D30">
        <w:t xml:space="preserve">for the </w:t>
      </w:r>
      <w:r w:rsidR="00B85D30" w:rsidRPr="00B75F64">
        <w:t>FinTech Industry Bodies</w:t>
      </w:r>
      <w:r w:rsidR="006C684E" w:rsidRPr="00D4679B">
        <w:t xml:space="preserve"> to</w:t>
      </w:r>
      <w:r w:rsidR="00B92FA7">
        <w:t xml:space="preserve"> make recommendations ahead of g</w:t>
      </w:r>
      <w:r w:rsidR="006C684E" w:rsidRPr="00D4679B">
        <w:t>overnment</w:t>
      </w:r>
      <w:r w:rsidR="000D3813" w:rsidRPr="00D4679B">
        <w:t>-</w:t>
      </w:r>
      <w:r w:rsidR="006C684E" w:rsidRPr="00D4679B">
        <w:t>to</w:t>
      </w:r>
      <w:r w:rsidR="000D3813" w:rsidRPr="00D4679B">
        <w:t>-</w:t>
      </w:r>
      <w:r w:rsidR="00B92FA7">
        <w:t>g</w:t>
      </w:r>
      <w:r w:rsidR="006C684E" w:rsidRPr="00D4679B">
        <w:t xml:space="preserve">overnment talks, and discuss challenges to </w:t>
      </w:r>
      <w:r w:rsidR="006C684E" w:rsidRPr="00D4679B">
        <w:lastRenderedPageBreak/>
        <w:t xml:space="preserve">entering the other market, other FinTech policy issues and trade and performance statistics provided by the </w:t>
      </w:r>
      <w:r w:rsidR="00865C03">
        <w:t>Trade and Investment Implementing Authorities</w:t>
      </w:r>
      <w:r w:rsidR="006C684E" w:rsidRPr="00D4679B">
        <w:t>.</w:t>
      </w:r>
    </w:p>
    <w:p w14:paraId="3E9FE193" w14:textId="77777777" w:rsidR="006C684E" w:rsidRPr="00D4679B" w:rsidRDefault="006C684E" w:rsidP="00FB5EBA">
      <w:pPr>
        <w:pStyle w:val="ListParagraph"/>
        <w:spacing w:after="0" w:line="276" w:lineRule="auto"/>
        <w:ind w:left="0"/>
      </w:pPr>
    </w:p>
    <w:p w14:paraId="169D9D58" w14:textId="77777777" w:rsidR="006C684E" w:rsidRPr="00D4679B" w:rsidRDefault="00382032" w:rsidP="00FB5EBA">
      <w:pPr>
        <w:pStyle w:val="ListParagraph"/>
        <w:spacing w:after="0" w:line="276" w:lineRule="auto"/>
        <w:ind w:left="0"/>
      </w:pPr>
      <w:r>
        <w:t>5</w:t>
      </w:r>
      <w:r w:rsidR="00D4679B" w:rsidRPr="00D4679B">
        <w:t>.</w:t>
      </w:r>
      <w:r w:rsidR="00865C03">
        <w:t>4</w:t>
      </w:r>
      <w:r w:rsidR="00D4679B" w:rsidRPr="00D4679B">
        <w:t xml:space="preserve"> </w:t>
      </w:r>
      <w:r w:rsidR="00865C03" w:rsidDel="00640588">
        <w:t xml:space="preserve">Both Governments </w:t>
      </w:r>
      <w:r w:rsidR="007D111A">
        <w:t xml:space="preserve">congratulate the </w:t>
      </w:r>
      <w:r w:rsidR="00865C03">
        <w:t xml:space="preserve">FinTech Industry Bodies </w:t>
      </w:r>
      <w:r w:rsidR="007D111A">
        <w:t xml:space="preserve">for their preparedness to </w:t>
      </w:r>
      <w:r w:rsidR="006C684E" w:rsidRPr="00D4679B">
        <w:t>consider the introduction of a fixed-term reciprocal membership agreement for UK and Australian FinTech firms establishing in each market.</w:t>
      </w:r>
    </w:p>
    <w:p w14:paraId="37AA03BF" w14:textId="77777777" w:rsidR="003E4854" w:rsidRPr="00D4679B" w:rsidRDefault="003E4854" w:rsidP="00FB5EBA">
      <w:pPr>
        <w:spacing w:after="0" w:line="276" w:lineRule="auto"/>
      </w:pPr>
    </w:p>
    <w:p w14:paraId="105E9ADE" w14:textId="77777777" w:rsidR="00D4679B" w:rsidRPr="00FB5EBA" w:rsidRDefault="00D4679B" w:rsidP="00D4679B">
      <w:pPr>
        <w:pStyle w:val="NormalWeb"/>
        <w:spacing w:before="0" w:beforeAutospacing="0" w:after="0" w:afterAutospacing="0"/>
        <w:jc w:val="center"/>
        <w:rPr>
          <w:rFonts w:asciiTheme="minorHAnsi" w:hAnsiTheme="minorHAnsi"/>
          <w:b/>
          <w:sz w:val="22"/>
          <w:lang w:val="en"/>
        </w:rPr>
      </w:pPr>
      <w:r w:rsidRPr="00FB5EBA">
        <w:rPr>
          <w:rFonts w:asciiTheme="minorHAnsi" w:hAnsiTheme="minorHAnsi"/>
          <w:b/>
          <w:sz w:val="22"/>
          <w:lang w:val="en"/>
        </w:rPr>
        <w:t xml:space="preserve">Section </w:t>
      </w:r>
      <w:r w:rsidR="004A2FC0">
        <w:rPr>
          <w:rFonts w:asciiTheme="minorHAnsi" w:hAnsiTheme="minorHAnsi"/>
          <w:b/>
          <w:sz w:val="22"/>
          <w:lang w:val="en"/>
        </w:rPr>
        <w:t>6</w:t>
      </w:r>
    </w:p>
    <w:p w14:paraId="18680061" w14:textId="77777777" w:rsidR="00D4679B" w:rsidRPr="00FB5EBA" w:rsidRDefault="00D4679B" w:rsidP="00D4679B">
      <w:pPr>
        <w:pStyle w:val="NormalWeb"/>
        <w:spacing w:before="0" w:beforeAutospacing="0" w:after="0" w:afterAutospacing="0"/>
        <w:jc w:val="center"/>
        <w:rPr>
          <w:rFonts w:asciiTheme="minorHAnsi" w:hAnsiTheme="minorHAnsi"/>
          <w:b/>
          <w:sz w:val="22"/>
          <w:lang w:val="en"/>
        </w:rPr>
      </w:pPr>
      <w:r w:rsidRPr="00FB5EBA">
        <w:rPr>
          <w:rFonts w:asciiTheme="minorHAnsi" w:hAnsiTheme="minorHAnsi"/>
          <w:b/>
          <w:sz w:val="22"/>
          <w:lang w:val="en"/>
        </w:rPr>
        <w:t>Amendment</w:t>
      </w:r>
    </w:p>
    <w:p w14:paraId="68E358E3" w14:textId="77777777" w:rsidR="00D4679B" w:rsidRPr="00FB5EBA" w:rsidRDefault="00D4679B" w:rsidP="00D4679B">
      <w:pPr>
        <w:pStyle w:val="NormalWeb"/>
        <w:spacing w:before="0" w:beforeAutospacing="0" w:after="0" w:afterAutospacing="0"/>
        <w:rPr>
          <w:rFonts w:asciiTheme="minorHAnsi" w:hAnsiTheme="minorHAnsi"/>
          <w:sz w:val="22"/>
          <w:lang w:val="en"/>
        </w:rPr>
      </w:pPr>
    </w:p>
    <w:p w14:paraId="74D5D986" w14:textId="77777777" w:rsidR="00D4679B" w:rsidRPr="008C124B" w:rsidRDefault="004138E4" w:rsidP="008C124B">
      <w:pPr>
        <w:pStyle w:val="ListParagraph"/>
        <w:spacing w:after="0" w:line="276" w:lineRule="auto"/>
        <w:ind w:left="0"/>
      </w:pPr>
      <w:r w:rsidRPr="008C124B">
        <w:t>Both</w:t>
      </w:r>
      <w:r w:rsidR="00D4679B" w:rsidRPr="008C124B">
        <w:t xml:space="preserve"> </w:t>
      </w:r>
      <w:r w:rsidR="00457FD0" w:rsidRPr="008C124B">
        <w:t>Government</w:t>
      </w:r>
      <w:r w:rsidR="00B75F64" w:rsidRPr="008C124B">
        <w:t>s</w:t>
      </w:r>
      <w:r w:rsidR="00D4679B" w:rsidRPr="008C124B">
        <w:t xml:space="preserve"> </w:t>
      </w:r>
      <w:r w:rsidRPr="008C124B">
        <w:t>recognise that th</w:t>
      </w:r>
      <w:r w:rsidR="00962CB2" w:rsidRPr="008C124B">
        <w:t>is</w:t>
      </w:r>
      <w:r w:rsidR="00D4679B" w:rsidRPr="008C124B">
        <w:t xml:space="preserve"> FinTech Bridge</w:t>
      </w:r>
      <w:r w:rsidRPr="008C124B">
        <w:t xml:space="preserve"> will be reviewed regularly to ensure its maximum impact and efficiency in a fast-paced industry and commit to</w:t>
      </w:r>
      <w:r w:rsidR="00D4679B" w:rsidRPr="008C124B">
        <w:t xml:space="preserve"> the discuss</w:t>
      </w:r>
      <w:r w:rsidRPr="008C124B">
        <w:t>ion of additional</w:t>
      </w:r>
      <w:r w:rsidR="00D4679B" w:rsidRPr="008C124B">
        <w:t xml:space="preserve"> proposed amendments in good faith. This FinTech Bridge may be amended at any time as mutually determined by the </w:t>
      </w:r>
      <w:r w:rsidR="00457FD0" w:rsidRPr="008C124B">
        <w:t>Governments</w:t>
      </w:r>
      <w:r w:rsidR="00D4679B" w:rsidRPr="008C124B">
        <w:t xml:space="preserve"> in writing.</w:t>
      </w:r>
    </w:p>
    <w:p w14:paraId="4B06DA72" w14:textId="77777777" w:rsidR="00D4679B" w:rsidRPr="008C124B" w:rsidRDefault="00D4679B" w:rsidP="008C124B">
      <w:pPr>
        <w:pStyle w:val="ListParagraph"/>
        <w:spacing w:after="0" w:line="276" w:lineRule="auto"/>
        <w:ind w:left="0"/>
      </w:pPr>
    </w:p>
    <w:p w14:paraId="60F72F7D" w14:textId="77777777" w:rsidR="00D4679B" w:rsidRPr="00FB5EBA" w:rsidRDefault="00D4679B" w:rsidP="00D4679B">
      <w:pPr>
        <w:pStyle w:val="NormalWeb"/>
        <w:spacing w:before="0" w:beforeAutospacing="0" w:after="0" w:afterAutospacing="0"/>
        <w:jc w:val="center"/>
        <w:rPr>
          <w:rFonts w:asciiTheme="minorHAnsi" w:hAnsiTheme="minorHAnsi"/>
          <w:b/>
          <w:sz w:val="22"/>
          <w:lang w:val="en"/>
        </w:rPr>
      </w:pPr>
      <w:r w:rsidRPr="00FB5EBA">
        <w:rPr>
          <w:rFonts w:asciiTheme="minorHAnsi" w:hAnsiTheme="minorHAnsi"/>
          <w:b/>
          <w:sz w:val="22"/>
          <w:lang w:val="en"/>
        </w:rPr>
        <w:t xml:space="preserve">Section </w:t>
      </w:r>
      <w:r w:rsidR="004A2FC0">
        <w:rPr>
          <w:rFonts w:asciiTheme="minorHAnsi" w:hAnsiTheme="minorHAnsi"/>
          <w:b/>
          <w:sz w:val="22"/>
          <w:lang w:val="en"/>
        </w:rPr>
        <w:t>7</w:t>
      </w:r>
    </w:p>
    <w:p w14:paraId="05E5B3B8" w14:textId="77777777" w:rsidR="00D4679B" w:rsidRPr="00FB5EBA" w:rsidRDefault="00D4679B" w:rsidP="00D4679B">
      <w:pPr>
        <w:pStyle w:val="NormalWeb"/>
        <w:spacing w:before="0" w:beforeAutospacing="0" w:after="0" w:afterAutospacing="0"/>
        <w:jc w:val="center"/>
        <w:rPr>
          <w:rFonts w:asciiTheme="minorHAnsi" w:hAnsiTheme="minorHAnsi"/>
          <w:b/>
          <w:sz w:val="22"/>
          <w:lang w:val="en"/>
        </w:rPr>
      </w:pPr>
      <w:r w:rsidRPr="00FB5EBA">
        <w:rPr>
          <w:rFonts w:asciiTheme="minorHAnsi" w:hAnsiTheme="minorHAnsi"/>
          <w:b/>
          <w:sz w:val="22"/>
          <w:lang w:val="en"/>
        </w:rPr>
        <w:t>Termination</w:t>
      </w:r>
    </w:p>
    <w:p w14:paraId="582C3D22" w14:textId="77777777" w:rsidR="00D4679B" w:rsidRPr="00FB5EBA" w:rsidRDefault="00D4679B" w:rsidP="00D4679B">
      <w:pPr>
        <w:pStyle w:val="NormalWeb"/>
        <w:spacing w:before="0" w:beforeAutospacing="0" w:after="0" w:afterAutospacing="0"/>
        <w:rPr>
          <w:rFonts w:asciiTheme="minorHAnsi" w:hAnsiTheme="minorHAnsi"/>
          <w:sz w:val="22"/>
          <w:lang w:val="en"/>
        </w:rPr>
      </w:pPr>
    </w:p>
    <w:p w14:paraId="34323065" w14:textId="77777777" w:rsidR="00D4679B" w:rsidRPr="008C124B" w:rsidRDefault="00D4679B" w:rsidP="008C124B">
      <w:pPr>
        <w:pStyle w:val="ListParagraph"/>
        <w:spacing w:after="0" w:line="276" w:lineRule="auto"/>
        <w:ind w:left="0"/>
      </w:pPr>
      <w:r w:rsidRPr="008C124B">
        <w:t xml:space="preserve">Either </w:t>
      </w:r>
      <w:r w:rsidR="00457FD0" w:rsidRPr="008C124B">
        <w:t>Government</w:t>
      </w:r>
      <w:r w:rsidRPr="008C124B">
        <w:t xml:space="preserve"> may terminate this FinTech Bridge by giving the other </w:t>
      </w:r>
      <w:r w:rsidR="00457FD0" w:rsidRPr="008C124B">
        <w:t>Government</w:t>
      </w:r>
      <w:r w:rsidRPr="008C124B">
        <w:t xml:space="preserve"> at least six months’ notice in writing.</w:t>
      </w:r>
    </w:p>
    <w:p w14:paraId="047773E1" w14:textId="77777777" w:rsidR="00D4679B" w:rsidRDefault="00D4679B" w:rsidP="00FB5EBA">
      <w:pPr>
        <w:pStyle w:val="Heading2"/>
        <w:spacing w:before="0" w:line="276" w:lineRule="auto"/>
        <w:jc w:val="center"/>
        <w:rPr>
          <w:rFonts w:asciiTheme="minorHAnsi" w:hAnsiTheme="minorHAnsi"/>
          <w:color w:val="auto"/>
          <w:sz w:val="22"/>
          <w:szCs w:val="22"/>
        </w:rPr>
      </w:pPr>
    </w:p>
    <w:p w14:paraId="75A52267" w14:textId="77777777" w:rsidR="00D4679B" w:rsidRPr="00FB5EBA" w:rsidRDefault="00D4679B" w:rsidP="00FB5EBA">
      <w:pPr>
        <w:pStyle w:val="Heading2"/>
        <w:spacing w:before="0" w:line="276" w:lineRule="auto"/>
        <w:jc w:val="center"/>
        <w:rPr>
          <w:rFonts w:asciiTheme="minorHAnsi" w:hAnsiTheme="minorHAnsi"/>
          <w:color w:val="auto"/>
          <w:sz w:val="22"/>
          <w:szCs w:val="22"/>
        </w:rPr>
      </w:pPr>
      <w:r w:rsidRPr="00FB5EBA">
        <w:rPr>
          <w:rFonts w:asciiTheme="minorHAnsi" w:hAnsiTheme="minorHAnsi"/>
          <w:color w:val="auto"/>
          <w:sz w:val="22"/>
          <w:szCs w:val="22"/>
        </w:rPr>
        <w:t xml:space="preserve">Section </w:t>
      </w:r>
      <w:r w:rsidR="004A2FC0">
        <w:rPr>
          <w:rFonts w:asciiTheme="minorHAnsi" w:hAnsiTheme="minorHAnsi"/>
          <w:color w:val="auto"/>
          <w:sz w:val="22"/>
          <w:szCs w:val="22"/>
        </w:rPr>
        <w:t>8</w:t>
      </w:r>
    </w:p>
    <w:p w14:paraId="5B25B4F0" w14:textId="77777777" w:rsidR="00D4679B" w:rsidRPr="00FB5EBA" w:rsidRDefault="00D4679B" w:rsidP="00FB5EBA">
      <w:pPr>
        <w:pStyle w:val="Heading2"/>
        <w:spacing w:before="0" w:line="276" w:lineRule="auto"/>
        <w:jc w:val="center"/>
        <w:rPr>
          <w:rFonts w:asciiTheme="minorHAnsi" w:hAnsiTheme="minorHAnsi"/>
          <w:color w:val="auto"/>
          <w:sz w:val="22"/>
          <w:szCs w:val="22"/>
        </w:rPr>
      </w:pPr>
      <w:r w:rsidRPr="00FB5EBA">
        <w:rPr>
          <w:rFonts w:asciiTheme="minorHAnsi" w:hAnsiTheme="minorHAnsi"/>
          <w:color w:val="auto"/>
          <w:sz w:val="22"/>
          <w:szCs w:val="22"/>
        </w:rPr>
        <w:t>Signature</w:t>
      </w:r>
    </w:p>
    <w:p w14:paraId="509B4E34" w14:textId="77777777" w:rsidR="00D4679B" w:rsidRPr="00D4679B" w:rsidRDefault="00D4679B" w:rsidP="00FB5EBA">
      <w:pPr>
        <w:spacing w:after="0" w:line="276" w:lineRule="auto"/>
      </w:pPr>
    </w:p>
    <w:p w14:paraId="7113F3C2" w14:textId="77777777" w:rsidR="00631743" w:rsidRPr="00FB5EBA" w:rsidRDefault="008604ED" w:rsidP="00FB5EBA">
      <w:pPr>
        <w:pStyle w:val="NormalWeb"/>
        <w:spacing w:before="0" w:beforeAutospacing="0" w:after="0" w:afterAutospacing="0" w:line="276" w:lineRule="auto"/>
        <w:rPr>
          <w:rFonts w:asciiTheme="minorHAnsi" w:hAnsiTheme="minorHAnsi"/>
          <w:sz w:val="22"/>
          <w:szCs w:val="22"/>
          <w:lang w:val="en"/>
        </w:rPr>
      </w:pPr>
      <w:r w:rsidRPr="008604ED" w:rsidDel="00340681">
        <w:rPr>
          <w:rFonts w:asciiTheme="minorHAnsi" w:hAnsiTheme="minorHAnsi"/>
          <w:sz w:val="22"/>
          <w:szCs w:val="22"/>
          <w:lang w:val="en"/>
        </w:rPr>
        <w:t xml:space="preserve">This </w:t>
      </w:r>
      <w:r w:rsidRPr="008604ED">
        <w:rPr>
          <w:rFonts w:asciiTheme="minorHAnsi" w:hAnsiTheme="minorHAnsi"/>
          <w:sz w:val="22"/>
          <w:szCs w:val="22"/>
          <w:lang w:val="en"/>
        </w:rPr>
        <w:t xml:space="preserve">UK-Australia FinTech Bridge </w:t>
      </w:r>
      <w:r w:rsidR="00631743" w:rsidRPr="00FB5EBA">
        <w:rPr>
          <w:rFonts w:asciiTheme="minorHAnsi" w:hAnsiTheme="minorHAnsi"/>
          <w:sz w:val="22"/>
          <w:szCs w:val="22"/>
          <w:lang w:val="en"/>
        </w:rPr>
        <w:t>comes into effect on the day of its signing.</w:t>
      </w:r>
    </w:p>
    <w:p w14:paraId="257B55A2" w14:textId="77777777" w:rsidR="00631743" w:rsidRPr="00FB5EBA" w:rsidRDefault="00631743" w:rsidP="00FB5EBA">
      <w:pPr>
        <w:pStyle w:val="NormalWeb"/>
        <w:spacing w:before="0" w:beforeAutospacing="0" w:after="0" w:afterAutospacing="0" w:line="276" w:lineRule="auto"/>
        <w:rPr>
          <w:rFonts w:asciiTheme="minorHAnsi" w:hAnsiTheme="minorHAnsi"/>
          <w:sz w:val="22"/>
          <w:szCs w:val="22"/>
          <w:lang w:val="en"/>
        </w:rPr>
      </w:pPr>
    </w:p>
    <w:p w14:paraId="079100F2" w14:textId="77777777" w:rsidR="00631743" w:rsidRPr="00FB5EBA" w:rsidRDefault="00631743" w:rsidP="00FB5EBA">
      <w:pPr>
        <w:pStyle w:val="NormalWeb"/>
        <w:spacing w:before="0" w:beforeAutospacing="0" w:after="0" w:afterAutospacing="0" w:line="276" w:lineRule="auto"/>
        <w:rPr>
          <w:rFonts w:asciiTheme="minorHAnsi" w:hAnsiTheme="minorHAnsi"/>
          <w:sz w:val="22"/>
          <w:szCs w:val="22"/>
          <w:lang w:val="en"/>
        </w:rPr>
      </w:pPr>
    </w:p>
    <w:p w14:paraId="60DDF644" w14:textId="77777777" w:rsidR="00631743" w:rsidRPr="00FB5EBA" w:rsidRDefault="00631743" w:rsidP="00FB5EBA">
      <w:pPr>
        <w:pStyle w:val="NormalWeb"/>
        <w:spacing w:before="0" w:beforeAutospacing="0" w:after="0" w:afterAutospacing="0" w:line="276" w:lineRule="auto"/>
        <w:rPr>
          <w:rFonts w:asciiTheme="minorHAnsi" w:hAnsiTheme="minorHAnsi"/>
          <w:sz w:val="22"/>
          <w:szCs w:val="22"/>
          <w:lang w:val="en"/>
        </w:rPr>
      </w:pPr>
    </w:p>
    <w:p w14:paraId="3E3D6AF1" w14:textId="77777777" w:rsidR="00631743" w:rsidRPr="00FB5EBA" w:rsidRDefault="00631743" w:rsidP="00FB5EBA">
      <w:pPr>
        <w:pStyle w:val="NormalWeb"/>
        <w:spacing w:before="0" w:beforeAutospacing="0" w:after="0" w:afterAutospacing="0" w:line="276" w:lineRule="auto"/>
        <w:rPr>
          <w:rFonts w:asciiTheme="minorHAnsi" w:hAnsiTheme="minorHAnsi"/>
          <w:sz w:val="22"/>
          <w:szCs w:val="22"/>
          <w:lang w:val="en"/>
        </w:rPr>
      </w:pPr>
      <w:r w:rsidRPr="00FB5EBA">
        <w:rPr>
          <w:rFonts w:asciiTheme="minorHAnsi" w:hAnsiTheme="minorHAnsi"/>
          <w:sz w:val="22"/>
          <w:szCs w:val="22"/>
          <w:lang w:val="en"/>
        </w:rPr>
        <w:t xml:space="preserve">Signed in duplicate in </w:t>
      </w:r>
      <w:r w:rsidR="0011268C">
        <w:rPr>
          <w:rFonts w:asciiTheme="minorHAnsi" w:hAnsiTheme="minorHAnsi"/>
          <w:sz w:val="22"/>
          <w:szCs w:val="22"/>
          <w:lang w:val="en"/>
        </w:rPr>
        <w:t>London</w:t>
      </w:r>
      <w:r w:rsidRPr="00FB5EBA">
        <w:rPr>
          <w:rFonts w:asciiTheme="minorHAnsi" w:hAnsiTheme="minorHAnsi"/>
          <w:sz w:val="22"/>
          <w:szCs w:val="22"/>
          <w:lang w:val="en"/>
        </w:rPr>
        <w:t xml:space="preserve"> on the </w:t>
      </w:r>
      <w:r w:rsidR="00FF4963">
        <w:rPr>
          <w:rFonts w:asciiTheme="minorHAnsi" w:hAnsiTheme="minorHAnsi"/>
          <w:sz w:val="22"/>
          <w:szCs w:val="22"/>
          <w:lang w:val="en"/>
        </w:rPr>
        <w:t>twenty second</w:t>
      </w:r>
      <w:r w:rsidRPr="00FB5EBA">
        <w:rPr>
          <w:rFonts w:asciiTheme="minorHAnsi" w:hAnsiTheme="minorHAnsi"/>
          <w:sz w:val="22"/>
          <w:szCs w:val="22"/>
          <w:lang w:val="en"/>
        </w:rPr>
        <w:t xml:space="preserve"> day of March in the year Two Thousand and Eighteen.</w:t>
      </w:r>
    </w:p>
    <w:p w14:paraId="1BD1653F" w14:textId="77777777" w:rsidR="00631743" w:rsidRPr="00FB5EBA" w:rsidRDefault="00631743" w:rsidP="00D4679B">
      <w:pPr>
        <w:spacing w:after="0" w:line="276" w:lineRule="auto"/>
        <w:sectPr w:rsidR="00631743" w:rsidRPr="00FB5EBA" w:rsidSect="00D4679B">
          <w:headerReference w:type="default" r:id="rId15"/>
          <w:footerReference w:type="default" r:id="rId16"/>
          <w:type w:val="continuous"/>
          <w:pgSz w:w="11906" w:h="16838"/>
          <w:pgMar w:top="1440" w:right="1440" w:bottom="1440" w:left="1440" w:header="708" w:footer="708" w:gutter="0"/>
          <w:cols w:space="708"/>
          <w:docGrid w:linePitch="360"/>
        </w:sectPr>
      </w:pPr>
    </w:p>
    <w:p w14:paraId="4B25E1A6" w14:textId="77777777" w:rsidR="000D69F3" w:rsidRDefault="000D69F3" w:rsidP="00D4679B">
      <w:pPr>
        <w:spacing w:after="0" w:line="276" w:lineRule="auto"/>
      </w:pPr>
    </w:p>
    <w:p w14:paraId="0439E325" w14:textId="77777777" w:rsidR="00631743" w:rsidRPr="00FB5EBA" w:rsidRDefault="00631743" w:rsidP="00D4679B">
      <w:pPr>
        <w:spacing w:after="0" w:line="276" w:lineRule="auto"/>
      </w:pPr>
      <w:r w:rsidRPr="00FB5EBA">
        <w:t xml:space="preserve">SIGNED for and on behalf of </w:t>
      </w:r>
      <w:r w:rsidR="00457FD0">
        <w:t xml:space="preserve">the Government of </w:t>
      </w:r>
      <w:r w:rsidR="00935AEC">
        <w:t>the UK</w:t>
      </w:r>
      <w:r w:rsidRPr="00FB5EBA">
        <w:t>:</w:t>
      </w:r>
    </w:p>
    <w:p w14:paraId="3BCBA4C2" w14:textId="561066D0" w:rsidR="00631743" w:rsidRDefault="00631743" w:rsidP="00D4679B">
      <w:pPr>
        <w:spacing w:after="0" w:line="276" w:lineRule="auto"/>
      </w:pPr>
    </w:p>
    <w:p w14:paraId="4E451D4B" w14:textId="77777777" w:rsidR="007A069F" w:rsidRPr="00FB5EBA" w:rsidRDefault="007A069F" w:rsidP="00D4679B">
      <w:pPr>
        <w:spacing w:after="0" w:line="276" w:lineRule="auto"/>
      </w:pPr>
    </w:p>
    <w:p w14:paraId="0E7C87A9" w14:textId="77777777" w:rsidR="00631743" w:rsidRPr="00FB5EBA" w:rsidRDefault="00631743" w:rsidP="00D4679B">
      <w:pPr>
        <w:spacing w:after="0" w:line="276" w:lineRule="auto"/>
      </w:pPr>
    </w:p>
    <w:p w14:paraId="5A6D286C" w14:textId="77777777" w:rsidR="00631743" w:rsidRPr="00FB5EBA" w:rsidRDefault="00631743" w:rsidP="00D4679B">
      <w:pPr>
        <w:spacing w:after="0" w:line="276" w:lineRule="auto"/>
      </w:pPr>
      <w:r w:rsidRPr="00FB5EBA">
        <w:t>_________________________________</w:t>
      </w:r>
    </w:p>
    <w:p w14:paraId="28B4A2C2" w14:textId="77777777" w:rsidR="00631743" w:rsidRPr="00FB5EBA" w:rsidRDefault="00631743" w:rsidP="00D4679B">
      <w:pPr>
        <w:spacing w:after="0" w:line="276" w:lineRule="auto"/>
      </w:pPr>
    </w:p>
    <w:p w14:paraId="34D4B90E" w14:textId="0D195853" w:rsidR="00935AEC" w:rsidRDefault="00935AEC" w:rsidP="00935AEC">
      <w:pPr>
        <w:spacing w:after="0" w:line="276" w:lineRule="auto"/>
        <w:jc w:val="both"/>
      </w:pPr>
      <w:r>
        <w:t xml:space="preserve">The </w:t>
      </w:r>
      <w:r w:rsidRPr="00617078">
        <w:t>Rt Hon Philip Hammond MP</w:t>
      </w:r>
    </w:p>
    <w:p w14:paraId="205E0D3E" w14:textId="532ED9FD" w:rsidR="007A069F" w:rsidRPr="00D4679B" w:rsidRDefault="007A069F" w:rsidP="00935AEC">
      <w:pPr>
        <w:spacing w:after="0" w:line="276" w:lineRule="auto"/>
        <w:jc w:val="both"/>
      </w:pPr>
      <w:r w:rsidRPr="00D4679B">
        <w:t>Chancellor of the Exchequer</w:t>
      </w:r>
    </w:p>
    <w:p w14:paraId="5FCC19FD" w14:textId="707D2C4C" w:rsidR="00935AEC" w:rsidRPr="00D4679B" w:rsidRDefault="00935AEC" w:rsidP="00935AEC">
      <w:pPr>
        <w:spacing w:after="0" w:line="276" w:lineRule="auto"/>
        <w:jc w:val="both"/>
      </w:pPr>
    </w:p>
    <w:p w14:paraId="533FE583" w14:textId="4C819705" w:rsidR="00631743" w:rsidRPr="00D4679B" w:rsidRDefault="00D4679B" w:rsidP="00D4679B">
      <w:pPr>
        <w:spacing w:after="0" w:line="276" w:lineRule="auto"/>
      </w:pPr>
      <w:r>
        <w:t>S</w:t>
      </w:r>
      <w:r w:rsidR="00631743" w:rsidRPr="00D4679B">
        <w:t xml:space="preserve">IGNED for and on behalf of </w:t>
      </w:r>
      <w:r w:rsidR="004A2FC0">
        <w:t>the</w:t>
      </w:r>
      <w:r w:rsidR="00457FD0">
        <w:t xml:space="preserve"> Government of </w:t>
      </w:r>
      <w:r w:rsidR="00935AEC" w:rsidRPr="004A2FC0">
        <w:t>Australia</w:t>
      </w:r>
      <w:r w:rsidR="00631743" w:rsidRPr="00D4679B">
        <w:t>:</w:t>
      </w:r>
    </w:p>
    <w:p w14:paraId="5554C78D" w14:textId="77777777" w:rsidR="00D4679B" w:rsidRDefault="00D4679B" w:rsidP="00D4679B">
      <w:pPr>
        <w:spacing w:after="0" w:line="276" w:lineRule="auto"/>
      </w:pPr>
    </w:p>
    <w:p w14:paraId="30785AD1" w14:textId="228B6D51" w:rsidR="00D4679B" w:rsidRDefault="00D4679B" w:rsidP="00D4679B">
      <w:pPr>
        <w:spacing w:after="0" w:line="276" w:lineRule="auto"/>
      </w:pPr>
    </w:p>
    <w:p w14:paraId="59ED6F60" w14:textId="77777777" w:rsidR="007A069F" w:rsidRDefault="007A069F" w:rsidP="00D4679B">
      <w:pPr>
        <w:spacing w:after="0" w:line="276" w:lineRule="auto"/>
      </w:pPr>
    </w:p>
    <w:p w14:paraId="1440E1AA" w14:textId="77777777" w:rsidR="00D4679B" w:rsidRPr="00D4679B" w:rsidRDefault="00D4679B" w:rsidP="00D4679B">
      <w:pPr>
        <w:spacing w:after="0" w:line="276" w:lineRule="auto"/>
        <w:jc w:val="both"/>
      </w:pPr>
      <w:r w:rsidRPr="00D4679B">
        <w:t>__________________________________</w:t>
      </w:r>
    </w:p>
    <w:p w14:paraId="181DF327" w14:textId="77777777" w:rsidR="00D4679B" w:rsidRPr="00D4679B" w:rsidRDefault="00D4679B" w:rsidP="00D4679B">
      <w:pPr>
        <w:spacing w:after="0" w:line="276" w:lineRule="auto"/>
        <w:jc w:val="both"/>
      </w:pPr>
    </w:p>
    <w:p w14:paraId="5005E214" w14:textId="77777777" w:rsidR="00935AEC" w:rsidRPr="00FB5EBA" w:rsidRDefault="00935AEC" w:rsidP="00935AEC">
      <w:pPr>
        <w:spacing w:after="0" w:line="276" w:lineRule="auto"/>
      </w:pPr>
      <w:r w:rsidRPr="00FB5EBA">
        <w:t>The Hon Scott Morrison MP</w:t>
      </w:r>
    </w:p>
    <w:p w14:paraId="0CBEFAFA" w14:textId="77777777" w:rsidR="00935AEC" w:rsidRPr="00D4679B" w:rsidRDefault="00935AEC" w:rsidP="00935AEC">
      <w:pPr>
        <w:spacing w:after="0" w:line="276" w:lineRule="auto"/>
      </w:pPr>
      <w:r w:rsidRPr="00D4679B">
        <w:t>Treasurer</w:t>
      </w:r>
    </w:p>
    <w:p w14:paraId="15AEF6E7" w14:textId="77777777" w:rsidR="00D4679B" w:rsidRDefault="00D4679B" w:rsidP="00D4679B">
      <w:pPr>
        <w:spacing w:after="0" w:line="276" w:lineRule="auto"/>
        <w:sectPr w:rsidR="00D4679B" w:rsidSect="00FB5EBA">
          <w:type w:val="continuous"/>
          <w:pgSz w:w="11906" w:h="16838"/>
          <w:pgMar w:top="1440" w:right="1440" w:bottom="1440" w:left="1440" w:header="708" w:footer="708" w:gutter="0"/>
          <w:cols w:num="2" w:space="708"/>
          <w:docGrid w:linePitch="360"/>
        </w:sectPr>
      </w:pPr>
    </w:p>
    <w:p w14:paraId="7442CA97" w14:textId="77777777" w:rsidR="00D4679B" w:rsidRDefault="007F389D" w:rsidP="00D4679B">
      <w:pPr>
        <w:spacing w:after="0" w:line="276" w:lineRule="auto"/>
      </w:pPr>
      <w:r>
        <w:rPr>
          <w:noProof/>
          <w:lang w:val="en-AU" w:eastAsia="en-AU"/>
        </w:rPr>
        <w:lastRenderedPageBreak/>
        <w:drawing>
          <wp:anchor distT="0" distB="0" distL="114300" distR="114300" simplePos="0" relativeHeight="251660288" behindDoc="1" locked="0" layoutInCell="1" allowOverlap="1" wp14:anchorId="5D5E888B" wp14:editId="0EA931C3">
            <wp:simplePos x="0" y="0"/>
            <wp:positionH relativeFrom="column">
              <wp:posOffset>3063875</wp:posOffset>
            </wp:positionH>
            <wp:positionV relativeFrom="paragraph">
              <wp:posOffset>153670</wp:posOffset>
            </wp:positionV>
            <wp:extent cx="1435100" cy="749935"/>
            <wp:effectExtent l="0" t="0" r="0" b="0"/>
            <wp:wrapTight wrapText="bothSides">
              <wp:wrapPolygon edited="0">
                <wp:start x="10035" y="0"/>
                <wp:lineTo x="7742" y="1097"/>
                <wp:lineTo x="4301" y="6584"/>
                <wp:lineTo x="4301" y="8779"/>
                <wp:lineTo x="5448" y="17558"/>
                <wp:lineTo x="0" y="17558"/>
                <wp:lineTo x="0" y="20850"/>
                <wp:lineTo x="21218" y="20850"/>
                <wp:lineTo x="21218" y="17558"/>
                <wp:lineTo x="12616" y="17558"/>
                <wp:lineTo x="16630" y="10425"/>
                <wp:lineTo x="16917" y="6584"/>
                <wp:lineTo x="14910" y="3292"/>
                <wp:lineTo x="11182" y="0"/>
                <wp:lineTo x="10035" y="0"/>
              </wp:wrapPolygon>
            </wp:wrapTight>
            <wp:docPr id="3" name="Picture 3" descr="http://dfat.gov.au/about-us/corporate/PublishingImages/australian-government-stacked-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fat.gov.au/about-us/corporate/PublishingImages/australian-government-stacked-black.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5100" cy="749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62F86B" w14:textId="77777777" w:rsidR="00D4679B" w:rsidRDefault="004B574D" w:rsidP="00D4679B">
      <w:pPr>
        <w:spacing w:after="0" w:line="276" w:lineRule="auto"/>
      </w:pPr>
      <w:r>
        <w:rPr>
          <w:noProof/>
          <w:lang w:val="en-AU" w:eastAsia="en-AU"/>
        </w:rPr>
        <w:drawing>
          <wp:inline distT="0" distB="0" distL="0" distR="0" wp14:anchorId="0BE6C396" wp14:editId="2EE9F862">
            <wp:extent cx="1397000" cy="733425"/>
            <wp:effectExtent l="0" t="0" r="0" b="9525"/>
            <wp:docPr id="2" name="Picture 2"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4132" cy="737169"/>
                    </a:xfrm>
                    <a:prstGeom prst="rect">
                      <a:avLst/>
                    </a:prstGeom>
                    <a:noFill/>
                    <a:ln>
                      <a:noFill/>
                    </a:ln>
                  </pic:spPr>
                </pic:pic>
              </a:graphicData>
            </a:graphic>
          </wp:inline>
        </w:drawing>
      </w:r>
    </w:p>
    <w:sectPr w:rsidR="00D4679B" w:rsidSect="0063174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0A3BA" w14:textId="77777777" w:rsidR="005A3849" w:rsidRDefault="005A3849" w:rsidP="0011256E">
      <w:pPr>
        <w:spacing w:after="0" w:line="240" w:lineRule="auto"/>
      </w:pPr>
      <w:r>
        <w:separator/>
      </w:r>
    </w:p>
  </w:endnote>
  <w:endnote w:type="continuationSeparator" w:id="0">
    <w:p w14:paraId="016C0341" w14:textId="77777777" w:rsidR="005A3849" w:rsidRDefault="005A3849" w:rsidP="0011256E">
      <w:pPr>
        <w:spacing w:after="0" w:line="240" w:lineRule="auto"/>
      </w:pPr>
      <w:r>
        <w:continuationSeparator/>
      </w:r>
    </w:p>
  </w:endnote>
  <w:endnote w:type="continuationNotice" w:id="1">
    <w:p w14:paraId="5D22CD22" w14:textId="77777777" w:rsidR="005A3849" w:rsidRDefault="005A38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03A52" w14:textId="77777777" w:rsidR="00B16745" w:rsidRDefault="00B167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D4CF2E" w14:textId="77777777" w:rsidR="005A3849" w:rsidRDefault="005A3849" w:rsidP="0011256E">
      <w:pPr>
        <w:spacing w:after="0" w:line="240" w:lineRule="auto"/>
      </w:pPr>
      <w:r>
        <w:separator/>
      </w:r>
    </w:p>
  </w:footnote>
  <w:footnote w:type="continuationSeparator" w:id="0">
    <w:p w14:paraId="53F0EA84" w14:textId="77777777" w:rsidR="005A3849" w:rsidRDefault="005A3849" w:rsidP="0011256E">
      <w:pPr>
        <w:spacing w:after="0" w:line="240" w:lineRule="auto"/>
      </w:pPr>
      <w:r>
        <w:continuationSeparator/>
      </w:r>
    </w:p>
  </w:footnote>
  <w:footnote w:type="continuationNotice" w:id="1">
    <w:p w14:paraId="28AD363B" w14:textId="77777777" w:rsidR="005A3849" w:rsidRDefault="005A384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8E453" w14:textId="77777777" w:rsidR="00B16745" w:rsidRDefault="00B167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564"/>
    <w:multiLevelType w:val="hybridMultilevel"/>
    <w:tmpl w:val="70A60D6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A2D33A2"/>
    <w:multiLevelType w:val="hybridMultilevel"/>
    <w:tmpl w:val="166EE924"/>
    <w:lvl w:ilvl="0" w:tplc="08090001">
      <w:start w:val="1"/>
      <w:numFmt w:val="bullet"/>
      <w:lvlText w:val=""/>
      <w:lvlJc w:val="left"/>
      <w:pPr>
        <w:ind w:left="2208" w:hanging="360"/>
      </w:pPr>
      <w:rPr>
        <w:rFonts w:ascii="Symbol" w:hAnsi="Symbol" w:hint="default"/>
      </w:rPr>
    </w:lvl>
    <w:lvl w:ilvl="1" w:tplc="08090003">
      <w:start w:val="1"/>
      <w:numFmt w:val="bullet"/>
      <w:lvlText w:val="o"/>
      <w:lvlJc w:val="left"/>
      <w:pPr>
        <w:ind w:left="2928" w:hanging="360"/>
      </w:pPr>
      <w:rPr>
        <w:rFonts w:ascii="Courier New" w:hAnsi="Courier New" w:cs="Courier New" w:hint="default"/>
      </w:rPr>
    </w:lvl>
    <w:lvl w:ilvl="2" w:tplc="08090005">
      <w:start w:val="1"/>
      <w:numFmt w:val="bullet"/>
      <w:lvlText w:val=""/>
      <w:lvlJc w:val="left"/>
      <w:pPr>
        <w:ind w:left="3648" w:hanging="360"/>
      </w:pPr>
      <w:rPr>
        <w:rFonts w:ascii="Wingdings" w:hAnsi="Wingdings" w:hint="default"/>
      </w:rPr>
    </w:lvl>
    <w:lvl w:ilvl="3" w:tplc="08090001" w:tentative="1">
      <w:start w:val="1"/>
      <w:numFmt w:val="bullet"/>
      <w:lvlText w:val=""/>
      <w:lvlJc w:val="left"/>
      <w:pPr>
        <w:ind w:left="4368" w:hanging="360"/>
      </w:pPr>
      <w:rPr>
        <w:rFonts w:ascii="Symbol" w:hAnsi="Symbol" w:hint="default"/>
      </w:rPr>
    </w:lvl>
    <w:lvl w:ilvl="4" w:tplc="08090003" w:tentative="1">
      <w:start w:val="1"/>
      <w:numFmt w:val="bullet"/>
      <w:lvlText w:val="o"/>
      <w:lvlJc w:val="left"/>
      <w:pPr>
        <w:ind w:left="5088" w:hanging="360"/>
      </w:pPr>
      <w:rPr>
        <w:rFonts w:ascii="Courier New" w:hAnsi="Courier New" w:cs="Courier New" w:hint="default"/>
      </w:rPr>
    </w:lvl>
    <w:lvl w:ilvl="5" w:tplc="08090005" w:tentative="1">
      <w:start w:val="1"/>
      <w:numFmt w:val="bullet"/>
      <w:lvlText w:val=""/>
      <w:lvlJc w:val="left"/>
      <w:pPr>
        <w:ind w:left="5808" w:hanging="360"/>
      </w:pPr>
      <w:rPr>
        <w:rFonts w:ascii="Wingdings" w:hAnsi="Wingdings" w:hint="default"/>
      </w:rPr>
    </w:lvl>
    <w:lvl w:ilvl="6" w:tplc="08090001" w:tentative="1">
      <w:start w:val="1"/>
      <w:numFmt w:val="bullet"/>
      <w:lvlText w:val=""/>
      <w:lvlJc w:val="left"/>
      <w:pPr>
        <w:ind w:left="6528" w:hanging="360"/>
      </w:pPr>
      <w:rPr>
        <w:rFonts w:ascii="Symbol" w:hAnsi="Symbol" w:hint="default"/>
      </w:rPr>
    </w:lvl>
    <w:lvl w:ilvl="7" w:tplc="08090003" w:tentative="1">
      <w:start w:val="1"/>
      <w:numFmt w:val="bullet"/>
      <w:lvlText w:val="o"/>
      <w:lvlJc w:val="left"/>
      <w:pPr>
        <w:ind w:left="7248" w:hanging="360"/>
      </w:pPr>
      <w:rPr>
        <w:rFonts w:ascii="Courier New" w:hAnsi="Courier New" w:cs="Courier New" w:hint="default"/>
      </w:rPr>
    </w:lvl>
    <w:lvl w:ilvl="8" w:tplc="08090005" w:tentative="1">
      <w:start w:val="1"/>
      <w:numFmt w:val="bullet"/>
      <w:lvlText w:val=""/>
      <w:lvlJc w:val="left"/>
      <w:pPr>
        <w:ind w:left="7968" w:hanging="360"/>
      </w:pPr>
      <w:rPr>
        <w:rFonts w:ascii="Wingdings" w:hAnsi="Wingdings" w:hint="default"/>
      </w:rPr>
    </w:lvl>
  </w:abstractNum>
  <w:abstractNum w:abstractNumId="2">
    <w:nsid w:val="2FA225A9"/>
    <w:multiLevelType w:val="hybridMultilevel"/>
    <w:tmpl w:val="4ED0FEDC"/>
    <w:lvl w:ilvl="0" w:tplc="CB6EC22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8C2710"/>
    <w:multiLevelType w:val="multilevel"/>
    <w:tmpl w:val="189A5142"/>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nsid w:val="3CED0FD7"/>
    <w:multiLevelType w:val="hybridMultilevel"/>
    <w:tmpl w:val="C1402F3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43C05BEF"/>
    <w:multiLevelType w:val="multilevel"/>
    <w:tmpl w:val="B44C4600"/>
    <w:lvl w:ilvl="0">
      <w:start w:val="1"/>
      <w:numFmt w:val="decimal"/>
      <w:lvlText w:val="%1."/>
      <w:lvlJc w:val="left"/>
      <w:pPr>
        <w:ind w:left="360" w:hanging="360"/>
      </w:pPr>
    </w:lvl>
    <w:lvl w:ilvl="1">
      <w:start w:val="1"/>
      <w:numFmt w:val="decimal"/>
      <w:lvlText w:val="%1.%2."/>
      <w:lvlJc w:val="left"/>
      <w:pPr>
        <w:ind w:left="567" w:hanging="567"/>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7252B53"/>
    <w:multiLevelType w:val="hybridMultilevel"/>
    <w:tmpl w:val="78525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3621"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B193E18"/>
    <w:multiLevelType w:val="hybridMultilevel"/>
    <w:tmpl w:val="A80A0F5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nsid w:val="5C4169F3"/>
    <w:multiLevelType w:val="hybridMultilevel"/>
    <w:tmpl w:val="90521D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5D043AE9"/>
    <w:multiLevelType w:val="hybridMultilevel"/>
    <w:tmpl w:val="2064F708"/>
    <w:lvl w:ilvl="0" w:tplc="4B1E4D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375429D"/>
    <w:multiLevelType w:val="multilevel"/>
    <w:tmpl w:val="0EF05526"/>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4AF488E"/>
    <w:multiLevelType w:val="hybridMultilevel"/>
    <w:tmpl w:val="4F8E58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C09001B">
      <w:start w:val="1"/>
      <w:numFmt w:val="lowerRoman"/>
      <w:lvlText w:val="%3."/>
      <w:lvlJc w:val="right"/>
      <w:pPr>
        <w:ind w:left="928"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26D2129"/>
    <w:multiLevelType w:val="hybridMultilevel"/>
    <w:tmpl w:val="CC36E2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4"/>
  </w:num>
  <w:num w:numId="3">
    <w:abstractNumId w:val="8"/>
  </w:num>
  <w:num w:numId="4">
    <w:abstractNumId w:val="1"/>
  </w:num>
  <w:num w:numId="5">
    <w:abstractNumId w:val="7"/>
  </w:num>
  <w:num w:numId="6">
    <w:abstractNumId w:val="9"/>
  </w:num>
  <w:num w:numId="7">
    <w:abstractNumId w:val="6"/>
  </w:num>
  <w:num w:numId="8">
    <w:abstractNumId w:val="2"/>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B8D"/>
    <w:rsid w:val="00006D25"/>
    <w:rsid w:val="00015069"/>
    <w:rsid w:val="00033456"/>
    <w:rsid w:val="000352F5"/>
    <w:rsid w:val="00035C47"/>
    <w:rsid w:val="00045A3B"/>
    <w:rsid w:val="00045F69"/>
    <w:rsid w:val="00066E32"/>
    <w:rsid w:val="000854DA"/>
    <w:rsid w:val="000A12BB"/>
    <w:rsid w:val="000A7B52"/>
    <w:rsid w:val="000B0F62"/>
    <w:rsid w:val="000B162E"/>
    <w:rsid w:val="000B1BB7"/>
    <w:rsid w:val="000B4ED3"/>
    <w:rsid w:val="000C7CDC"/>
    <w:rsid w:val="000D3813"/>
    <w:rsid w:val="000D4575"/>
    <w:rsid w:val="000D4B8D"/>
    <w:rsid w:val="000D69F3"/>
    <w:rsid w:val="000E0B6F"/>
    <w:rsid w:val="000E0BC6"/>
    <w:rsid w:val="000F65BA"/>
    <w:rsid w:val="00100A71"/>
    <w:rsid w:val="0010750A"/>
    <w:rsid w:val="0011256E"/>
    <w:rsid w:val="0011268C"/>
    <w:rsid w:val="0011362F"/>
    <w:rsid w:val="00117746"/>
    <w:rsid w:val="00123255"/>
    <w:rsid w:val="001253AF"/>
    <w:rsid w:val="00126196"/>
    <w:rsid w:val="00145CA2"/>
    <w:rsid w:val="00153F04"/>
    <w:rsid w:val="00162BDC"/>
    <w:rsid w:val="0017167D"/>
    <w:rsid w:val="00183BC3"/>
    <w:rsid w:val="00191434"/>
    <w:rsid w:val="001964EC"/>
    <w:rsid w:val="00196A15"/>
    <w:rsid w:val="0019793A"/>
    <w:rsid w:val="001A0492"/>
    <w:rsid w:val="001A089D"/>
    <w:rsid w:val="001A16C1"/>
    <w:rsid w:val="001A5066"/>
    <w:rsid w:val="001A5253"/>
    <w:rsid w:val="001A7232"/>
    <w:rsid w:val="001B3460"/>
    <w:rsid w:val="001C0891"/>
    <w:rsid w:val="001C0D86"/>
    <w:rsid w:val="001C481C"/>
    <w:rsid w:val="001D2617"/>
    <w:rsid w:val="001D3954"/>
    <w:rsid w:val="0020101E"/>
    <w:rsid w:val="00207437"/>
    <w:rsid w:val="00223BAA"/>
    <w:rsid w:val="00226D07"/>
    <w:rsid w:val="00227073"/>
    <w:rsid w:val="002313BE"/>
    <w:rsid w:val="002425F8"/>
    <w:rsid w:val="002549D2"/>
    <w:rsid w:val="002608C8"/>
    <w:rsid w:val="00261CE1"/>
    <w:rsid w:val="00275612"/>
    <w:rsid w:val="002841F3"/>
    <w:rsid w:val="002843A4"/>
    <w:rsid w:val="002A2089"/>
    <w:rsid w:val="002B3610"/>
    <w:rsid w:val="002B3DAA"/>
    <w:rsid w:val="002B785E"/>
    <w:rsid w:val="002C0049"/>
    <w:rsid w:val="002C226D"/>
    <w:rsid w:val="002C7935"/>
    <w:rsid w:val="002D1ADE"/>
    <w:rsid w:val="002D47E1"/>
    <w:rsid w:val="00302027"/>
    <w:rsid w:val="0030233A"/>
    <w:rsid w:val="0030453C"/>
    <w:rsid w:val="003051D4"/>
    <w:rsid w:val="00315BEA"/>
    <w:rsid w:val="00317006"/>
    <w:rsid w:val="003323B2"/>
    <w:rsid w:val="00340681"/>
    <w:rsid w:val="003444E5"/>
    <w:rsid w:val="0035525F"/>
    <w:rsid w:val="00382032"/>
    <w:rsid w:val="0038215E"/>
    <w:rsid w:val="00386EDE"/>
    <w:rsid w:val="003A0849"/>
    <w:rsid w:val="003B494E"/>
    <w:rsid w:val="003C2935"/>
    <w:rsid w:val="003D05B6"/>
    <w:rsid w:val="003D1671"/>
    <w:rsid w:val="003D7708"/>
    <w:rsid w:val="003E4854"/>
    <w:rsid w:val="003F5720"/>
    <w:rsid w:val="00401C5E"/>
    <w:rsid w:val="004138E4"/>
    <w:rsid w:val="00414414"/>
    <w:rsid w:val="004203B5"/>
    <w:rsid w:val="00427E47"/>
    <w:rsid w:val="0044661C"/>
    <w:rsid w:val="004564F7"/>
    <w:rsid w:val="00456802"/>
    <w:rsid w:val="00457157"/>
    <w:rsid w:val="00457FD0"/>
    <w:rsid w:val="004638AE"/>
    <w:rsid w:val="004710BC"/>
    <w:rsid w:val="004767D7"/>
    <w:rsid w:val="004850F2"/>
    <w:rsid w:val="0048535E"/>
    <w:rsid w:val="004952AE"/>
    <w:rsid w:val="00495EF5"/>
    <w:rsid w:val="004A2FC0"/>
    <w:rsid w:val="004A7D54"/>
    <w:rsid w:val="004B2B2B"/>
    <w:rsid w:val="004B574D"/>
    <w:rsid w:val="004D4F4A"/>
    <w:rsid w:val="004D78FA"/>
    <w:rsid w:val="004D7AEF"/>
    <w:rsid w:val="00501FF1"/>
    <w:rsid w:val="005046C1"/>
    <w:rsid w:val="00511055"/>
    <w:rsid w:val="00511732"/>
    <w:rsid w:val="00514C48"/>
    <w:rsid w:val="00516B02"/>
    <w:rsid w:val="00516D1F"/>
    <w:rsid w:val="00523E16"/>
    <w:rsid w:val="005274A5"/>
    <w:rsid w:val="0054489A"/>
    <w:rsid w:val="0054496A"/>
    <w:rsid w:val="005603BF"/>
    <w:rsid w:val="005637A0"/>
    <w:rsid w:val="00563C36"/>
    <w:rsid w:val="00566211"/>
    <w:rsid w:val="00567021"/>
    <w:rsid w:val="00597D30"/>
    <w:rsid w:val="005A3762"/>
    <w:rsid w:val="005A3849"/>
    <w:rsid w:val="005B1A4A"/>
    <w:rsid w:val="005B4E93"/>
    <w:rsid w:val="005D1B5E"/>
    <w:rsid w:val="005E687C"/>
    <w:rsid w:val="005F0BE1"/>
    <w:rsid w:val="005F1511"/>
    <w:rsid w:val="00601C4B"/>
    <w:rsid w:val="00613F41"/>
    <w:rsid w:val="0061507B"/>
    <w:rsid w:val="00620E2A"/>
    <w:rsid w:val="0062319A"/>
    <w:rsid w:val="00631743"/>
    <w:rsid w:val="00631AF9"/>
    <w:rsid w:val="00640588"/>
    <w:rsid w:val="00640749"/>
    <w:rsid w:val="00661324"/>
    <w:rsid w:val="00673776"/>
    <w:rsid w:val="00685F2D"/>
    <w:rsid w:val="00692860"/>
    <w:rsid w:val="00695C9E"/>
    <w:rsid w:val="00695DB1"/>
    <w:rsid w:val="00697998"/>
    <w:rsid w:val="006A3E6B"/>
    <w:rsid w:val="006B14C3"/>
    <w:rsid w:val="006C3C1E"/>
    <w:rsid w:val="006C684E"/>
    <w:rsid w:val="006C7262"/>
    <w:rsid w:val="006D3E36"/>
    <w:rsid w:val="006D43AE"/>
    <w:rsid w:val="006D54CC"/>
    <w:rsid w:val="006E7B52"/>
    <w:rsid w:val="006F2271"/>
    <w:rsid w:val="006F380C"/>
    <w:rsid w:val="006F49B6"/>
    <w:rsid w:val="0070395E"/>
    <w:rsid w:val="00712E34"/>
    <w:rsid w:val="007157C5"/>
    <w:rsid w:val="00723A14"/>
    <w:rsid w:val="00730825"/>
    <w:rsid w:val="00730DA8"/>
    <w:rsid w:val="007312F7"/>
    <w:rsid w:val="00735017"/>
    <w:rsid w:val="00747217"/>
    <w:rsid w:val="00755585"/>
    <w:rsid w:val="00761C74"/>
    <w:rsid w:val="00762CDF"/>
    <w:rsid w:val="0076444E"/>
    <w:rsid w:val="0076492D"/>
    <w:rsid w:val="00773879"/>
    <w:rsid w:val="0078068E"/>
    <w:rsid w:val="00781241"/>
    <w:rsid w:val="00781BC6"/>
    <w:rsid w:val="00783633"/>
    <w:rsid w:val="00783F88"/>
    <w:rsid w:val="00785B18"/>
    <w:rsid w:val="007933B2"/>
    <w:rsid w:val="007A069F"/>
    <w:rsid w:val="007A37D6"/>
    <w:rsid w:val="007A45BC"/>
    <w:rsid w:val="007A4D87"/>
    <w:rsid w:val="007B27D0"/>
    <w:rsid w:val="007B2AA6"/>
    <w:rsid w:val="007C2CD2"/>
    <w:rsid w:val="007C54D3"/>
    <w:rsid w:val="007C5729"/>
    <w:rsid w:val="007D111A"/>
    <w:rsid w:val="007D3DD4"/>
    <w:rsid w:val="007D76EF"/>
    <w:rsid w:val="007E5F21"/>
    <w:rsid w:val="007F16B2"/>
    <w:rsid w:val="007F1BDE"/>
    <w:rsid w:val="007F389D"/>
    <w:rsid w:val="007F7A79"/>
    <w:rsid w:val="00800985"/>
    <w:rsid w:val="00803AB1"/>
    <w:rsid w:val="0083066B"/>
    <w:rsid w:val="00836CCA"/>
    <w:rsid w:val="008402E6"/>
    <w:rsid w:val="00844264"/>
    <w:rsid w:val="00851B73"/>
    <w:rsid w:val="00851B92"/>
    <w:rsid w:val="00856D1E"/>
    <w:rsid w:val="008604ED"/>
    <w:rsid w:val="00860537"/>
    <w:rsid w:val="00864B13"/>
    <w:rsid w:val="00865C03"/>
    <w:rsid w:val="0088382E"/>
    <w:rsid w:val="008925C0"/>
    <w:rsid w:val="008927AE"/>
    <w:rsid w:val="00897B43"/>
    <w:rsid w:val="008A5AFF"/>
    <w:rsid w:val="008B61D0"/>
    <w:rsid w:val="008B6632"/>
    <w:rsid w:val="008B7353"/>
    <w:rsid w:val="008C124B"/>
    <w:rsid w:val="008F5C65"/>
    <w:rsid w:val="009014E9"/>
    <w:rsid w:val="00904D0A"/>
    <w:rsid w:val="00904E65"/>
    <w:rsid w:val="009067CB"/>
    <w:rsid w:val="00907B70"/>
    <w:rsid w:val="00925325"/>
    <w:rsid w:val="0092610A"/>
    <w:rsid w:val="00926CA7"/>
    <w:rsid w:val="00927232"/>
    <w:rsid w:val="009274FF"/>
    <w:rsid w:val="00931571"/>
    <w:rsid w:val="00933A3B"/>
    <w:rsid w:val="00935AEC"/>
    <w:rsid w:val="009523A9"/>
    <w:rsid w:val="009527D6"/>
    <w:rsid w:val="0095570B"/>
    <w:rsid w:val="00955A4B"/>
    <w:rsid w:val="00960400"/>
    <w:rsid w:val="00961045"/>
    <w:rsid w:val="00962CB2"/>
    <w:rsid w:val="00965884"/>
    <w:rsid w:val="00967444"/>
    <w:rsid w:val="00972480"/>
    <w:rsid w:val="00976385"/>
    <w:rsid w:val="0097741D"/>
    <w:rsid w:val="00977937"/>
    <w:rsid w:val="009802C4"/>
    <w:rsid w:val="009804A4"/>
    <w:rsid w:val="009822D4"/>
    <w:rsid w:val="009827BF"/>
    <w:rsid w:val="009833E5"/>
    <w:rsid w:val="009837EE"/>
    <w:rsid w:val="009D08DF"/>
    <w:rsid w:val="009D778D"/>
    <w:rsid w:val="009D7C68"/>
    <w:rsid w:val="009F7E52"/>
    <w:rsid w:val="00A02A37"/>
    <w:rsid w:val="00A0486F"/>
    <w:rsid w:val="00A04DBD"/>
    <w:rsid w:val="00A06215"/>
    <w:rsid w:val="00A15DE2"/>
    <w:rsid w:val="00A368D3"/>
    <w:rsid w:val="00A3696E"/>
    <w:rsid w:val="00A376B4"/>
    <w:rsid w:val="00A4524F"/>
    <w:rsid w:val="00A47CFC"/>
    <w:rsid w:val="00A53270"/>
    <w:rsid w:val="00A5433D"/>
    <w:rsid w:val="00A564A7"/>
    <w:rsid w:val="00A61B3F"/>
    <w:rsid w:val="00A61E1D"/>
    <w:rsid w:val="00A62ABC"/>
    <w:rsid w:val="00A6690C"/>
    <w:rsid w:val="00A843FC"/>
    <w:rsid w:val="00A84EEA"/>
    <w:rsid w:val="00A90357"/>
    <w:rsid w:val="00A9480D"/>
    <w:rsid w:val="00A957A4"/>
    <w:rsid w:val="00AB3708"/>
    <w:rsid w:val="00AB4C6D"/>
    <w:rsid w:val="00AD5A89"/>
    <w:rsid w:val="00AD5A9F"/>
    <w:rsid w:val="00AE506E"/>
    <w:rsid w:val="00AE790F"/>
    <w:rsid w:val="00AF0077"/>
    <w:rsid w:val="00AF10F1"/>
    <w:rsid w:val="00B13C4A"/>
    <w:rsid w:val="00B1540B"/>
    <w:rsid w:val="00B16745"/>
    <w:rsid w:val="00B23510"/>
    <w:rsid w:val="00B2690B"/>
    <w:rsid w:val="00B308F5"/>
    <w:rsid w:val="00B32076"/>
    <w:rsid w:val="00B4023B"/>
    <w:rsid w:val="00B41029"/>
    <w:rsid w:val="00B419EC"/>
    <w:rsid w:val="00B45616"/>
    <w:rsid w:val="00B60683"/>
    <w:rsid w:val="00B6381F"/>
    <w:rsid w:val="00B752CF"/>
    <w:rsid w:val="00B75F64"/>
    <w:rsid w:val="00B812E3"/>
    <w:rsid w:val="00B85D30"/>
    <w:rsid w:val="00B86F4D"/>
    <w:rsid w:val="00B91B1E"/>
    <w:rsid w:val="00B92FA7"/>
    <w:rsid w:val="00B9716F"/>
    <w:rsid w:val="00BA0967"/>
    <w:rsid w:val="00BA5D92"/>
    <w:rsid w:val="00BA7838"/>
    <w:rsid w:val="00BB2498"/>
    <w:rsid w:val="00BB6B6B"/>
    <w:rsid w:val="00BC1233"/>
    <w:rsid w:val="00BC5999"/>
    <w:rsid w:val="00BC6B9D"/>
    <w:rsid w:val="00BE0CB7"/>
    <w:rsid w:val="00C0019F"/>
    <w:rsid w:val="00C06F4A"/>
    <w:rsid w:val="00C14B26"/>
    <w:rsid w:val="00C17000"/>
    <w:rsid w:val="00C2243A"/>
    <w:rsid w:val="00C56BEE"/>
    <w:rsid w:val="00C619E5"/>
    <w:rsid w:val="00C66CB8"/>
    <w:rsid w:val="00C719B3"/>
    <w:rsid w:val="00C80325"/>
    <w:rsid w:val="00C815F8"/>
    <w:rsid w:val="00C9039D"/>
    <w:rsid w:val="00C913C3"/>
    <w:rsid w:val="00C93E9C"/>
    <w:rsid w:val="00C9550C"/>
    <w:rsid w:val="00C97AE3"/>
    <w:rsid w:val="00CA0146"/>
    <w:rsid w:val="00CA5991"/>
    <w:rsid w:val="00CA6502"/>
    <w:rsid w:val="00CA685B"/>
    <w:rsid w:val="00CA7725"/>
    <w:rsid w:val="00CA7DE4"/>
    <w:rsid w:val="00CB22A4"/>
    <w:rsid w:val="00CC538A"/>
    <w:rsid w:val="00CC582F"/>
    <w:rsid w:val="00CD4277"/>
    <w:rsid w:val="00CE17BC"/>
    <w:rsid w:val="00CE2CC6"/>
    <w:rsid w:val="00CF217A"/>
    <w:rsid w:val="00D052C5"/>
    <w:rsid w:val="00D07C3E"/>
    <w:rsid w:val="00D108F4"/>
    <w:rsid w:val="00D15029"/>
    <w:rsid w:val="00D25621"/>
    <w:rsid w:val="00D25D1C"/>
    <w:rsid w:val="00D2678F"/>
    <w:rsid w:val="00D35FEC"/>
    <w:rsid w:val="00D4679B"/>
    <w:rsid w:val="00D7510D"/>
    <w:rsid w:val="00D77425"/>
    <w:rsid w:val="00D86A80"/>
    <w:rsid w:val="00D90387"/>
    <w:rsid w:val="00D96151"/>
    <w:rsid w:val="00D96ADC"/>
    <w:rsid w:val="00DB4145"/>
    <w:rsid w:val="00DB6A7B"/>
    <w:rsid w:val="00DE2AC0"/>
    <w:rsid w:val="00DF2F4B"/>
    <w:rsid w:val="00DF56F4"/>
    <w:rsid w:val="00E01D12"/>
    <w:rsid w:val="00E04E43"/>
    <w:rsid w:val="00E129C2"/>
    <w:rsid w:val="00E171B2"/>
    <w:rsid w:val="00E203E2"/>
    <w:rsid w:val="00E259DA"/>
    <w:rsid w:val="00E30B82"/>
    <w:rsid w:val="00E367FE"/>
    <w:rsid w:val="00E44BC5"/>
    <w:rsid w:val="00E464FA"/>
    <w:rsid w:val="00E47198"/>
    <w:rsid w:val="00E47D7C"/>
    <w:rsid w:val="00E5397C"/>
    <w:rsid w:val="00E64831"/>
    <w:rsid w:val="00E6555C"/>
    <w:rsid w:val="00E733A9"/>
    <w:rsid w:val="00E76B8D"/>
    <w:rsid w:val="00E91E96"/>
    <w:rsid w:val="00EA57B1"/>
    <w:rsid w:val="00ED0E53"/>
    <w:rsid w:val="00ED1B6B"/>
    <w:rsid w:val="00ED7044"/>
    <w:rsid w:val="00EE1A2A"/>
    <w:rsid w:val="00EE1C3D"/>
    <w:rsid w:val="00EE5ACB"/>
    <w:rsid w:val="00EF0D78"/>
    <w:rsid w:val="00F0402B"/>
    <w:rsid w:val="00F0715A"/>
    <w:rsid w:val="00F12EC9"/>
    <w:rsid w:val="00F20ABA"/>
    <w:rsid w:val="00F25FD3"/>
    <w:rsid w:val="00F328CB"/>
    <w:rsid w:val="00F45EC1"/>
    <w:rsid w:val="00F47FBC"/>
    <w:rsid w:val="00F506FC"/>
    <w:rsid w:val="00F5630B"/>
    <w:rsid w:val="00F64C61"/>
    <w:rsid w:val="00F70819"/>
    <w:rsid w:val="00F76EDA"/>
    <w:rsid w:val="00F81BF2"/>
    <w:rsid w:val="00F85784"/>
    <w:rsid w:val="00F9471F"/>
    <w:rsid w:val="00F94DDF"/>
    <w:rsid w:val="00FB31E8"/>
    <w:rsid w:val="00FB36D4"/>
    <w:rsid w:val="00FB3F9B"/>
    <w:rsid w:val="00FB5EBA"/>
    <w:rsid w:val="00FC2142"/>
    <w:rsid w:val="00FC6D13"/>
    <w:rsid w:val="00FC7449"/>
    <w:rsid w:val="00FD0028"/>
    <w:rsid w:val="00FD46B4"/>
    <w:rsid w:val="00FD4F36"/>
    <w:rsid w:val="00FE0C4C"/>
    <w:rsid w:val="00FE130D"/>
    <w:rsid w:val="00FF008C"/>
    <w:rsid w:val="00FF15F3"/>
    <w:rsid w:val="00FF49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0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293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0395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C80325"/>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Colorful List - Accent 11,No Spacing1,List Paragraph Char Char Char,Indicator Text,Numbered Para 1,Bullet 1,F5 List Paragraph,List Paragraph1,Bullet Points,List Paragraph2,MAIN CONTENT,List Paragraph12,OBC Bullet,List Paragraph11,L"/>
    <w:basedOn w:val="Normal"/>
    <w:link w:val="ListParagraphChar"/>
    <w:uiPriority w:val="34"/>
    <w:qFormat/>
    <w:rsid w:val="000D4B8D"/>
    <w:pPr>
      <w:ind w:left="720"/>
      <w:contextualSpacing/>
    </w:pPr>
  </w:style>
  <w:style w:type="paragraph" w:styleId="PlainText">
    <w:name w:val="Plain Text"/>
    <w:basedOn w:val="Normal"/>
    <w:link w:val="PlainTextChar"/>
    <w:uiPriority w:val="99"/>
    <w:semiHidden/>
    <w:unhideWhenUsed/>
    <w:rsid w:val="000D4B8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0D4B8D"/>
    <w:rPr>
      <w:rFonts w:ascii="Calibri" w:hAnsi="Calibri" w:cs="Consolas"/>
      <w:szCs w:val="21"/>
    </w:rPr>
  </w:style>
  <w:style w:type="character" w:styleId="CommentReference">
    <w:name w:val="annotation reference"/>
    <w:basedOn w:val="DefaultParagraphFont"/>
    <w:uiPriority w:val="99"/>
    <w:semiHidden/>
    <w:unhideWhenUsed/>
    <w:rsid w:val="000D4B8D"/>
    <w:rPr>
      <w:sz w:val="16"/>
      <w:szCs w:val="16"/>
    </w:rPr>
  </w:style>
  <w:style w:type="paragraph" w:styleId="CommentText">
    <w:name w:val="annotation text"/>
    <w:basedOn w:val="Normal"/>
    <w:link w:val="CommentTextChar"/>
    <w:uiPriority w:val="99"/>
    <w:unhideWhenUsed/>
    <w:rsid w:val="000D4B8D"/>
    <w:pPr>
      <w:spacing w:line="240" w:lineRule="auto"/>
    </w:pPr>
    <w:rPr>
      <w:sz w:val="20"/>
      <w:szCs w:val="20"/>
    </w:rPr>
  </w:style>
  <w:style w:type="character" w:customStyle="1" w:styleId="CommentTextChar">
    <w:name w:val="Comment Text Char"/>
    <w:basedOn w:val="DefaultParagraphFont"/>
    <w:link w:val="CommentText"/>
    <w:uiPriority w:val="99"/>
    <w:rsid w:val="000D4B8D"/>
    <w:rPr>
      <w:sz w:val="20"/>
      <w:szCs w:val="20"/>
    </w:rPr>
  </w:style>
  <w:style w:type="paragraph" w:styleId="BalloonText">
    <w:name w:val="Balloon Text"/>
    <w:basedOn w:val="Normal"/>
    <w:link w:val="BalloonTextChar"/>
    <w:uiPriority w:val="99"/>
    <w:semiHidden/>
    <w:unhideWhenUsed/>
    <w:rsid w:val="000D4B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B8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F7E52"/>
    <w:rPr>
      <w:b/>
      <w:bCs/>
    </w:rPr>
  </w:style>
  <w:style w:type="character" w:customStyle="1" w:styleId="CommentSubjectChar">
    <w:name w:val="Comment Subject Char"/>
    <w:basedOn w:val="CommentTextChar"/>
    <w:link w:val="CommentSubject"/>
    <w:uiPriority w:val="99"/>
    <w:semiHidden/>
    <w:rsid w:val="009F7E52"/>
    <w:rPr>
      <w:b/>
      <w:bCs/>
      <w:sz w:val="20"/>
      <w:szCs w:val="20"/>
    </w:rPr>
  </w:style>
  <w:style w:type="character" w:customStyle="1" w:styleId="Heading2Char">
    <w:name w:val="Heading 2 Char"/>
    <w:basedOn w:val="DefaultParagraphFont"/>
    <w:link w:val="Heading2"/>
    <w:uiPriority w:val="9"/>
    <w:rsid w:val="0070395E"/>
    <w:rPr>
      <w:rFonts w:asciiTheme="majorHAnsi" w:eastAsiaTheme="majorEastAsia" w:hAnsiTheme="majorHAnsi" w:cstheme="majorBidi"/>
      <w:b/>
      <w:bCs/>
      <w:color w:val="4472C4" w:themeColor="accent1"/>
      <w:sz w:val="26"/>
      <w:szCs w:val="26"/>
    </w:rPr>
  </w:style>
  <w:style w:type="paragraph" w:customStyle="1" w:styleId="Bullet">
    <w:name w:val="Bullet"/>
    <w:basedOn w:val="Normal"/>
    <w:link w:val="BulletChar"/>
    <w:qFormat/>
    <w:rsid w:val="00695C9E"/>
    <w:pPr>
      <w:numPr>
        <w:numId w:val="9"/>
      </w:numPr>
      <w:spacing w:before="120" w:after="240" w:line="276" w:lineRule="auto"/>
    </w:pPr>
    <w:rPr>
      <w:rFonts w:eastAsia="Times New Roman" w:cs="Times New Roman"/>
      <w:szCs w:val="20"/>
      <w:lang w:val="en-AU" w:eastAsia="en-AU"/>
    </w:rPr>
  </w:style>
  <w:style w:type="paragraph" w:customStyle="1" w:styleId="Dash">
    <w:name w:val="Dash"/>
    <w:basedOn w:val="Normal"/>
    <w:qFormat/>
    <w:rsid w:val="00695C9E"/>
    <w:pPr>
      <w:numPr>
        <w:ilvl w:val="1"/>
        <w:numId w:val="9"/>
      </w:numPr>
      <w:spacing w:before="120" w:after="240" w:line="276" w:lineRule="auto"/>
    </w:pPr>
    <w:rPr>
      <w:rFonts w:eastAsia="Times New Roman" w:cs="Times New Roman"/>
      <w:szCs w:val="20"/>
      <w:lang w:val="en-AU" w:eastAsia="en-AU"/>
    </w:rPr>
  </w:style>
  <w:style w:type="paragraph" w:customStyle="1" w:styleId="DoubleDot">
    <w:name w:val="Double Dot"/>
    <w:basedOn w:val="Normal"/>
    <w:qFormat/>
    <w:rsid w:val="00695C9E"/>
    <w:pPr>
      <w:numPr>
        <w:ilvl w:val="2"/>
        <w:numId w:val="9"/>
      </w:numPr>
      <w:spacing w:before="120" w:after="240" w:line="276" w:lineRule="auto"/>
    </w:pPr>
    <w:rPr>
      <w:rFonts w:eastAsia="Times New Roman" w:cs="Times New Roman"/>
      <w:szCs w:val="20"/>
      <w:lang w:val="en-AU" w:eastAsia="en-AU"/>
    </w:rPr>
  </w:style>
  <w:style w:type="numbering" w:customStyle="1" w:styleId="BulletedList">
    <w:name w:val="Bulleted List"/>
    <w:uiPriority w:val="99"/>
    <w:rsid w:val="00695C9E"/>
    <w:pPr>
      <w:numPr>
        <w:numId w:val="9"/>
      </w:numPr>
    </w:pPr>
  </w:style>
  <w:style w:type="character" w:customStyle="1" w:styleId="BulletChar">
    <w:name w:val="Bullet Char"/>
    <w:basedOn w:val="DefaultParagraphFont"/>
    <w:link w:val="Bullet"/>
    <w:locked/>
    <w:rsid w:val="00695C9E"/>
    <w:rPr>
      <w:rFonts w:eastAsia="Times New Roman" w:cs="Times New Roman"/>
      <w:szCs w:val="20"/>
      <w:lang w:val="en-AU" w:eastAsia="en-AU"/>
    </w:rPr>
  </w:style>
  <w:style w:type="paragraph" w:styleId="Revision">
    <w:name w:val="Revision"/>
    <w:hidden/>
    <w:uiPriority w:val="99"/>
    <w:semiHidden/>
    <w:rsid w:val="0044661C"/>
    <w:pPr>
      <w:spacing w:after="0" w:line="240" w:lineRule="auto"/>
    </w:pPr>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Bullet Points Char,List Paragraph2 Char"/>
    <w:basedOn w:val="DefaultParagraphFont"/>
    <w:link w:val="ListParagraph"/>
    <w:uiPriority w:val="34"/>
    <w:qFormat/>
    <w:locked/>
    <w:rsid w:val="00A843FC"/>
  </w:style>
  <w:style w:type="paragraph" w:customStyle="1" w:styleId="OutlineNumbered1">
    <w:name w:val="Outline Numbered 1"/>
    <w:basedOn w:val="Normal"/>
    <w:link w:val="OutlineNumbered1Char"/>
    <w:rsid w:val="00162BDC"/>
    <w:pPr>
      <w:numPr>
        <w:numId w:val="11"/>
      </w:numPr>
    </w:pPr>
  </w:style>
  <w:style w:type="character" w:customStyle="1" w:styleId="OutlineNumbered1Char">
    <w:name w:val="Outline Numbered 1 Char"/>
    <w:basedOn w:val="DefaultParagraphFont"/>
    <w:link w:val="OutlineNumbered1"/>
    <w:rsid w:val="00162BDC"/>
  </w:style>
  <w:style w:type="paragraph" w:customStyle="1" w:styleId="OutlineNumbered2">
    <w:name w:val="Outline Numbered 2"/>
    <w:basedOn w:val="Normal"/>
    <w:link w:val="OutlineNumbered2Char"/>
    <w:rsid w:val="00162BDC"/>
    <w:pPr>
      <w:numPr>
        <w:ilvl w:val="1"/>
        <w:numId w:val="11"/>
      </w:numPr>
    </w:pPr>
  </w:style>
  <w:style w:type="character" w:customStyle="1" w:styleId="OutlineNumbered2Char">
    <w:name w:val="Outline Numbered 2 Char"/>
    <w:basedOn w:val="DefaultParagraphFont"/>
    <w:link w:val="OutlineNumbered2"/>
    <w:rsid w:val="00162BDC"/>
  </w:style>
  <w:style w:type="paragraph" w:customStyle="1" w:styleId="OutlineNumbered3">
    <w:name w:val="Outline Numbered 3"/>
    <w:basedOn w:val="Normal"/>
    <w:link w:val="OutlineNumbered3Char"/>
    <w:rsid w:val="00162BDC"/>
    <w:pPr>
      <w:numPr>
        <w:ilvl w:val="2"/>
        <w:numId w:val="11"/>
      </w:numPr>
    </w:pPr>
  </w:style>
  <w:style w:type="character" w:customStyle="1" w:styleId="OutlineNumbered3Char">
    <w:name w:val="Outline Numbered 3 Char"/>
    <w:basedOn w:val="DefaultParagraphFont"/>
    <w:link w:val="OutlineNumbered3"/>
    <w:rsid w:val="00162BDC"/>
  </w:style>
  <w:style w:type="character" w:customStyle="1" w:styleId="Heading1Char">
    <w:name w:val="Heading 1 Char"/>
    <w:basedOn w:val="DefaultParagraphFont"/>
    <w:link w:val="Heading1"/>
    <w:uiPriority w:val="9"/>
    <w:rsid w:val="003C2935"/>
    <w:rPr>
      <w:rFonts w:asciiTheme="majorHAnsi" w:eastAsiaTheme="majorEastAsia" w:hAnsiTheme="majorHAnsi" w:cstheme="majorBidi"/>
      <w:b/>
      <w:bCs/>
      <w:color w:val="2F5496" w:themeColor="accent1" w:themeShade="BF"/>
      <w:sz w:val="28"/>
      <w:szCs w:val="28"/>
    </w:rPr>
  </w:style>
  <w:style w:type="character" w:customStyle="1" w:styleId="Heading3Char">
    <w:name w:val="Heading 3 Char"/>
    <w:basedOn w:val="DefaultParagraphFont"/>
    <w:link w:val="Heading3"/>
    <w:uiPriority w:val="9"/>
    <w:rsid w:val="00C80325"/>
    <w:rPr>
      <w:rFonts w:asciiTheme="majorHAnsi" w:eastAsiaTheme="majorEastAsia" w:hAnsiTheme="majorHAnsi" w:cstheme="majorBidi"/>
      <w:b/>
      <w:bCs/>
      <w:color w:val="4472C4" w:themeColor="accent1"/>
    </w:rPr>
  </w:style>
  <w:style w:type="paragraph" w:styleId="NormalWeb">
    <w:name w:val="Normal (Web)"/>
    <w:basedOn w:val="Normal"/>
    <w:uiPriority w:val="99"/>
    <w:semiHidden/>
    <w:unhideWhenUsed/>
    <w:rsid w:val="00631743"/>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Header">
    <w:name w:val="header"/>
    <w:basedOn w:val="Normal"/>
    <w:link w:val="HeaderChar"/>
    <w:uiPriority w:val="99"/>
    <w:unhideWhenUsed/>
    <w:rsid w:val="001125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56E"/>
  </w:style>
  <w:style w:type="paragraph" w:styleId="Footer">
    <w:name w:val="footer"/>
    <w:basedOn w:val="Normal"/>
    <w:link w:val="FooterChar"/>
    <w:uiPriority w:val="99"/>
    <w:unhideWhenUsed/>
    <w:rsid w:val="001125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5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293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0395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C80325"/>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Colorful List - Accent 11,No Spacing1,List Paragraph Char Char Char,Indicator Text,Numbered Para 1,Bullet 1,F5 List Paragraph,List Paragraph1,Bullet Points,List Paragraph2,MAIN CONTENT,List Paragraph12,OBC Bullet,List Paragraph11,L"/>
    <w:basedOn w:val="Normal"/>
    <w:link w:val="ListParagraphChar"/>
    <w:uiPriority w:val="34"/>
    <w:qFormat/>
    <w:rsid w:val="000D4B8D"/>
    <w:pPr>
      <w:ind w:left="720"/>
      <w:contextualSpacing/>
    </w:pPr>
  </w:style>
  <w:style w:type="paragraph" w:styleId="PlainText">
    <w:name w:val="Plain Text"/>
    <w:basedOn w:val="Normal"/>
    <w:link w:val="PlainTextChar"/>
    <w:uiPriority w:val="99"/>
    <w:semiHidden/>
    <w:unhideWhenUsed/>
    <w:rsid w:val="000D4B8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0D4B8D"/>
    <w:rPr>
      <w:rFonts w:ascii="Calibri" w:hAnsi="Calibri" w:cs="Consolas"/>
      <w:szCs w:val="21"/>
    </w:rPr>
  </w:style>
  <w:style w:type="character" w:styleId="CommentReference">
    <w:name w:val="annotation reference"/>
    <w:basedOn w:val="DefaultParagraphFont"/>
    <w:uiPriority w:val="99"/>
    <w:semiHidden/>
    <w:unhideWhenUsed/>
    <w:rsid w:val="000D4B8D"/>
    <w:rPr>
      <w:sz w:val="16"/>
      <w:szCs w:val="16"/>
    </w:rPr>
  </w:style>
  <w:style w:type="paragraph" w:styleId="CommentText">
    <w:name w:val="annotation text"/>
    <w:basedOn w:val="Normal"/>
    <w:link w:val="CommentTextChar"/>
    <w:uiPriority w:val="99"/>
    <w:unhideWhenUsed/>
    <w:rsid w:val="000D4B8D"/>
    <w:pPr>
      <w:spacing w:line="240" w:lineRule="auto"/>
    </w:pPr>
    <w:rPr>
      <w:sz w:val="20"/>
      <w:szCs w:val="20"/>
    </w:rPr>
  </w:style>
  <w:style w:type="character" w:customStyle="1" w:styleId="CommentTextChar">
    <w:name w:val="Comment Text Char"/>
    <w:basedOn w:val="DefaultParagraphFont"/>
    <w:link w:val="CommentText"/>
    <w:uiPriority w:val="99"/>
    <w:rsid w:val="000D4B8D"/>
    <w:rPr>
      <w:sz w:val="20"/>
      <w:szCs w:val="20"/>
    </w:rPr>
  </w:style>
  <w:style w:type="paragraph" w:styleId="BalloonText">
    <w:name w:val="Balloon Text"/>
    <w:basedOn w:val="Normal"/>
    <w:link w:val="BalloonTextChar"/>
    <w:uiPriority w:val="99"/>
    <w:semiHidden/>
    <w:unhideWhenUsed/>
    <w:rsid w:val="000D4B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B8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F7E52"/>
    <w:rPr>
      <w:b/>
      <w:bCs/>
    </w:rPr>
  </w:style>
  <w:style w:type="character" w:customStyle="1" w:styleId="CommentSubjectChar">
    <w:name w:val="Comment Subject Char"/>
    <w:basedOn w:val="CommentTextChar"/>
    <w:link w:val="CommentSubject"/>
    <w:uiPriority w:val="99"/>
    <w:semiHidden/>
    <w:rsid w:val="009F7E52"/>
    <w:rPr>
      <w:b/>
      <w:bCs/>
      <w:sz w:val="20"/>
      <w:szCs w:val="20"/>
    </w:rPr>
  </w:style>
  <w:style w:type="character" w:customStyle="1" w:styleId="Heading2Char">
    <w:name w:val="Heading 2 Char"/>
    <w:basedOn w:val="DefaultParagraphFont"/>
    <w:link w:val="Heading2"/>
    <w:uiPriority w:val="9"/>
    <w:rsid w:val="0070395E"/>
    <w:rPr>
      <w:rFonts w:asciiTheme="majorHAnsi" w:eastAsiaTheme="majorEastAsia" w:hAnsiTheme="majorHAnsi" w:cstheme="majorBidi"/>
      <w:b/>
      <w:bCs/>
      <w:color w:val="4472C4" w:themeColor="accent1"/>
      <w:sz w:val="26"/>
      <w:szCs w:val="26"/>
    </w:rPr>
  </w:style>
  <w:style w:type="paragraph" w:customStyle="1" w:styleId="Bullet">
    <w:name w:val="Bullet"/>
    <w:basedOn w:val="Normal"/>
    <w:link w:val="BulletChar"/>
    <w:qFormat/>
    <w:rsid w:val="00695C9E"/>
    <w:pPr>
      <w:numPr>
        <w:numId w:val="9"/>
      </w:numPr>
      <w:spacing w:before="120" w:after="240" w:line="276" w:lineRule="auto"/>
    </w:pPr>
    <w:rPr>
      <w:rFonts w:eastAsia="Times New Roman" w:cs="Times New Roman"/>
      <w:szCs w:val="20"/>
      <w:lang w:val="en-AU" w:eastAsia="en-AU"/>
    </w:rPr>
  </w:style>
  <w:style w:type="paragraph" w:customStyle="1" w:styleId="Dash">
    <w:name w:val="Dash"/>
    <w:basedOn w:val="Normal"/>
    <w:qFormat/>
    <w:rsid w:val="00695C9E"/>
    <w:pPr>
      <w:numPr>
        <w:ilvl w:val="1"/>
        <w:numId w:val="9"/>
      </w:numPr>
      <w:spacing w:before="120" w:after="240" w:line="276" w:lineRule="auto"/>
    </w:pPr>
    <w:rPr>
      <w:rFonts w:eastAsia="Times New Roman" w:cs="Times New Roman"/>
      <w:szCs w:val="20"/>
      <w:lang w:val="en-AU" w:eastAsia="en-AU"/>
    </w:rPr>
  </w:style>
  <w:style w:type="paragraph" w:customStyle="1" w:styleId="DoubleDot">
    <w:name w:val="Double Dot"/>
    <w:basedOn w:val="Normal"/>
    <w:qFormat/>
    <w:rsid w:val="00695C9E"/>
    <w:pPr>
      <w:numPr>
        <w:ilvl w:val="2"/>
        <w:numId w:val="9"/>
      </w:numPr>
      <w:spacing w:before="120" w:after="240" w:line="276" w:lineRule="auto"/>
    </w:pPr>
    <w:rPr>
      <w:rFonts w:eastAsia="Times New Roman" w:cs="Times New Roman"/>
      <w:szCs w:val="20"/>
      <w:lang w:val="en-AU" w:eastAsia="en-AU"/>
    </w:rPr>
  </w:style>
  <w:style w:type="numbering" w:customStyle="1" w:styleId="BulletedList">
    <w:name w:val="Bulleted List"/>
    <w:uiPriority w:val="99"/>
    <w:rsid w:val="00695C9E"/>
    <w:pPr>
      <w:numPr>
        <w:numId w:val="9"/>
      </w:numPr>
    </w:pPr>
  </w:style>
  <w:style w:type="character" w:customStyle="1" w:styleId="BulletChar">
    <w:name w:val="Bullet Char"/>
    <w:basedOn w:val="DefaultParagraphFont"/>
    <w:link w:val="Bullet"/>
    <w:locked/>
    <w:rsid w:val="00695C9E"/>
    <w:rPr>
      <w:rFonts w:eastAsia="Times New Roman" w:cs="Times New Roman"/>
      <w:szCs w:val="20"/>
      <w:lang w:val="en-AU" w:eastAsia="en-AU"/>
    </w:rPr>
  </w:style>
  <w:style w:type="paragraph" w:styleId="Revision">
    <w:name w:val="Revision"/>
    <w:hidden/>
    <w:uiPriority w:val="99"/>
    <w:semiHidden/>
    <w:rsid w:val="0044661C"/>
    <w:pPr>
      <w:spacing w:after="0" w:line="240" w:lineRule="auto"/>
    </w:pPr>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Bullet Points Char,List Paragraph2 Char"/>
    <w:basedOn w:val="DefaultParagraphFont"/>
    <w:link w:val="ListParagraph"/>
    <w:uiPriority w:val="34"/>
    <w:qFormat/>
    <w:locked/>
    <w:rsid w:val="00A843FC"/>
  </w:style>
  <w:style w:type="paragraph" w:customStyle="1" w:styleId="OutlineNumbered1">
    <w:name w:val="Outline Numbered 1"/>
    <w:basedOn w:val="Normal"/>
    <w:link w:val="OutlineNumbered1Char"/>
    <w:rsid w:val="00162BDC"/>
    <w:pPr>
      <w:numPr>
        <w:numId w:val="11"/>
      </w:numPr>
    </w:pPr>
  </w:style>
  <w:style w:type="character" w:customStyle="1" w:styleId="OutlineNumbered1Char">
    <w:name w:val="Outline Numbered 1 Char"/>
    <w:basedOn w:val="DefaultParagraphFont"/>
    <w:link w:val="OutlineNumbered1"/>
    <w:rsid w:val="00162BDC"/>
  </w:style>
  <w:style w:type="paragraph" w:customStyle="1" w:styleId="OutlineNumbered2">
    <w:name w:val="Outline Numbered 2"/>
    <w:basedOn w:val="Normal"/>
    <w:link w:val="OutlineNumbered2Char"/>
    <w:rsid w:val="00162BDC"/>
    <w:pPr>
      <w:numPr>
        <w:ilvl w:val="1"/>
        <w:numId w:val="11"/>
      </w:numPr>
    </w:pPr>
  </w:style>
  <w:style w:type="character" w:customStyle="1" w:styleId="OutlineNumbered2Char">
    <w:name w:val="Outline Numbered 2 Char"/>
    <w:basedOn w:val="DefaultParagraphFont"/>
    <w:link w:val="OutlineNumbered2"/>
    <w:rsid w:val="00162BDC"/>
  </w:style>
  <w:style w:type="paragraph" w:customStyle="1" w:styleId="OutlineNumbered3">
    <w:name w:val="Outline Numbered 3"/>
    <w:basedOn w:val="Normal"/>
    <w:link w:val="OutlineNumbered3Char"/>
    <w:rsid w:val="00162BDC"/>
    <w:pPr>
      <w:numPr>
        <w:ilvl w:val="2"/>
        <w:numId w:val="11"/>
      </w:numPr>
    </w:pPr>
  </w:style>
  <w:style w:type="character" w:customStyle="1" w:styleId="OutlineNumbered3Char">
    <w:name w:val="Outline Numbered 3 Char"/>
    <w:basedOn w:val="DefaultParagraphFont"/>
    <w:link w:val="OutlineNumbered3"/>
    <w:rsid w:val="00162BDC"/>
  </w:style>
  <w:style w:type="character" w:customStyle="1" w:styleId="Heading1Char">
    <w:name w:val="Heading 1 Char"/>
    <w:basedOn w:val="DefaultParagraphFont"/>
    <w:link w:val="Heading1"/>
    <w:uiPriority w:val="9"/>
    <w:rsid w:val="003C2935"/>
    <w:rPr>
      <w:rFonts w:asciiTheme="majorHAnsi" w:eastAsiaTheme="majorEastAsia" w:hAnsiTheme="majorHAnsi" w:cstheme="majorBidi"/>
      <w:b/>
      <w:bCs/>
      <w:color w:val="2F5496" w:themeColor="accent1" w:themeShade="BF"/>
      <w:sz w:val="28"/>
      <w:szCs w:val="28"/>
    </w:rPr>
  </w:style>
  <w:style w:type="character" w:customStyle="1" w:styleId="Heading3Char">
    <w:name w:val="Heading 3 Char"/>
    <w:basedOn w:val="DefaultParagraphFont"/>
    <w:link w:val="Heading3"/>
    <w:uiPriority w:val="9"/>
    <w:rsid w:val="00C80325"/>
    <w:rPr>
      <w:rFonts w:asciiTheme="majorHAnsi" w:eastAsiaTheme="majorEastAsia" w:hAnsiTheme="majorHAnsi" w:cstheme="majorBidi"/>
      <w:b/>
      <w:bCs/>
      <w:color w:val="4472C4" w:themeColor="accent1"/>
    </w:rPr>
  </w:style>
  <w:style w:type="paragraph" w:styleId="NormalWeb">
    <w:name w:val="Normal (Web)"/>
    <w:basedOn w:val="Normal"/>
    <w:uiPriority w:val="99"/>
    <w:semiHidden/>
    <w:unhideWhenUsed/>
    <w:rsid w:val="00631743"/>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Header">
    <w:name w:val="header"/>
    <w:basedOn w:val="Normal"/>
    <w:link w:val="HeaderChar"/>
    <w:uiPriority w:val="99"/>
    <w:unhideWhenUsed/>
    <w:rsid w:val="001125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56E"/>
  </w:style>
  <w:style w:type="paragraph" w:styleId="Footer">
    <w:name w:val="footer"/>
    <w:basedOn w:val="Normal"/>
    <w:link w:val="FooterChar"/>
    <w:uiPriority w:val="99"/>
    <w:unhideWhenUsed/>
    <w:rsid w:val="001125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7532">
      <w:bodyDiv w:val="1"/>
      <w:marLeft w:val="0"/>
      <w:marRight w:val="0"/>
      <w:marTop w:val="0"/>
      <w:marBottom w:val="0"/>
      <w:divBdr>
        <w:top w:val="none" w:sz="0" w:space="0" w:color="auto"/>
        <w:left w:val="none" w:sz="0" w:space="0" w:color="auto"/>
        <w:bottom w:val="none" w:sz="0" w:space="0" w:color="auto"/>
        <w:right w:val="none" w:sz="0" w:space="0" w:color="auto"/>
      </w:divBdr>
    </w:div>
    <w:div w:id="122189573">
      <w:bodyDiv w:val="1"/>
      <w:marLeft w:val="0"/>
      <w:marRight w:val="0"/>
      <w:marTop w:val="0"/>
      <w:marBottom w:val="0"/>
      <w:divBdr>
        <w:top w:val="none" w:sz="0" w:space="0" w:color="auto"/>
        <w:left w:val="none" w:sz="0" w:space="0" w:color="auto"/>
        <w:bottom w:val="none" w:sz="0" w:space="0" w:color="auto"/>
        <w:right w:val="none" w:sz="0" w:space="0" w:color="auto"/>
      </w:divBdr>
    </w:div>
    <w:div w:id="169026633">
      <w:bodyDiv w:val="1"/>
      <w:marLeft w:val="0"/>
      <w:marRight w:val="0"/>
      <w:marTop w:val="0"/>
      <w:marBottom w:val="0"/>
      <w:divBdr>
        <w:top w:val="none" w:sz="0" w:space="0" w:color="auto"/>
        <w:left w:val="none" w:sz="0" w:space="0" w:color="auto"/>
        <w:bottom w:val="none" w:sz="0" w:space="0" w:color="auto"/>
        <w:right w:val="none" w:sz="0" w:space="0" w:color="auto"/>
      </w:divBdr>
    </w:div>
    <w:div w:id="224534954">
      <w:bodyDiv w:val="1"/>
      <w:marLeft w:val="0"/>
      <w:marRight w:val="0"/>
      <w:marTop w:val="0"/>
      <w:marBottom w:val="0"/>
      <w:divBdr>
        <w:top w:val="none" w:sz="0" w:space="0" w:color="auto"/>
        <w:left w:val="none" w:sz="0" w:space="0" w:color="auto"/>
        <w:bottom w:val="none" w:sz="0" w:space="0" w:color="auto"/>
        <w:right w:val="none" w:sz="0" w:space="0" w:color="auto"/>
      </w:divBdr>
    </w:div>
    <w:div w:id="312833967">
      <w:bodyDiv w:val="1"/>
      <w:marLeft w:val="0"/>
      <w:marRight w:val="0"/>
      <w:marTop w:val="0"/>
      <w:marBottom w:val="0"/>
      <w:divBdr>
        <w:top w:val="none" w:sz="0" w:space="0" w:color="auto"/>
        <w:left w:val="none" w:sz="0" w:space="0" w:color="auto"/>
        <w:bottom w:val="none" w:sz="0" w:space="0" w:color="auto"/>
        <w:right w:val="none" w:sz="0" w:space="0" w:color="auto"/>
      </w:divBdr>
    </w:div>
    <w:div w:id="529954043">
      <w:bodyDiv w:val="1"/>
      <w:marLeft w:val="0"/>
      <w:marRight w:val="0"/>
      <w:marTop w:val="0"/>
      <w:marBottom w:val="0"/>
      <w:divBdr>
        <w:top w:val="none" w:sz="0" w:space="0" w:color="auto"/>
        <w:left w:val="none" w:sz="0" w:space="0" w:color="auto"/>
        <w:bottom w:val="none" w:sz="0" w:space="0" w:color="auto"/>
        <w:right w:val="none" w:sz="0" w:space="0" w:color="auto"/>
      </w:divBdr>
    </w:div>
    <w:div w:id="534583142">
      <w:bodyDiv w:val="1"/>
      <w:marLeft w:val="0"/>
      <w:marRight w:val="0"/>
      <w:marTop w:val="0"/>
      <w:marBottom w:val="0"/>
      <w:divBdr>
        <w:top w:val="none" w:sz="0" w:space="0" w:color="auto"/>
        <w:left w:val="none" w:sz="0" w:space="0" w:color="auto"/>
        <w:bottom w:val="none" w:sz="0" w:space="0" w:color="auto"/>
        <w:right w:val="none" w:sz="0" w:space="0" w:color="auto"/>
      </w:divBdr>
    </w:div>
    <w:div w:id="571621376">
      <w:bodyDiv w:val="1"/>
      <w:marLeft w:val="0"/>
      <w:marRight w:val="0"/>
      <w:marTop w:val="0"/>
      <w:marBottom w:val="0"/>
      <w:divBdr>
        <w:top w:val="none" w:sz="0" w:space="0" w:color="auto"/>
        <w:left w:val="none" w:sz="0" w:space="0" w:color="auto"/>
        <w:bottom w:val="none" w:sz="0" w:space="0" w:color="auto"/>
        <w:right w:val="none" w:sz="0" w:space="0" w:color="auto"/>
      </w:divBdr>
    </w:div>
    <w:div w:id="639773560">
      <w:bodyDiv w:val="1"/>
      <w:marLeft w:val="0"/>
      <w:marRight w:val="0"/>
      <w:marTop w:val="0"/>
      <w:marBottom w:val="0"/>
      <w:divBdr>
        <w:top w:val="none" w:sz="0" w:space="0" w:color="auto"/>
        <w:left w:val="none" w:sz="0" w:space="0" w:color="auto"/>
        <w:bottom w:val="none" w:sz="0" w:space="0" w:color="auto"/>
        <w:right w:val="none" w:sz="0" w:space="0" w:color="auto"/>
      </w:divBdr>
    </w:div>
    <w:div w:id="832796448">
      <w:bodyDiv w:val="1"/>
      <w:marLeft w:val="0"/>
      <w:marRight w:val="0"/>
      <w:marTop w:val="0"/>
      <w:marBottom w:val="0"/>
      <w:divBdr>
        <w:top w:val="none" w:sz="0" w:space="0" w:color="auto"/>
        <w:left w:val="none" w:sz="0" w:space="0" w:color="auto"/>
        <w:bottom w:val="none" w:sz="0" w:space="0" w:color="auto"/>
        <w:right w:val="none" w:sz="0" w:space="0" w:color="auto"/>
      </w:divBdr>
    </w:div>
    <w:div w:id="1238856990">
      <w:bodyDiv w:val="1"/>
      <w:marLeft w:val="0"/>
      <w:marRight w:val="0"/>
      <w:marTop w:val="0"/>
      <w:marBottom w:val="0"/>
      <w:divBdr>
        <w:top w:val="none" w:sz="0" w:space="0" w:color="auto"/>
        <w:left w:val="none" w:sz="0" w:space="0" w:color="auto"/>
        <w:bottom w:val="none" w:sz="0" w:space="0" w:color="auto"/>
        <w:right w:val="none" w:sz="0" w:space="0" w:color="auto"/>
      </w:divBdr>
    </w:div>
    <w:div w:id="1288320877">
      <w:bodyDiv w:val="1"/>
      <w:marLeft w:val="0"/>
      <w:marRight w:val="0"/>
      <w:marTop w:val="0"/>
      <w:marBottom w:val="0"/>
      <w:divBdr>
        <w:top w:val="none" w:sz="0" w:space="0" w:color="auto"/>
        <w:left w:val="none" w:sz="0" w:space="0" w:color="auto"/>
        <w:bottom w:val="none" w:sz="0" w:space="0" w:color="auto"/>
        <w:right w:val="none" w:sz="0" w:space="0" w:color="auto"/>
      </w:divBdr>
    </w:div>
    <w:div w:id="1540125162">
      <w:bodyDiv w:val="1"/>
      <w:marLeft w:val="0"/>
      <w:marRight w:val="0"/>
      <w:marTop w:val="0"/>
      <w:marBottom w:val="0"/>
      <w:divBdr>
        <w:top w:val="none" w:sz="0" w:space="0" w:color="auto"/>
        <w:left w:val="none" w:sz="0" w:space="0" w:color="auto"/>
        <w:bottom w:val="none" w:sz="0" w:space="0" w:color="auto"/>
        <w:right w:val="none" w:sz="0" w:space="0" w:color="auto"/>
      </w:divBdr>
    </w:div>
    <w:div w:id="1777749018">
      <w:bodyDiv w:val="1"/>
      <w:marLeft w:val="0"/>
      <w:marRight w:val="0"/>
      <w:marTop w:val="0"/>
      <w:marBottom w:val="0"/>
      <w:divBdr>
        <w:top w:val="none" w:sz="0" w:space="0" w:color="auto"/>
        <w:left w:val="none" w:sz="0" w:space="0" w:color="auto"/>
        <w:bottom w:val="none" w:sz="0" w:space="0" w:color="auto"/>
        <w:right w:val="none" w:sz="0" w:space="0" w:color="auto"/>
      </w:divBdr>
    </w:div>
    <w:div w:id="1828011786">
      <w:bodyDiv w:val="1"/>
      <w:marLeft w:val="0"/>
      <w:marRight w:val="0"/>
      <w:marTop w:val="0"/>
      <w:marBottom w:val="0"/>
      <w:divBdr>
        <w:top w:val="none" w:sz="0" w:space="0" w:color="auto"/>
        <w:left w:val="none" w:sz="0" w:space="0" w:color="auto"/>
        <w:bottom w:val="none" w:sz="0" w:space="0" w:color="auto"/>
        <w:right w:val="none" w:sz="0" w:space="0" w:color="auto"/>
      </w:divBdr>
    </w:div>
    <w:div w:id="1842619400">
      <w:bodyDiv w:val="1"/>
      <w:marLeft w:val="0"/>
      <w:marRight w:val="0"/>
      <w:marTop w:val="0"/>
      <w:marBottom w:val="0"/>
      <w:divBdr>
        <w:top w:val="none" w:sz="0" w:space="0" w:color="auto"/>
        <w:left w:val="none" w:sz="0" w:space="0" w:color="auto"/>
        <w:bottom w:val="none" w:sz="0" w:space="0" w:color="auto"/>
        <w:right w:val="none" w:sz="0" w:space="0" w:color="auto"/>
      </w:divBdr>
    </w:div>
    <w:div w:id="202147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114F2EA74E46AF4AB3D11AA23F0DACD2" ma:contentTypeVersion="9928" ma:contentTypeDescription=" " ma:contentTypeScope="" ma:versionID="0cd9b26a1b81da59485a92224635fd28">
  <xsd:schema xmlns:xsd="http://www.w3.org/2001/XMLSchema" xmlns:xs="http://www.w3.org/2001/XMLSchema" xmlns:p="http://schemas.microsoft.com/office/2006/metadata/properties" xmlns:ns1="http://schemas.microsoft.com/sharepoint/v3" xmlns:ns2="d4dd4adf-ddb3-46a3-8d7c-fab3fb2a6bc7" xmlns:ns3="73145ffa-26c3-4f49-8968-9a615fc305ab" xmlns:ns4="http://schemas.microsoft.com/sharepoint/v4" targetNamespace="http://schemas.microsoft.com/office/2006/metadata/properties" ma:root="true" ma:fieldsID="ed0affb95875f4b3ef5751baf3724ef4" ns1:_="" ns2:_="" ns3:_="" ns4:_="">
    <xsd:import namespace="http://schemas.microsoft.com/sharepoint/v3"/>
    <xsd:import namespace="d4dd4adf-ddb3-46a3-8d7c-fab3fb2a6bc7"/>
    <xsd:import namespace="73145ffa-26c3-4f49-8968-9a615fc305a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3:URL" minOccurs="0"/>
                <xsd:element ref="ns3:Web"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9"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145ffa-26c3-4f49-8968-9a615fc305ab" elementFormDefault="qualified">
    <xsd:import namespace="http://schemas.microsoft.com/office/2006/documentManagement/types"/>
    <xsd:import namespace="http://schemas.microsoft.com/office/infopath/2007/PartnerControls"/>
    <xsd:element name="URL" ma:index="17"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Web" ma:index="18" nillable="true" ma:displayName="Web" ma:format="Hyperlink" ma:internalName="Web">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2</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URL xmlns="73145ffa-26c3-4f49-8968-9a615fc305ab">
      <Url xsi:nil="true"/>
      <Description xsi:nil="true"/>
    </URL>
    <Web xmlns="73145ffa-26c3-4f49-8968-9a615fc305ab">
      <Url xsi:nil="true"/>
      <Description xsi:nil="true"/>
    </Web>
    <_dlc_DocId xmlns="d4dd4adf-ddb3-46a3-8d7c-fab3fb2a6bc7">2018MG-100-33407</_dlc_DocId>
    <_dlc_DocIdUrl xmlns="d4dd4adf-ddb3-46a3-8d7c-fab3fb2a6bc7">
      <Url>http://tweb13/sites/mg/fsd/_layouts/15/DocIdRedir.aspx?ID=2018MG-100-33407</Url>
      <Description>2018MG-100-33407</Description>
    </_dlc_DocIdUrl>
  </documentManagement>
</p:properties>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34682-7CAC-4F98-9B4B-49204AB202A6}">
  <ds:schemaRefs>
    <ds:schemaRef ds:uri="http://schemas.microsoft.com/sharepoint/events"/>
  </ds:schemaRefs>
</ds:datastoreItem>
</file>

<file path=customXml/itemProps2.xml><?xml version="1.0" encoding="utf-8"?>
<ds:datastoreItem xmlns:ds="http://schemas.openxmlformats.org/officeDocument/2006/customXml" ds:itemID="{47023C57-1AEF-4308-9A01-CB85E1F19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73145ffa-26c3-4f49-8968-9a615fc305a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E75EA6-0F95-424B-B5CC-11D2469C4C43}">
  <ds:schemaRefs>
    <ds:schemaRef ds:uri="http://schemas.microsoft.com/sharepoint/v3/contenttype/forms"/>
  </ds:schemaRefs>
</ds:datastoreItem>
</file>

<file path=customXml/itemProps4.xml><?xml version="1.0" encoding="utf-8"?>
<ds:datastoreItem xmlns:ds="http://schemas.openxmlformats.org/officeDocument/2006/customXml" ds:itemID="{E35D8889-7581-4460-9149-C9B663A4B344}">
  <ds:schemaRefs>
    <ds:schemaRef ds:uri="office.server.policy"/>
  </ds:schemaRefs>
</ds:datastoreItem>
</file>

<file path=customXml/itemProps5.xml><?xml version="1.0" encoding="utf-8"?>
<ds:datastoreItem xmlns:ds="http://schemas.openxmlformats.org/officeDocument/2006/customXml" ds:itemID="{598348CD-F242-4042-A53F-18DD91FD0197}">
  <ds:schemaRefs>
    <ds:schemaRef ds:uri="http://purl.org/dc/elements/1.1/"/>
    <ds:schemaRef ds:uri="http://schemas.microsoft.com/office/2006/metadata/properties"/>
    <ds:schemaRef ds:uri="http://purl.org/dc/dcmitype/"/>
    <ds:schemaRef ds:uri="73145ffa-26c3-4f49-8968-9a615fc305ab"/>
    <ds:schemaRef ds:uri="http://schemas.microsoft.com/office/2006/documentManagement/types"/>
    <ds:schemaRef ds:uri="http://purl.org/dc/terms/"/>
    <ds:schemaRef ds:uri="http://schemas.microsoft.com/sharepoint/v4"/>
    <ds:schemaRef ds:uri="d4dd4adf-ddb3-46a3-8d7c-fab3fb2a6bc7"/>
    <ds:schemaRef ds:uri="http://schemas.openxmlformats.org/package/2006/metadata/core-properties"/>
    <ds:schemaRef ds:uri="http://schemas.microsoft.com/office/infopath/2007/PartnerControls"/>
    <ds:schemaRef ds:uri="http://schemas.microsoft.com/sharepoint/v3"/>
    <ds:schemaRef ds:uri="http://www.w3.org/XML/1998/namespace"/>
  </ds:schemaRefs>
</ds:datastoreItem>
</file>

<file path=customXml/itemProps6.xml><?xml version="1.0" encoding="utf-8"?>
<ds:datastoreItem xmlns:ds="http://schemas.openxmlformats.org/officeDocument/2006/customXml" ds:itemID="{FB6F31CE-19C7-4CCA-BFCB-D73199DBDC19}">
  <ds:schemaRefs>
    <ds:schemaRef ds:uri="http://schemas.microsoft.com/sharepoint/events"/>
  </ds:schemaRefs>
</ds:datastoreItem>
</file>

<file path=customXml/itemProps7.xml><?xml version="1.0" encoding="utf-8"?>
<ds:datastoreItem xmlns:ds="http://schemas.openxmlformats.org/officeDocument/2006/customXml" ds:itemID="{7B3659DF-B641-4224-8202-B01E3870A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2548</Words>
  <Characters>14525</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Australian Treasury</dc:creator>
  <cp:lastModifiedBy>Thomas, Deborah</cp:lastModifiedBy>
  <cp:revision>2</cp:revision>
  <cp:lastPrinted>2018-02-22T07:29:00Z</cp:lastPrinted>
  <dcterms:created xsi:type="dcterms:W3CDTF">2018-03-21T06:15:00Z</dcterms:created>
  <dcterms:modified xsi:type="dcterms:W3CDTF">2018-03-21T06:15:00Z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0x010100E95D40E5DFEA714B90E88DB5CE07A6B500114F2EA74E46AF4AB3D11AA23F0DACD2</vt:lpwstr>
  </property>
  <property fmtid="{D5CDD505-2E9C-101B-9397-08002B2CF9AE}" pid="3" name="TSYRecordClass">
    <vt:lpwstr>2;#TSY RA-9081 - Retain as national archives|bbf0bcde-1687-4ff2-bc57-f31b5d545d4b</vt:lpwstr>
  </property>
  <property fmtid="{D5CDD505-2E9C-101B-9397-08002B2CF9AE}" pid="4" name="TitusGUID">
    <vt:lpwstr>6ecbc640-db05-4b6d-9472-61b5398d5008</vt:lpwstr>
  </property>
  <property fmtid="{D5CDD505-2E9C-101B-9397-08002B2CF9AE}" pid="5" name="SEC">
    <vt:lpwstr>UNCLASSIFIED</vt:lpwstr>
  </property>
  <property fmtid="{D5CDD505-2E9C-101B-9397-08002B2CF9AE}" pid="6" name="DLM">
    <vt:lpwstr>No DLM</vt:lpwstr>
  </property>
  <property fmtid="{D5CDD505-2E9C-101B-9397-08002B2CF9AE}" pid="7" name="_dlc_DocIdItemGuid">
    <vt:lpwstr>66c789fc-2261-444a-a38c-cccce36fc8db</vt:lpwstr>
  </property>
  <property fmtid="{D5CDD505-2E9C-101B-9397-08002B2CF9AE}" pid="8" name="_NewReviewCycle">
    <vt:lpwstr/>
  </property>
  <property fmtid="{D5CDD505-2E9C-101B-9397-08002B2CF9AE}" pid="9" name="_AdHocReviewCycleID">
    <vt:i4>1203619617</vt:i4>
  </property>
  <property fmtid="{D5CDD505-2E9C-101B-9397-08002B2CF9AE}" pid="10" name="_EmailSubject">
    <vt:lpwstr>FinTech website updates [SEC=UNCLASSIFIED]</vt:lpwstr>
  </property>
  <property fmtid="{D5CDD505-2E9C-101B-9397-08002B2CF9AE}" pid="11" name="_AuthorEmail">
    <vt:lpwstr>Alexander.Woloszyn@treasury.gov.au</vt:lpwstr>
  </property>
  <property fmtid="{D5CDD505-2E9C-101B-9397-08002B2CF9AE}" pid="12" name="_AuthorEmailDisplayName">
    <vt:lpwstr>Woloszyn, Alexander</vt:lpwstr>
  </property>
  <property fmtid="{D5CDD505-2E9C-101B-9397-08002B2CF9AE}" pid="13" name="_ReviewingToolsShownOnce">
    <vt:lpwstr/>
  </property>
</Properties>
</file>