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40388" w14:textId="77777777" w:rsidR="004A4D56" w:rsidRPr="00891792" w:rsidRDefault="004A4D56" w:rsidP="004A4D56">
      <w:pPr>
        <w:jc w:val="center"/>
        <w:rPr>
          <w:rFonts w:eastAsia="Calibri" w:cstheme="minorHAnsi"/>
          <w:b/>
          <w:sz w:val="44"/>
          <w:szCs w:val="44"/>
        </w:rPr>
      </w:pPr>
      <w:bookmarkStart w:id="0" w:name="_GoBack"/>
      <w:bookmarkEnd w:id="0"/>
      <w:r w:rsidRPr="00891792">
        <w:rPr>
          <w:rFonts w:eastAsia="Calibri" w:cstheme="minorHAnsi"/>
          <w:b/>
          <w:sz w:val="44"/>
          <w:szCs w:val="44"/>
        </w:rPr>
        <w:t>BLACK ECONOMY ADVISORY BOARD</w:t>
      </w:r>
    </w:p>
    <w:p w14:paraId="18C83D7E" w14:textId="77777777" w:rsidR="004A4D56" w:rsidRPr="00891792" w:rsidRDefault="004A4D56" w:rsidP="004A4D56">
      <w:pPr>
        <w:jc w:val="center"/>
        <w:rPr>
          <w:rFonts w:eastAsia="Calibri" w:cstheme="minorHAnsi"/>
          <w:b/>
          <w:sz w:val="44"/>
          <w:szCs w:val="44"/>
        </w:rPr>
      </w:pPr>
      <w:r w:rsidRPr="00891792">
        <w:rPr>
          <w:rFonts w:eastAsia="Calibri" w:cstheme="minorHAnsi"/>
          <w:b/>
          <w:sz w:val="44"/>
          <w:szCs w:val="44"/>
        </w:rPr>
        <w:t>MINUTES OF MEETING #4</w:t>
      </w:r>
    </w:p>
    <w:p w14:paraId="54EBD062" w14:textId="77777777" w:rsidR="004A4D56" w:rsidRPr="00891792" w:rsidRDefault="004A4D56" w:rsidP="004A4D56">
      <w:pPr>
        <w:jc w:val="center"/>
        <w:rPr>
          <w:rFonts w:eastAsia="Calibri" w:cstheme="minorHAnsi"/>
          <w:b/>
          <w:sz w:val="28"/>
        </w:rPr>
      </w:pPr>
      <w:r w:rsidRPr="00891792">
        <w:rPr>
          <w:rFonts w:eastAsia="Calibri" w:cstheme="minorHAnsi"/>
          <w:b/>
          <w:sz w:val="28"/>
        </w:rPr>
        <w:t>Held 1:30 – 4:30pm, 21 February 2020, Melbourne</w:t>
      </w:r>
    </w:p>
    <w:p w14:paraId="75A60F9F" w14:textId="77777777" w:rsidR="004A4D56" w:rsidRPr="00F2455D" w:rsidRDefault="004A4D56" w:rsidP="004A4D56">
      <w:pPr>
        <w:rPr>
          <w:rFonts w:eastAsia="Calibri" w:cstheme="minorHAnsi"/>
          <w:b/>
        </w:rPr>
      </w:pPr>
      <w:r w:rsidRPr="00F2455D">
        <w:rPr>
          <w:rFonts w:eastAsia="Calibri" w:cstheme="minorHAnsi"/>
          <w:b/>
        </w:rPr>
        <w:t>ATTENDEES</w:t>
      </w:r>
    </w:p>
    <w:p w14:paraId="7EB246A9" w14:textId="77777777" w:rsidR="004A4D56" w:rsidRPr="00F2455D" w:rsidRDefault="004A4D56" w:rsidP="004A4D56">
      <w:pPr>
        <w:rPr>
          <w:rFonts w:eastAsia="Calibri" w:cstheme="minorHAnsi"/>
          <w:b/>
        </w:rPr>
      </w:pPr>
      <w:r w:rsidRPr="00F2455D">
        <w:rPr>
          <w:rFonts w:eastAsia="Calibri" w:cstheme="minorHAnsi"/>
          <w:b/>
        </w:rPr>
        <w:t>Members</w:t>
      </w:r>
    </w:p>
    <w:p w14:paraId="184DC3FF" w14:textId="77777777" w:rsidR="004A4D56" w:rsidRPr="00F2455D" w:rsidRDefault="004A4D56" w:rsidP="004A4D56">
      <w:pPr>
        <w:tabs>
          <w:tab w:val="left" w:pos="601"/>
        </w:tabs>
        <w:spacing w:after="0"/>
        <w:ind w:left="601"/>
        <w:rPr>
          <w:rFonts w:cstheme="minorHAnsi"/>
        </w:rPr>
      </w:pPr>
      <w:r w:rsidRPr="00F2455D">
        <w:rPr>
          <w:rFonts w:cstheme="minorHAnsi"/>
        </w:rPr>
        <w:t xml:space="preserve">Michael Schaper (Chair) </w:t>
      </w:r>
      <w:r w:rsidRPr="00F2455D">
        <w:rPr>
          <w:rFonts w:cstheme="minorHAnsi"/>
        </w:rPr>
        <w:br/>
        <w:t xml:space="preserve">Charles Cameron, Chief Executive, Recruitment, Consulting and Staffing Association </w:t>
      </w:r>
    </w:p>
    <w:p w14:paraId="7A64D830" w14:textId="77777777" w:rsidR="004A4D56" w:rsidRPr="00F2455D" w:rsidRDefault="004A4D56" w:rsidP="004A4D56">
      <w:pPr>
        <w:tabs>
          <w:tab w:val="left" w:pos="601"/>
        </w:tabs>
        <w:spacing w:after="0"/>
        <w:ind w:left="601"/>
        <w:rPr>
          <w:rFonts w:cstheme="minorHAnsi"/>
        </w:rPr>
      </w:pPr>
      <w:r w:rsidRPr="00F2455D">
        <w:rPr>
          <w:rFonts w:cstheme="minorHAnsi"/>
        </w:rPr>
        <w:t>Rachel Mackenzie, Executive Director, Berries Australia Limited</w:t>
      </w:r>
    </w:p>
    <w:p w14:paraId="09C69F61" w14:textId="77777777" w:rsidR="004A4D56" w:rsidRPr="00F2455D" w:rsidRDefault="004A4D56" w:rsidP="004A4D56">
      <w:pPr>
        <w:tabs>
          <w:tab w:val="left" w:pos="601"/>
        </w:tabs>
        <w:spacing w:after="0"/>
        <w:ind w:left="601"/>
        <w:rPr>
          <w:rFonts w:cstheme="minorHAnsi"/>
        </w:rPr>
      </w:pPr>
      <w:r w:rsidRPr="00F2455D">
        <w:rPr>
          <w:rFonts w:cstheme="minorHAnsi"/>
        </w:rPr>
        <w:t>Peter Strong, CEO, Council of Small Business Organisations of Australia</w:t>
      </w:r>
    </w:p>
    <w:p w14:paraId="23DCFC1F" w14:textId="77777777" w:rsidR="004A4D56" w:rsidRPr="00F2455D" w:rsidRDefault="004A4D56" w:rsidP="004A4D56">
      <w:pPr>
        <w:tabs>
          <w:tab w:val="left" w:pos="601"/>
        </w:tabs>
        <w:spacing w:after="0"/>
        <w:ind w:left="601"/>
        <w:rPr>
          <w:rFonts w:cstheme="minorHAnsi"/>
        </w:rPr>
      </w:pPr>
      <w:r w:rsidRPr="00F2455D">
        <w:rPr>
          <w:rFonts w:cstheme="minorHAnsi"/>
        </w:rPr>
        <w:t>Wes Lambert, Chief Executive, Restaurant and Catering Industry Association</w:t>
      </w:r>
    </w:p>
    <w:p w14:paraId="6FC0E75B" w14:textId="77777777" w:rsidR="004A4D56" w:rsidRPr="00F2455D" w:rsidRDefault="004A4D56" w:rsidP="004A4D56">
      <w:pPr>
        <w:tabs>
          <w:tab w:val="left" w:pos="601"/>
        </w:tabs>
        <w:spacing w:after="0"/>
        <w:ind w:left="601"/>
        <w:rPr>
          <w:rFonts w:cstheme="minorHAnsi"/>
        </w:rPr>
      </w:pPr>
      <w:r w:rsidRPr="00F2455D">
        <w:rPr>
          <w:rFonts w:cstheme="minorHAnsi"/>
        </w:rPr>
        <w:t>Susan Franks, Senior Tax Advocate Chartered Accountants Australia and New Zealand (substitute for Michael Croker)</w:t>
      </w:r>
    </w:p>
    <w:p w14:paraId="567893CE" w14:textId="77777777" w:rsidR="004A4D56" w:rsidRPr="00F2455D" w:rsidRDefault="004A4D56" w:rsidP="004A4D56">
      <w:pPr>
        <w:tabs>
          <w:tab w:val="left" w:pos="601"/>
        </w:tabs>
        <w:spacing w:after="0"/>
        <w:ind w:left="601"/>
        <w:rPr>
          <w:rFonts w:cstheme="minorHAnsi"/>
        </w:rPr>
      </w:pPr>
      <w:r w:rsidRPr="00F2455D">
        <w:rPr>
          <w:rFonts w:cstheme="minorHAnsi"/>
        </w:rPr>
        <w:t>Ali Noroozi, Partner, Tax, PwC, (substitute for Pete Calleja)</w:t>
      </w:r>
    </w:p>
    <w:p w14:paraId="6ACB2884" w14:textId="77777777" w:rsidR="004A4D56" w:rsidRPr="00F2455D" w:rsidRDefault="004A4D56" w:rsidP="004A4D56">
      <w:pPr>
        <w:tabs>
          <w:tab w:val="left" w:pos="601"/>
        </w:tabs>
        <w:spacing w:after="0"/>
        <w:ind w:left="601"/>
        <w:rPr>
          <w:rFonts w:cstheme="minorHAnsi"/>
        </w:rPr>
      </w:pPr>
      <w:r w:rsidRPr="00F2455D">
        <w:rPr>
          <w:rFonts w:cstheme="minorHAnsi"/>
        </w:rPr>
        <w:t>Jeremy Hirschhorn, Acting Second Commissioner, Client Engagement Group ATO</w:t>
      </w:r>
    </w:p>
    <w:p w14:paraId="0EDE3243" w14:textId="77777777" w:rsidR="004A4D56" w:rsidRPr="00F2455D" w:rsidRDefault="004A4D56" w:rsidP="004A4D56">
      <w:pPr>
        <w:tabs>
          <w:tab w:val="left" w:pos="601"/>
        </w:tabs>
        <w:spacing w:after="0"/>
        <w:ind w:left="601"/>
        <w:rPr>
          <w:rFonts w:cstheme="minorHAnsi"/>
        </w:rPr>
      </w:pPr>
      <w:r w:rsidRPr="00F2455D">
        <w:rPr>
          <w:rFonts w:cstheme="minorHAnsi"/>
        </w:rPr>
        <w:t>Bradley Armstrong, Deputy Comptroller-General and Group Manager of Customs Group, Australian Border Force</w:t>
      </w:r>
    </w:p>
    <w:p w14:paraId="7D3AF3CD" w14:textId="77777777" w:rsidR="004A4D56" w:rsidRPr="00F2455D" w:rsidRDefault="004A4D56" w:rsidP="004A4D56">
      <w:pPr>
        <w:tabs>
          <w:tab w:val="left" w:pos="601"/>
        </w:tabs>
        <w:spacing w:after="0"/>
        <w:ind w:left="601"/>
        <w:rPr>
          <w:rFonts w:cstheme="minorHAnsi"/>
        </w:rPr>
      </w:pPr>
      <w:r w:rsidRPr="00F2455D">
        <w:rPr>
          <w:rFonts w:cstheme="minorHAnsi"/>
        </w:rPr>
        <w:t xml:space="preserve">Paul McCullough, Division Head, Corporate and International Tax Division, The Treasury (substitute for Maryanne Mrakovcic) </w:t>
      </w:r>
    </w:p>
    <w:p w14:paraId="59A7F9E7" w14:textId="77777777" w:rsidR="004A4D56" w:rsidRPr="00F2455D" w:rsidRDefault="004A4D56" w:rsidP="004A4D56">
      <w:pPr>
        <w:spacing w:before="240"/>
        <w:rPr>
          <w:rFonts w:eastAsia="Calibri" w:cstheme="minorHAnsi"/>
          <w:b/>
        </w:rPr>
      </w:pPr>
      <w:r w:rsidRPr="00F2455D">
        <w:rPr>
          <w:rFonts w:eastAsia="Calibri" w:cstheme="minorHAnsi"/>
          <w:b/>
        </w:rPr>
        <w:t>Government Advisors</w:t>
      </w:r>
    </w:p>
    <w:p w14:paraId="1C2B0BA1" w14:textId="77777777" w:rsidR="004A4D56" w:rsidRPr="00F2455D" w:rsidRDefault="004A4D56" w:rsidP="004A4D56">
      <w:pPr>
        <w:tabs>
          <w:tab w:val="left" w:pos="601"/>
        </w:tabs>
        <w:spacing w:after="0"/>
        <w:ind w:left="601"/>
        <w:rPr>
          <w:rFonts w:cstheme="minorHAnsi"/>
        </w:rPr>
      </w:pPr>
      <w:r w:rsidRPr="00F2455D">
        <w:rPr>
          <w:rFonts w:cstheme="minorHAnsi"/>
        </w:rPr>
        <w:t>Patrick Boneham, Division Head, Black Economy Division, the Treasury</w:t>
      </w:r>
    </w:p>
    <w:p w14:paraId="3A69EADE" w14:textId="77777777" w:rsidR="004A4D56" w:rsidRPr="00F2455D" w:rsidRDefault="004A4D56" w:rsidP="004A4D56">
      <w:pPr>
        <w:tabs>
          <w:tab w:val="left" w:pos="601"/>
        </w:tabs>
        <w:spacing w:after="0"/>
        <w:ind w:left="601"/>
        <w:rPr>
          <w:rFonts w:cstheme="minorHAnsi"/>
        </w:rPr>
      </w:pPr>
      <w:r w:rsidRPr="00F2455D">
        <w:rPr>
          <w:rFonts w:cstheme="minorHAnsi"/>
        </w:rPr>
        <w:t xml:space="preserve">Deborah Jenkins, Deputy Commissioner, Small Business, ATO </w:t>
      </w:r>
    </w:p>
    <w:p w14:paraId="0C641627" w14:textId="77777777" w:rsidR="004A4D56" w:rsidRPr="00F2455D" w:rsidRDefault="004A4D56" w:rsidP="004A4D56">
      <w:pPr>
        <w:tabs>
          <w:tab w:val="left" w:pos="601"/>
        </w:tabs>
        <w:spacing w:after="0"/>
        <w:ind w:left="601"/>
        <w:rPr>
          <w:rFonts w:cstheme="minorHAnsi"/>
        </w:rPr>
      </w:pPr>
    </w:p>
    <w:p w14:paraId="76B27EED" w14:textId="77777777" w:rsidR="004A4D56" w:rsidRPr="00F2455D" w:rsidRDefault="004A4D56" w:rsidP="004A4D56">
      <w:pPr>
        <w:rPr>
          <w:rFonts w:eastAsia="Calibri" w:cstheme="minorHAnsi"/>
          <w:b/>
        </w:rPr>
      </w:pPr>
      <w:r w:rsidRPr="00F2455D">
        <w:rPr>
          <w:rFonts w:eastAsia="Calibri" w:cstheme="minorHAnsi"/>
          <w:b/>
        </w:rPr>
        <w:t>Guest speakers</w:t>
      </w:r>
    </w:p>
    <w:p w14:paraId="38BC431C" w14:textId="77777777" w:rsidR="004A4D56" w:rsidRPr="00F2455D" w:rsidRDefault="004A4D56" w:rsidP="004A4D56">
      <w:pPr>
        <w:tabs>
          <w:tab w:val="left" w:pos="601"/>
        </w:tabs>
        <w:spacing w:after="0"/>
        <w:ind w:left="601"/>
        <w:rPr>
          <w:rFonts w:cstheme="minorHAnsi"/>
        </w:rPr>
      </w:pPr>
      <w:r w:rsidRPr="00F2455D">
        <w:rPr>
          <w:rFonts w:cstheme="minorHAnsi"/>
        </w:rPr>
        <w:t>Sally Bektas, Assistant Commissioner, Marketing and Communication, ATO</w:t>
      </w:r>
    </w:p>
    <w:p w14:paraId="29674A23" w14:textId="77777777" w:rsidR="004A4D56" w:rsidRPr="00F2455D" w:rsidRDefault="004A4D56" w:rsidP="004A4D56">
      <w:pPr>
        <w:tabs>
          <w:tab w:val="left" w:pos="601"/>
        </w:tabs>
        <w:spacing w:before="120" w:after="0"/>
        <w:rPr>
          <w:rFonts w:cstheme="minorHAnsi"/>
        </w:rPr>
      </w:pPr>
      <w:r w:rsidRPr="00F2455D">
        <w:rPr>
          <w:rFonts w:cstheme="minorHAnsi"/>
        </w:rPr>
        <w:t>Secretariat: Johanna Travis, Kate Drain and Bonnie Denness, Black Economy Division, the Treasury</w:t>
      </w:r>
    </w:p>
    <w:p w14:paraId="7A93E6B2" w14:textId="77777777" w:rsidR="004A4D56" w:rsidRPr="00F2455D" w:rsidRDefault="004A4D56" w:rsidP="004A4D56">
      <w:pPr>
        <w:spacing w:before="240"/>
        <w:ind w:left="720"/>
        <w:contextualSpacing/>
        <w:rPr>
          <w:rFonts w:eastAsia="Calibri" w:cstheme="minorHAnsi"/>
          <w:b/>
        </w:rPr>
      </w:pPr>
    </w:p>
    <w:p w14:paraId="17062D88" w14:textId="77777777" w:rsidR="004A4D56" w:rsidRPr="00F2455D" w:rsidRDefault="004A4D56" w:rsidP="004A4D56">
      <w:pPr>
        <w:numPr>
          <w:ilvl w:val="0"/>
          <w:numId w:val="4"/>
        </w:numPr>
        <w:spacing w:before="240"/>
        <w:contextualSpacing/>
        <w:rPr>
          <w:rFonts w:eastAsia="Calibri" w:cstheme="minorHAnsi"/>
          <w:b/>
        </w:rPr>
      </w:pPr>
      <w:r w:rsidRPr="00F2455D">
        <w:rPr>
          <w:rFonts w:eastAsia="Calibri" w:cstheme="minorHAnsi"/>
          <w:b/>
        </w:rPr>
        <w:t>Welcome</w:t>
      </w:r>
    </w:p>
    <w:p w14:paraId="630D7F6A" w14:textId="77777777" w:rsidR="004A4D56" w:rsidRPr="00F2455D" w:rsidRDefault="004A4D56" w:rsidP="004A4D56">
      <w:pPr>
        <w:rPr>
          <w:rFonts w:eastAsia="Calibri" w:cstheme="minorHAnsi"/>
        </w:rPr>
      </w:pPr>
      <w:r w:rsidRPr="00F2455D">
        <w:rPr>
          <w:rFonts w:eastAsia="Calibri" w:cstheme="minorHAnsi"/>
        </w:rPr>
        <w:t xml:space="preserve">The Chair welcomed members to the fourth meeting of the Black Economy Advisory Board. </w:t>
      </w:r>
    </w:p>
    <w:p w14:paraId="17DDEA84" w14:textId="77777777" w:rsidR="004A4D56" w:rsidRPr="00F2455D" w:rsidRDefault="004A4D56" w:rsidP="004A4D56">
      <w:pPr>
        <w:rPr>
          <w:rFonts w:eastAsia="Calibri" w:cstheme="minorHAnsi"/>
        </w:rPr>
      </w:pPr>
      <w:r w:rsidRPr="00F2455D">
        <w:rPr>
          <w:rFonts w:eastAsia="Calibri" w:cstheme="minorHAnsi"/>
        </w:rPr>
        <w:t xml:space="preserve">The Chair welcomed the substitute members who were filling in for regular members who were unable to attend the board meeting: </w:t>
      </w:r>
    </w:p>
    <w:p w14:paraId="377A77BC" w14:textId="77777777" w:rsidR="004A4D56" w:rsidRPr="00F2455D" w:rsidRDefault="004A4D56" w:rsidP="004A4D56">
      <w:pPr>
        <w:tabs>
          <w:tab w:val="num" w:pos="567"/>
        </w:tabs>
        <w:spacing w:after="0"/>
        <w:ind w:left="567" w:hanging="567"/>
        <w:rPr>
          <w:rFonts w:cstheme="minorHAnsi"/>
        </w:rPr>
      </w:pPr>
      <w:r w:rsidRPr="00F2455D">
        <w:rPr>
          <w:rFonts w:cstheme="minorHAnsi"/>
        </w:rPr>
        <w:t>Susan Franks, Chartered Accountants Australia and New Zealand (substitute for Michael Croker); and</w:t>
      </w:r>
    </w:p>
    <w:p w14:paraId="70504075" w14:textId="77777777" w:rsidR="004A4D56" w:rsidRPr="00F2455D" w:rsidRDefault="004A4D56" w:rsidP="004A4D56">
      <w:pPr>
        <w:tabs>
          <w:tab w:val="num" w:pos="567"/>
        </w:tabs>
        <w:spacing w:after="0"/>
        <w:ind w:left="567" w:hanging="567"/>
        <w:rPr>
          <w:rFonts w:cstheme="minorHAnsi"/>
        </w:rPr>
      </w:pPr>
      <w:r w:rsidRPr="00F2455D">
        <w:rPr>
          <w:rFonts w:cstheme="minorHAnsi"/>
        </w:rPr>
        <w:t>Ali Noroozi, PwC, (substitute for Pete Calleja).</w:t>
      </w:r>
    </w:p>
    <w:p w14:paraId="51C5CE8D" w14:textId="77777777" w:rsidR="004A4D56" w:rsidRPr="00F2455D" w:rsidRDefault="004A4D56" w:rsidP="004A4D56">
      <w:pPr>
        <w:spacing w:before="240"/>
        <w:rPr>
          <w:rFonts w:eastAsia="Calibri" w:cstheme="minorHAnsi"/>
        </w:rPr>
      </w:pPr>
      <w:r w:rsidRPr="00F2455D">
        <w:rPr>
          <w:rFonts w:eastAsia="Calibri" w:cstheme="minorHAnsi"/>
        </w:rPr>
        <w:t xml:space="preserve">Members endorsed the minutes for the third meeting, held on 12 September 2019. </w:t>
      </w:r>
    </w:p>
    <w:p w14:paraId="2C91CF6A" w14:textId="77777777" w:rsidR="004A4D56" w:rsidRPr="00F2455D" w:rsidRDefault="004A4D56" w:rsidP="004A4D56">
      <w:pPr>
        <w:numPr>
          <w:ilvl w:val="0"/>
          <w:numId w:val="4"/>
        </w:numPr>
        <w:contextualSpacing/>
        <w:rPr>
          <w:rFonts w:eastAsia="Calibri" w:cstheme="minorHAnsi"/>
          <w:b/>
        </w:rPr>
      </w:pPr>
      <w:r w:rsidRPr="00F2455D">
        <w:rPr>
          <w:rFonts w:eastAsia="Calibri" w:cstheme="minorHAnsi"/>
          <w:b/>
        </w:rPr>
        <w:lastRenderedPageBreak/>
        <w:t>Private sector feedback on new and emerging trends</w:t>
      </w:r>
    </w:p>
    <w:p w14:paraId="70CEE754" w14:textId="77777777" w:rsidR="004A4D56" w:rsidRPr="00F2455D" w:rsidRDefault="004A4D56" w:rsidP="004A4D56">
      <w:pPr>
        <w:rPr>
          <w:rFonts w:eastAsia="Calibri" w:cstheme="minorHAnsi"/>
        </w:rPr>
      </w:pPr>
      <w:r w:rsidRPr="00F2455D">
        <w:rPr>
          <w:rFonts w:eastAsia="Calibri" w:cstheme="minorHAnsi"/>
        </w:rPr>
        <w:t xml:space="preserve">The Chair emphasised the role of the Advisory Board is to engage with the business community and identify emerging issues to report to Treasury. The Chair noted the importance of educating and creating awareness of black economy issues. The meeting included a workshop discussion on messaging around the black economy. </w:t>
      </w:r>
    </w:p>
    <w:p w14:paraId="4C8D68D7" w14:textId="77777777" w:rsidR="004A4D56" w:rsidRPr="00F2455D" w:rsidRDefault="004A4D56" w:rsidP="004A4D56">
      <w:pPr>
        <w:rPr>
          <w:rFonts w:eastAsia="Calibri" w:cstheme="minorHAnsi"/>
        </w:rPr>
      </w:pPr>
      <w:r w:rsidRPr="00F2455D">
        <w:rPr>
          <w:rFonts w:eastAsia="Calibri" w:cstheme="minorHAnsi"/>
        </w:rPr>
        <w:t xml:space="preserve">The Chair raised the recent natural disasters and considered the work of government to support those who were impacted. It was noted natural disasters can create new avenues for black economy activity including cash jobs and un-licensed tradies which can undercut honest businesses. Members noted that it is important to educate businesses on how they can be better prepared for natural disasters such as digitising records, taking photos of infrastructure and regular backups. </w:t>
      </w:r>
    </w:p>
    <w:p w14:paraId="67FBEC86" w14:textId="77777777" w:rsidR="004A4D56" w:rsidRPr="00F2455D" w:rsidRDefault="004A4D56" w:rsidP="004A4D56">
      <w:pPr>
        <w:rPr>
          <w:rFonts w:eastAsia="Calibri" w:cstheme="minorHAnsi"/>
        </w:rPr>
      </w:pPr>
      <w:r w:rsidRPr="00F2455D">
        <w:rPr>
          <w:rFonts w:eastAsia="Calibri" w:cstheme="minorHAnsi"/>
        </w:rPr>
        <w:t xml:space="preserve">Members discussed: </w:t>
      </w:r>
    </w:p>
    <w:p w14:paraId="46ADCA83" w14:textId="77777777" w:rsidR="004A4D56" w:rsidRPr="00F2455D" w:rsidRDefault="004A4D56" w:rsidP="004A4D56">
      <w:pPr>
        <w:rPr>
          <w:rFonts w:eastAsia="Calibri" w:cstheme="minorHAnsi"/>
        </w:rPr>
      </w:pPr>
      <w:r w:rsidRPr="00F2455D">
        <w:rPr>
          <w:rFonts w:eastAsia="Calibri" w:cstheme="minorHAnsi"/>
        </w:rPr>
        <w:t>The complexity of dealing with different award rates and individual circumstances, leading to wage underpayments. Smaller businesses may be reluctant to comply when larger companies are non</w:t>
      </w:r>
      <w:r w:rsidRPr="00F2455D">
        <w:rPr>
          <w:rFonts w:eastAsia="Calibri" w:cstheme="minorHAnsi"/>
        </w:rPr>
        <w:noBreakHyphen/>
        <w:t xml:space="preserve">compliant. Treasury noted the Attorney General’s Department released a discussion paper on 12 February 2020 which outlined a range of compliance and enforcement options to deter wage theft. </w:t>
      </w:r>
    </w:p>
    <w:p w14:paraId="143EEAC5" w14:textId="77777777" w:rsidR="004A4D56" w:rsidRPr="00F2455D" w:rsidRDefault="004A4D56" w:rsidP="004A4D56">
      <w:pPr>
        <w:rPr>
          <w:rFonts w:eastAsia="Calibri" w:cstheme="minorHAnsi"/>
          <w:highlight w:val="yellow"/>
        </w:rPr>
      </w:pPr>
      <w:r w:rsidRPr="00F2455D">
        <w:rPr>
          <w:rFonts w:eastAsia="Calibri" w:cstheme="minorHAnsi"/>
        </w:rPr>
        <w:t xml:space="preserve">A concern was raised that labour hire companies are forming and phoenixing within 12 months to avoid regulatory scrutiny. </w:t>
      </w:r>
    </w:p>
    <w:p w14:paraId="4CC13F9D" w14:textId="77777777" w:rsidR="004A4D56" w:rsidRPr="00F2455D" w:rsidRDefault="004A4D56" w:rsidP="004A4D56">
      <w:pPr>
        <w:rPr>
          <w:rFonts w:eastAsia="Calibri" w:cstheme="minorHAnsi"/>
        </w:rPr>
      </w:pPr>
      <w:r w:rsidRPr="00F2455D">
        <w:rPr>
          <w:rFonts w:eastAsia="Calibri" w:cstheme="minorHAnsi"/>
        </w:rPr>
        <w:t xml:space="preserve">New laws around overtime payments in the horticulture industry have led to the increased use of labour hire firms. There are still reports of labour hire companies seizing wages from workers, pushing workers into the black economy. </w:t>
      </w:r>
    </w:p>
    <w:p w14:paraId="2CB23EC8" w14:textId="77777777" w:rsidR="004A4D56" w:rsidRPr="00F2455D" w:rsidRDefault="004A4D56" w:rsidP="004A4D56">
      <w:pPr>
        <w:rPr>
          <w:rFonts w:eastAsia="Calibri" w:cstheme="minorHAnsi"/>
        </w:rPr>
      </w:pPr>
      <w:r w:rsidRPr="00F2455D">
        <w:rPr>
          <w:rFonts w:eastAsia="Calibri" w:cstheme="minorHAnsi"/>
        </w:rPr>
        <w:t xml:space="preserve">Treasury noted Standards Australia is developing supply chain standards. The first meeting of the committee shaping this work is expected in the first quarter of 2020. Members noted the benefits of having a third party accreditation system to improve the reputation of certain industries and make it easier to identify those who are doing the right thing.  </w:t>
      </w:r>
    </w:p>
    <w:p w14:paraId="4D1F42D7" w14:textId="77777777" w:rsidR="004A4D56" w:rsidRPr="00F2455D" w:rsidRDefault="004A4D56" w:rsidP="004A4D56">
      <w:pPr>
        <w:rPr>
          <w:rFonts w:eastAsia="Calibri" w:cstheme="minorHAnsi"/>
        </w:rPr>
      </w:pPr>
      <w:r w:rsidRPr="00F2455D">
        <w:rPr>
          <w:rFonts w:eastAsia="Calibri" w:cstheme="minorHAnsi"/>
        </w:rPr>
        <w:t xml:space="preserve">The variety and complexity of pay rates that exist in the hospitality industry is not reflected in payroll software making it difficult to accurately pay correct wages  </w:t>
      </w:r>
    </w:p>
    <w:p w14:paraId="4354172F" w14:textId="77777777" w:rsidR="004A4D56" w:rsidRPr="00F2455D" w:rsidRDefault="004A4D56" w:rsidP="004A4D56">
      <w:pPr>
        <w:rPr>
          <w:rFonts w:eastAsia="Calibri" w:cstheme="minorHAnsi"/>
        </w:rPr>
      </w:pPr>
      <w:r w:rsidRPr="00F2455D">
        <w:rPr>
          <w:rFonts w:eastAsia="Calibri" w:cstheme="minorHAnsi"/>
        </w:rPr>
        <w:t xml:space="preserve">Worsening economic conditions can lead to increased black economy activity, as struggling businesses cut corners to survive. There have been observed improvements in the level of compliance in industries that have previously struggled such as hospitality. However, members discussed the need for education to support a wider cultural change to address black economy behaviours and encourage compliance.  </w:t>
      </w:r>
    </w:p>
    <w:p w14:paraId="0C0A4131" w14:textId="77777777" w:rsidR="004A4D56" w:rsidRPr="00F2455D" w:rsidRDefault="004A4D56" w:rsidP="004A4D56">
      <w:pPr>
        <w:numPr>
          <w:ilvl w:val="0"/>
          <w:numId w:val="4"/>
        </w:numPr>
        <w:contextualSpacing/>
        <w:rPr>
          <w:rFonts w:eastAsia="Calibri" w:cstheme="minorHAnsi"/>
          <w:b/>
        </w:rPr>
      </w:pPr>
      <w:r w:rsidRPr="00F2455D">
        <w:rPr>
          <w:rFonts w:eastAsia="Calibri" w:cstheme="minorHAnsi"/>
          <w:b/>
        </w:rPr>
        <w:t>Messaging around the black economy</w:t>
      </w:r>
    </w:p>
    <w:p w14:paraId="0073A37C" w14:textId="77777777" w:rsidR="004A4D56" w:rsidRPr="00F2455D" w:rsidRDefault="004A4D56" w:rsidP="004A4D56">
      <w:pPr>
        <w:rPr>
          <w:rFonts w:eastAsia="Calibri" w:cstheme="minorHAnsi"/>
        </w:rPr>
      </w:pPr>
      <w:r w:rsidRPr="00F2455D">
        <w:rPr>
          <w:rFonts w:eastAsia="Calibri" w:cstheme="minorHAnsi"/>
        </w:rPr>
        <w:t xml:space="preserve">Patrick Boneham and Sally Bektas led a discussion on messaging on the black economy. </w:t>
      </w:r>
    </w:p>
    <w:p w14:paraId="6F5385BD" w14:textId="77777777" w:rsidR="004A4D56" w:rsidRPr="00F2455D" w:rsidRDefault="004A4D56" w:rsidP="004A4D56">
      <w:pPr>
        <w:rPr>
          <w:rFonts w:eastAsia="Calibri" w:cstheme="minorHAnsi"/>
        </w:rPr>
      </w:pPr>
      <w:r w:rsidRPr="00F2455D">
        <w:rPr>
          <w:rFonts w:eastAsia="Calibri" w:cstheme="minorHAnsi"/>
        </w:rPr>
        <w:t>The Board stressed that it is important to raise awareness of the negative social consequences of black economy activity. This requires changing social norms which can be difficult. There is an observ</w:t>
      </w:r>
      <w:r>
        <w:rPr>
          <w:rFonts w:eastAsia="Calibri" w:cstheme="minorHAnsi"/>
        </w:rPr>
        <w:t>ed culture of giving people ‘a fair go’</w:t>
      </w:r>
      <w:r w:rsidRPr="00F2455D">
        <w:rPr>
          <w:rFonts w:eastAsia="Calibri" w:cstheme="minorHAnsi"/>
        </w:rPr>
        <w:t xml:space="preserve">, even if this can unintentionally undercut honest businesses. Members </w:t>
      </w:r>
      <w:r w:rsidRPr="00F2455D">
        <w:rPr>
          <w:rFonts w:eastAsia="Calibri" w:cstheme="minorHAnsi"/>
        </w:rPr>
        <w:lastRenderedPageBreak/>
        <w:t>agreed that the concept of the ‘black economy’ does not cut through with the community and a new name should be considered.</w:t>
      </w:r>
    </w:p>
    <w:p w14:paraId="723E9E9E" w14:textId="77777777" w:rsidR="004A4D56" w:rsidRPr="00F2455D" w:rsidRDefault="004A4D56" w:rsidP="004A4D56">
      <w:pPr>
        <w:rPr>
          <w:rFonts w:eastAsia="Calibri" w:cstheme="minorHAnsi"/>
        </w:rPr>
      </w:pPr>
      <w:r w:rsidRPr="00F2455D">
        <w:rPr>
          <w:rFonts w:eastAsia="Calibri" w:cstheme="minorHAnsi"/>
        </w:rPr>
        <w:t xml:space="preserve">The Australian Border Force (ABF) has an information campaign, called ‘Border Watch - if it doesn't feel right, flag it', which encourages members of the community to report suspicious or illegal immigration, customs and border-related activity.  </w:t>
      </w:r>
    </w:p>
    <w:p w14:paraId="6757FB9F" w14:textId="77777777" w:rsidR="004A4D56" w:rsidRPr="00F2455D" w:rsidRDefault="004A4D56" w:rsidP="004A4D56">
      <w:pPr>
        <w:rPr>
          <w:rFonts w:eastAsia="Calibri" w:cstheme="minorHAnsi"/>
        </w:rPr>
      </w:pPr>
      <w:r w:rsidRPr="00F2455D">
        <w:rPr>
          <w:rFonts w:eastAsia="Calibri" w:cstheme="minorHAnsi"/>
        </w:rPr>
        <w:t xml:space="preserve">The Board supported raising awareness of the black economy and considered that a campaign should be long term and multifaceted in order to have a meaningful and lasting effect. It was also noted that people have multiple interactions throughout the day and not having full understanding or awareness, may unintentionally contribute to the black economy. It was suggested to examine other social change campaigns, including international examples to inform possible approaches. </w:t>
      </w:r>
    </w:p>
    <w:p w14:paraId="355CF614" w14:textId="77777777" w:rsidR="004A4D56" w:rsidRPr="00F2455D" w:rsidRDefault="004A4D56" w:rsidP="004A4D56">
      <w:pPr>
        <w:rPr>
          <w:rFonts w:eastAsia="Calibri" w:cstheme="minorHAnsi"/>
        </w:rPr>
      </w:pPr>
      <w:r w:rsidRPr="00F2455D">
        <w:rPr>
          <w:rFonts w:eastAsia="Calibri" w:cstheme="minorHAnsi"/>
        </w:rPr>
        <w:t xml:space="preserve">Members suggested the government could meet with industries and businesses to gather important intelligence on the black economy. </w:t>
      </w:r>
    </w:p>
    <w:p w14:paraId="4A5925A5" w14:textId="77777777" w:rsidR="004A4D56" w:rsidRPr="00F2455D" w:rsidRDefault="004A4D56" w:rsidP="004A4D56">
      <w:pPr>
        <w:numPr>
          <w:ilvl w:val="0"/>
          <w:numId w:val="4"/>
        </w:numPr>
        <w:contextualSpacing/>
        <w:rPr>
          <w:rFonts w:eastAsia="Calibri" w:cstheme="minorHAnsi"/>
          <w:b/>
        </w:rPr>
      </w:pPr>
      <w:r w:rsidRPr="00F2455D">
        <w:rPr>
          <w:rFonts w:eastAsia="Calibri" w:cstheme="minorHAnsi"/>
          <w:b/>
        </w:rPr>
        <w:t>Update from Government Agencies</w:t>
      </w:r>
    </w:p>
    <w:p w14:paraId="5906169D" w14:textId="77777777" w:rsidR="004A4D56" w:rsidRPr="00F2455D" w:rsidRDefault="004A4D56" w:rsidP="004A4D56">
      <w:pPr>
        <w:rPr>
          <w:rFonts w:eastAsia="Calibri" w:cstheme="minorHAnsi"/>
        </w:rPr>
      </w:pPr>
      <w:r w:rsidRPr="00F2455D">
        <w:rPr>
          <w:rFonts w:eastAsia="Calibri" w:cstheme="minorHAnsi"/>
        </w:rPr>
        <w:t xml:space="preserve">Government members provided updates on the progress of the cross agency work to address black economy issues. </w:t>
      </w:r>
    </w:p>
    <w:p w14:paraId="599E5F8C" w14:textId="77777777" w:rsidR="004A4D56" w:rsidRPr="00F2455D" w:rsidRDefault="004A4D56" w:rsidP="004A4D56">
      <w:pPr>
        <w:rPr>
          <w:rFonts w:eastAsia="Calibri" w:cstheme="minorHAnsi"/>
        </w:rPr>
      </w:pPr>
      <w:r w:rsidRPr="00F2455D">
        <w:rPr>
          <w:rFonts w:eastAsia="Calibri" w:cstheme="minorHAnsi"/>
          <w:b/>
        </w:rPr>
        <w:t xml:space="preserve">The ABF </w:t>
      </w:r>
      <w:r w:rsidRPr="00F2455D">
        <w:rPr>
          <w:rFonts w:eastAsia="Calibri" w:cstheme="minorHAnsi"/>
        </w:rPr>
        <w:t>provided members with an update on an ongoing joint ABF, AFP and ATO investigation relating to large-scale customs fraud and alcohol smuggling. The ABF also provided an update on work to enhance the framework for combatting imports of counterfeit goods, and on recent legislation allowing for the immediate destruction of seized tobacco at the border.</w:t>
      </w:r>
    </w:p>
    <w:p w14:paraId="2BC467E2" w14:textId="77777777" w:rsidR="004A4D56" w:rsidRPr="00F2455D" w:rsidRDefault="004A4D56" w:rsidP="004A4D56">
      <w:pPr>
        <w:rPr>
          <w:rFonts w:eastAsia="Calibri" w:cstheme="minorHAnsi"/>
        </w:rPr>
      </w:pPr>
      <w:r w:rsidRPr="00F2455D">
        <w:rPr>
          <w:rFonts w:eastAsia="Calibri" w:cstheme="minorHAnsi"/>
          <w:b/>
        </w:rPr>
        <w:t>ATO</w:t>
      </w:r>
      <w:r w:rsidRPr="00F2455D">
        <w:rPr>
          <w:rFonts w:eastAsia="Calibri" w:cstheme="minorHAnsi"/>
        </w:rPr>
        <w:t xml:space="preserve"> business visits program is paused following natural disasters. Achievements from the first 18 months of the program include: more than 96,000 tip-offs from the community; over 4,000 applications for statement of tax record; more than $1.5 billion in additional revenue raised; primary school education resources developed; cross agency standing taskforce formed.</w:t>
      </w:r>
    </w:p>
    <w:p w14:paraId="28D223C4" w14:textId="77777777" w:rsidR="004A4D56" w:rsidRPr="00F2455D" w:rsidRDefault="004A4D56" w:rsidP="004A4D56">
      <w:pPr>
        <w:rPr>
          <w:rFonts w:eastAsia="Calibri" w:cstheme="minorHAnsi"/>
        </w:rPr>
      </w:pPr>
      <w:r w:rsidRPr="00F2455D">
        <w:rPr>
          <w:rFonts w:eastAsia="Calibri" w:cstheme="minorHAnsi"/>
          <w:b/>
        </w:rPr>
        <w:t>Treasury</w:t>
      </w:r>
      <w:r w:rsidRPr="00F2455D">
        <w:rPr>
          <w:rFonts w:eastAsia="Calibri" w:cstheme="minorHAnsi"/>
        </w:rPr>
        <w:t xml:space="preserve"> provided an update on the new measures announced in the 2019-20 MYEFO to tackle the black economy. These included a sharing economy reporting regime for online platform providers and assisting businesses to meet their reporting obligations. </w:t>
      </w:r>
    </w:p>
    <w:p w14:paraId="20B2E7CD" w14:textId="77777777" w:rsidR="004A4D56" w:rsidRPr="00F2455D" w:rsidRDefault="004A4D56" w:rsidP="004A4D56">
      <w:pPr>
        <w:rPr>
          <w:rFonts w:eastAsia="Calibri" w:cstheme="minorHAnsi"/>
        </w:rPr>
      </w:pPr>
      <w:r w:rsidRPr="00F2455D">
        <w:rPr>
          <w:rFonts w:eastAsia="Calibri" w:cstheme="minorHAnsi"/>
        </w:rPr>
        <w:t xml:space="preserve">Treasury also provided an update on implementation of the Black Economy Taskforce report recommendations, consultation process and emerging trends. </w:t>
      </w:r>
    </w:p>
    <w:p w14:paraId="0A7375E6" w14:textId="77777777" w:rsidR="004A4D56" w:rsidRPr="00F2455D" w:rsidRDefault="004A4D56" w:rsidP="004A4D56">
      <w:pPr>
        <w:numPr>
          <w:ilvl w:val="0"/>
          <w:numId w:val="4"/>
        </w:numPr>
        <w:contextualSpacing/>
        <w:rPr>
          <w:rFonts w:eastAsia="Calibri" w:cstheme="minorHAnsi"/>
          <w:b/>
        </w:rPr>
      </w:pPr>
      <w:r w:rsidRPr="00F2455D">
        <w:rPr>
          <w:rFonts w:eastAsia="Calibri" w:cstheme="minorHAnsi"/>
          <w:b/>
        </w:rPr>
        <w:t>General Business</w:t>
      </w:r>
    </w:p>
    <w:p w14:paraId="0A7EA48B" w14:textId="77777777" w:rsidR="004A4D56" w:rsidRPr="00F2455D" w:rsidRDefault="004A4D56" w:rsidP="004A4D56">
      <w:pPr>
        <w:rPr>
          <w:rFonts w:eastAsia="Calibri" w:cstheme="minorHAnsi"/>
        </w:rPr>
      </w:pPr>
      <w:r w:rsidRPr="00F2455D">
        <w:rPr>
          <w:rFonts w:eastAsia="Calibri" w:cstheme="minorHAnsi"/>
        </w:rPr>
        <w:t>The Chair raised the issue of keeping board members up to date if media or related public statements emerged between meetings. It was also noted that the Senate is shortly due to consider the proposed $10,000 cash payments limit legislation.</w:t>
      </w:r>
    </w:p>
    <w:p w14:paraId="377B0D83" w14:textId="77777777" w:rsidR="004A4D56" w:rsidRPr="00F2455D" w:rsidRDefault="004A4D56" w:rsidP="004A4D56">
      <w:pPr>
        <w:rPr>
          <w:rFonts w:eastAsia="Calibri" w:cstheme="minorHAnsi"/>
          <w:bCs/>
        </w:rPr>
      </w:pPr>
      <w:r w:rsidRPr="00F2455D">
        <w:rPr>
          <w:rFonts w:eastAsia="Calibri" w:cstheme="minorHAnsi"/>
          <w:bCs/>
        </w:rPr>
        <w:t xml:space="preserve">Action: </w:t>
      </w:r>
    </w:p>
    <w:p w14:paraId="06C22A18" w14:textId="77777777" w:rsidR="004A4D56" w:rsidRPr="00F2455D" w:rsidRDefault="004A4D56" w:rsidP="004A4D56">
      <w:pPr>
        <w:numPr>
          <w:ilvl w:val="0"/>
          <w:numId w:val="3"/>
        </w:numPr>
        <w:contextualSpacing/>
        <w:rPr>
          <w:rFonts w:eastAsia="Calibri" w:cstheme="minorHAnsi"/>
          <w:bCs/>
        </w:rPr>
      </w:pPr>
      <w:r w:rsidRPr="00F2455D">
        <w:rPr>
          <w:rFonts w:eastAsia="Calibri" w:cstheme="minorHAnsi"/>
          <w:bCs/>
        </w:rPr>
        <w:t>Agencies to send board members any black economy-relevant press releases or major statements when they are issued.</w:t>
      </w:r>
    </w:p>
    <w:p w14:paraId="61D5837A" w14:textId="77777777" w:rsidR="004A4D56" w:rsidRPr="00F2455D" w:rsidRDefault="004A4D56" w:rsidP="004A4D56">
      <w:pPr>
        <w:numPr>
          <w:ilvl w:val="0"/>
          <w:numId w:val="3"/>
        </w:numPr>
        <w:contextualSpacing/>
        <w:rPr>
          <w:rFonts w:eastAsia="Calibri" w:cstheme="minorHAnsi"/>
          <w:bCs/>
        </w:rPr>
      </w:pPr>
      <w:r w:rsidRPr="00F2455D">
        <w:rPr>
          <w:rFonts w:eastAsia="Calibri" w:cstheme="minorHAnsi"/>
          <w:bCs/>
        </w:rPr>
        <w:lastRenderedPageBreak/>
        <w:t>Treasury to advise members of the Senate Economics Committee report when it is handed down.</w:t>
      </w:r>
    </w:p>
    <w:p w14:paraId="5721D854" w14:textId="77777777" w:rsidR="004A4D56" w:rsidRPr="00F2455D" w:rsidRDefault="004A4D56" w:rsidP="004A4D56">
      <w:pPr>
        <w:ind w:left="720"/>
        <w:contextualSpacing/>
        <w:rPr>
          <w:rFonts w:eastAsia="Calibri" w:cstheme="minorHAnsi"/>
          <w:bCs/>
        </w:rPr>
      </w:pPr>
    </w:p>
    <w:p w14:paraId="4874F5C4" w14:textId="77777777" w:rsidR="004A4D56" w:rsidRPr="00F2455D" w:rsidRDefault="004A4D56" w:rsidP="004A4D56">
      <w:pPr>
        <w:rPr>
          <w:rFonts w:eastAsia="Calibri" w:cstheme="minorHAnsi"/>
        </w:rPr>
      </w:pPr>
      <w:r w:rsidRPr="00F2455D">
        <w:rPr>
          <w:rFonts w:eastAsia="Calibri" w:cstheme="minorHAnsi"/>
        </w:rPr>
        <w:t xml:space="preserve">The next meeting will be scheduled for the second half of 2020. </w:t>
      </w:r>
    </w:p>
    <w:p w14:paraId="4A054595" w14:textId="77777777" w:rsidR="004A4D56" w:rsidRPr="00F2455D" w:rsidRDefault="004A4D56" w:rsidP="004A4D56">
      <w:pPr>
        <w:rPr>
          <w:rFonts w:eastAsia="Calibri" w:cstheme="minorHAnsi"/>
        </w:rPr>
      </w:pPr>
    </w:p>
    <w:p w14:paraId="474B35C0" w14:textId="77777777" w:rsidR="004A4D56" w:rsidRPr="00F2455D" w:rsidRDefault="004A4D56" w:rsidP="004A4D56">
      <w:pPr>
        <w:rPr>
          <w:rFonts w:eastAsia="Calibri" w:cstheme="minorHAnsi"/>
        </w:rPr>
      </w:pPr>
    </w:p>
    <w:p w14:paraId="2B59F1AD" w14:textId="77777777" w:rsidR="004A4D56" w:rsidRPr="00F2455D" w:rsidRDefault="004A4D56" w:rsidP="004A4D56">
      <w:pPr>
        <w:rPr>
          <w:rFonts w:cstheme="minorHAnsi"/>
        </w:rPr>
      </w:pPr>
    </w:p>
    <w:p w14:paraId="63130D72" w14:textId="77777777" w:rsidR="00C94040" w:rsidRPr="004A4D56" w:rsidRDefault="00C94040" w:rsidP="004A4D56"/>
    <w:sectPr w:rsidR="00C94040" w:rsidRPr="004A4D56" w:rsidSect="00457B14">
      <w:footerReference w:type="default" r:id="rId15"/>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BBF31" w14:textId="77777777" w:rsidR="007A0FB7" w:rsidRDefault="007A0FB7" w:rsidP="007A0FB7">
      <w:pPr>
        <w:spacing w:after="0" w:line="240" w:lineRule="auto"/>
      </w:pPr>
      <w:r>
        <w:separator/>
      </w:r>
    </w:p>
  </w:endnote>
  <w:endnote w:type="continuationSeparator" w:id="0">
    <w:p w14:paraId="69640FB9" w14:textId="77777777" w:rsidR="007A0FB7" w:rsidRDefault="007A0FB7" w:rsidP="007A0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83334"/>
      <w:docPartObj>
        <w:docPartGallery w:val="Page Numbers (Bottom of Page)"/>
        <w:docPartUnique/>
      </w:docPartObj>
    </w:sdtPr>
    <w:sdtEndPr>
      <w:rPr>
        <w:noProof/>
      </w:rPr>
    </w:sdtEndPr>
    <w:sdtContent>
      <w:p w14:paraId="74CCE3CE" w14:textId="0843ECBA" w:rsidR="007A0FB7" w:rsidRDefault="007A0FB7">
        <w:pPr>
          <w:pStyle w:val="Footer"/>
          <w:jc w:val="right"/>
        </w:pPr>
        <w:r>
          <w:fldChar w:fldCharType="begin"/>
        </w:r>
        <w:r>
          <w:instrText xml:space="preserve"> PAGE   \* MERGEFORMAT </w:instrText>
        </w:r>
        <w:r>
          <w:fldChar w:fldCharType="separate"/>
        </w:r>
        <w:r w:rsidR="00CA1B24">
          <w:rPr>
            <w:noProof/>
          </w:rPr>
          <w:t>1</w:t>
        </w:r>
        <w:r>
          <w:rPr>
            <w:noProof/>
          </w:rPr>
          <w:fldChar w:fldCharType="end"/>
        </w:r>
      </w:p>
    </w:sdtContent>
  </w:sdt>
  <w:p w14:paraId="5F64B417" w14:textId="77777777" w:rsidR="007A0FB7" w:rsidRDefault="007A0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038CD" w14:textId="77777777" w:rsidR="007A0FB7" w:rsidRDefault="007A0FB7" w:rsidP="007A0FB7">
      <w:pPr>
        <w:spacing w:after="0" w:line="240" w:lineRule="auto"/>
      </w:pPr>
      <w:r>
        <w:separator/>
      </w:r>
    </w:p>
  </w:footnote>
  <w:footnote w:type="continuationSeparator" w:id="0">
    <w:p w14:paraId="44347A05" w14:textId="77777777" w:rsidR="007A0FB7" w:rsidRDefault="007A0FB7" w:rsidP="007A0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175F6"/>
    <w:multiLevelType w:val="hybridMultilevel"/>
    <w:tmpl w:val="0A1420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3F765FF"/>
    <w:multiLevelType w:val="hybridMultilevel"/>
    <w:tmpl w:val="F1DE6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D304CA"/>
    <w:multiLevelType w:val="multilevel"/>
    <w:tmpl w:val="B0A64BF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040"/>
    <w:rsid w:val="000151FF"/>
    <w:rsid w:val="000413E0"/>
    <w:rsid w:val="000610AB"/>
    <w:rsid w:val="00082B6A"/>
    <w:rsid w:val="00094C34"/>
    <w:rsid w:val="000A41A5"/>
    <w:rsid w:val="000C00B0"/>
    <w:rsid w:val="000E63AC"/>
    <w:rsid w:val="001034BA"/>
    <w:rsid w:val="00123B5C"/>
    <w:rsid w:val="00134508"/>
    <w:rsid w:val="00137F00"/>
    <w:rsid w:val="00144A93"/>
    <w:rsid w:val="001505B0"/>
    <w:rsid w:val="0017191A"/>
    <w:rsid w:val="001855E4"/>
    <w:rsid w:val="00190C18"/>
    <w:rsid w:val="001A5706"/>
    <w:rsid w:val="001D1EB7"/>
    <w:rsid w:val="001E05BB"/>
    <w:rsid w:val="001E5207"/>
    <w:rsid w:val="001F01AC"/>
    <w:rsid w:val="00222833"/>
    <w:rsid w:val="00252AA9"/>
    <w:rsid w:val="00266E09"/>
    <w:rsid w:val="002934A3"/>
    <w:rsid w:val="0029670F"/>
    <w:rsid w:val="002A68B1"/>
    <w:rsid w:val="002B6AB8"/>
    <w:rsid w:val="002C6884"/>
    <w:rsid w:val="002D0630"/>
    <w:rsid w:val="002E39FF"/>
    <w:rsid w:val="00312F51"/>
    <w:rsid w:val="00316D1F"/>
    <w:rsid w:val="00372C28"/>
    <w:rsid w:val="00381470"/>
    <w:rsid w:val="003942AB"/>
    <w:rsid w:val="003A30C6"/>
    <w:rsid w:val="003B037C"/>
    <w:rsid w:val="003C4821"/>
    <w:rsid w:val="003E3AF4"/>
    <w:rsid w:val="003F3A31"/>
    <w:rsid w:val="00417AE9"/>
    <w:rsid w:val="0042734B"/>
    <w:rsid w:val="00453E62"/>
    <w:rsid w:val="00457B14"/>
    <w:rsid w:val="00464973"/>
    <w:rsid w:val="00491C17"/>
    <w:rsid w:val="004964E0"/>
    <w:rsid w:val="0049757D"/>
    <w:rsid w:val="004A4D56"/>
    <w:rsid w:val="004B1E55"/>
    <w:rsid w:val="004B5269"/>
    <w:rsid w:val="004F63F8"/>
    <w:rsid w:val="004F75E4"/>
    <w:rsid w:val="00527F91"/>
    <w:rsid w:val="005401B6"/>
    <w:rsid w:val="00552FD9"/>
    <w:rsid w:val="00553EA9"/>
    <w:rsid w:val="0057389E"/>
    <w:rsid w:val="005B03C9"/>
    <w:rsid w:val="005B2CD7"/>
    <w:rsid w:val="005C36F5"/>
    <w:rsid w:val="005D1C5D"/>
    <w:rsid w:val="005D5554"/>
    <w:rsid w:val="005E0F1A"/>
    <w:rsid w:val="005E72D9"/>
    <w:rsid w:val="005E7727"/>
    <w:rsid w:val="0061763F"/>
    <w:rsid w:val="00657F37"/>
    <w:rsid w:val="0066271D"/>
    <w:rsid w:val="00673883"/>
    <w:rsid w:val="00674447"/>
    <w:rsid w:val="00684BDC"/>
    <w:rsid w:val="006868F5"/>
    <w:rsid w:val="006A2C64"/>
    <w:rsid w:val="006E1E3F"/>
    <w:rsid w:val="00721733"/>
    <w:rsid w:val="00746D8E"/>
    <w:rsid w:val="007A0FB7"/>
    <w:rsid w:val="00807F7F"/>
    <w:rsid w:val="00827E76"/>
    <w:rsid w:val="008315A1"/>
    <w:rsid w:val="0084074D"/>
    <w:rsid w:val="008532EA"/>
    <w:rsid w:val="008612A2"/>
    <w:rsid w:val="008802AA"/>
    <w:rsid w:val="00886D37"/>
    <w:rsid w:val="008A455F"/>
    <w:rsid w:val="008F100D"/>
    <w:rsid w:val="009270C7"/>
    <w:rsid w:val="009402C1"/>
    <w:rsid w:val="009463B1"/>
    <w:rsid w:val="00952E27"/>
    <w:rsid w:val="00970334"/>
    <w:rsid w:val="00980826"/>
    <w:rsid w:val="009B2299"/>
    <w:rsid w:val="009E405C"/>
    <w:rsid w:val="00A26F54"/>
    <w:rsid w:val="00A602E3"/>
    <w:rsid w:val="00A62DFE"/>
    <w:rsid w:val="00A9279B"/>
    <w:rsid w:val="00A94E8A"/>
    <w:rsid w:val="00AB028D"/>
    <w:rsid w:val="00AD1AF1"/>
    <w:rsid w:val="00AF2C8C"/>
    <w:rsid w:val="00AF34BD"/>
    <w:rsid w:val="00AF38BE"/>
    <w:rsid w:val="00B02A08"/>
    <w:rsid w:val="00B076E7"/>
    <w:rsid w:val="00B23863"/>
    <w:rsid w:val="00B51E3B"/>
    <w:rsid w:val="00B63CFD"/>
    <w:rsid w:val="00B9437E"/>
    <w:rsid w:val="00BA04C8"/>
    <w:rsid w:val="00BC7DC2"/>
    <w:rsid w:val="00BD0A50"/>
    <w:rsid w:val="00BD3309"/>
    <w:rsid w:val="00BF61BC"/>
    <w:rsid w:val="00C14510"/>
    <w:rsid w:val="00C154EC"/>
    <w:rsid w:val="00C15AEC"/>
    <w:rsid w:val="00C20594"/>
    <w:rsid w:val="00C24805"/>
    <w:rsid w:val="00C24F68"/>
    <w:rsid w:val="00C32275"/>
    <w:rsid w:val="00C43F2C"/>
    <w:rsid w:val="00C82C29"/>
    <w:rsid w:val="00C94040"/>
    <w:rsid w:val="00CA1B24"/>
    <w:rsid w:val="00CC019F"/>
    <w:rsid w:val="00CC0DD7"/>
    <w:rsid w:val="00CE6DF8"/>
    <w:rsid w:val="00D2070C"/>
    <w:rsid w:val="00D442FD"/>
    <w:rsid w:val="00D4455D"/>
    <w:rsid w:val="00DC5C03"/>
    <w:rsid w:val="00DF411B"/>
    <w:rsid w:val="00DF5FAC"/>
    <w:rsid w:val="00DF6FC8"/>
    <w:rsid w:val="00E13679"/>
    <w:rsid w:val="00E25F39"/>
    <w:rsid w:val="00E476A6"/>
    <w:rsid w:val="00E5722C"/>
    <w:rsid w:val="00E609D5"/>
    <w:rsid w:val="00E92DC7"/>
    <w:rsid w:val="00ED6EBD"/>
    <w:rsid w:val="00F01BE0"/>
    <w:rsid w:val="00F25A80"/>
    <w:rsid w:val="00F40622"/>
    <w:rsid w:val="00F93CAA"/>
    <w:rsid w:val="00F93CCC"/>
    <w:rsid w:val="00F958AD"/>
    <w:rsid w:val="00F95C6F"/>
    <w:rsid w:val="00FA244B"/>
    <w:rsid w:val="00FB1C99"/>
    <w:rsid w:val="00FE0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3E5B"/>
  <w15:docId w15:val="{F707882A-6D49-49F1-BE35-343F125C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0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F1A"/>
    <w:rPr>
      <w:rFonts w:ascii="Segoe UI" w:hAnsi="Segoe UI" w:cs="Segoe UI"/>
      <w:sz w:val="18"/>
      <w:szCs w:val="18"/>
    </w:rPr>
  </w:style>
  <w:style w:type="paragraph" w:customStyle="1" w:styleId="Tabletext">
    <w:name w:val="Table text"/>
    <w:basedOn w:val="Normal"/>
    <w:link w:val="TabletextChar"/>
    <w:qFormat/>
    <w:rsid w:val="009B2299"/>
    <w:pPr>
      <w:tabs>
        <w:tab w:val="left" w:pos="601"/>
      </w:tabs>
      <w:spacing w:before="120" w:after="120" w:line="240" w:lineRule="auto"/>
      <w:ind w:left="34" w:hanging="34"/>
    </w:pPr>
    <w:rPr>
      <w:sz w:val="24"/>
      <w:lang w:val="en-AU"/>
    </w:rPr>
  </w:style>
  <w:style w:type="paragraph" w:customStyle="1" w:styleId="Bullet">
    <w:name w:val="Bullet"/>
    <w:basedOn w:val="Normal"/>
    <w:link w:val="BulletChar"/>
    <w:rsid w:val="00673883"/>
    <w:pPr>
      <w:numPr>
        <w:numId w:val="1"/>
      </w:numPr>
      <w:spacing w:after="0"/>
    </w:pPr>
    <w:rPr>
      <w:sz w:val="24"/>
      <w:lang w:val="en-AU"/>
    </w:rPr>
  </w:style>
  <w:style w:type="character" w:customStyle="1" w:styleId="TabletextChar">
    <w:name w:val="Table text Char"/>
    <w:basedOn w:val="DefaultParagraphFont"/>
    <w:link w:val="Tabletext"/>
    <w:rsid w:val="00673883"/>
    <w:rPr>
      <w:sz w:val="24"/>
      <w:lang w:val="en-AU"/>
    </w:rPr>
  </w:style>
  <w:style w:type="character" w:customStyle="1" w:styleId="BulletChar">
    <w:name w:val="Bullet Char"/>
    <w:basedOn w:val="TabletextChar"/>
    <w:link w:val="Bullet"/>
    <w:rsid w:val="00673883"/>
    <w:rPr>
      <w:sz w:val="24"/>
      <w:lang w:val="en-AU"/>
    </w:rPr>
  </w:style>
  <w:style w:type="paragraph" w:customStyle="1" w:styleId="Dash">
    <w:name w:val="Dash"/>
    <w:basedOn w:val="Normal"/>
    <w:link w:val="DashChar"/>
    <w:rsid w:val="00673883"/>
    <w:pPr>
      <w:numPr>
        <w:ilvl w:val="1"/>
        <w:numId w:val="1"/>
      </w:numPr>
      <w:spacing w:after="0"/>
    </w:pPr>
    <w:rPr>
      <w:sz w:val="24"/>
      <w:lang w:val="en-AU"/>
    </w:rPr>
  </w:style>
  <w:style w:type="character" w:customStyle="1" w:styleId="DashChar">
    <w:name w:val="Dash Char"/>
    <w:basedOn w:val="TabletextChar"/>
    <w:link w:val="Dash"/>
    <w:rsid w:val="00673883"/>
    <w:rPr>
      <w:sz w:val="24"/>
      <w:lang w:val="en-AU"/>
    </w:rPr>
  </w:style>
  <w:style w:type="paragraph" w:customStyle="1" w:styleId="DoubleDot">
    <w:name w:val="Double Dot"/>
    <w:basedOn w:val="Normal"/>
    <w:link w:val="DoubleDotChar"/>
    <w:rsid w:val="00673883"/>
    <w:pPr>
      <w:numPr>
        <w:ilvl w:val="2"/>
        <w:numId w:val="1"/>
      </w:numPr>
      <w:spacing w:after="0"/>
    </w:pPr>
    <w:rPr>
      <w:sz w:val="24"/>
      <w:lang w:val="en-AU"/>
    </w:rPr>
  </w:style>
  <w:style w:type="character" w:customStyle="1" w:styleId="DoubleDotChar">
    <w:name w:val="Double Dot Char"/>
    <w:basedOn w:val="TabletextChar"/>
    <w:link w:val="DoubleDot"/>
    <w:rsid w:val="00673883"/>
    <w:rPr>
      <w:sz w:val="24"/>
      <w:lang w:val="en-AU"/>
    </w:rPr>
  </w:style>
  <w:style w:type="paragraph" w:styleId="BodyText">
    <w:name w:val="Body Text"/>
    <w:aliases w:val="CAB - Body Text,Body Text Cab"/>
    <w:link w:val="BodyTextChar"/>
    <w:rsid w:val="00F40622"/>
    <w:pPr>
      <w:spacing w:before="120" w:after="0" w:line="240" w:lineRule="auto"/>
    </w:pPr>
    <w:rPr>
      <w:rFonts w:ascii="Arial" w:hAnsi="Arial"/>
      <w:lang w:val="en-AU"/>
    </w:rPr>
  </w:style>
  <w:style w:type="character" w:customStyle="1" w:styleId="BodyTextChar">
    <w:name w:val="Body Text Char"/>
    <w:aliases w:val="CAB - Body Text Char,Body Text Cab Char"/>
    <w:basedOn w:val="DefaultParagraphFont"/>
    <w:link w:val="BodyText"/>
    <w:rsid w:val="00F40622"/>
    <w:rPr>
      <w:rFonts w:ascii="Arial" w:hAnsi="Arial"/>
      <w:lang w:val="en-AU"/>
    </w:rPr>
  </w:style>
  <w:style w:type="character" w:styleId="CommentReference">
    <w:name w:val="annotation reference"/>
    <w:basedOn w:val="DefaultParagraphFont"/>
    <w:uiPriority w:val="99"/>
    <w:semiHidden/>
    <w:unhideWhenUsed/>
    <w:rsid w:val="00BD3309"/>
    <w:rPr>
      <w:sz w:val="16"/>
      <w:szCs w:val="16"/>
    </w:rPr>
  </w:style>
  <w:style w:type="paragraph" w:styleId="CommentText">
    <w:name w:val="annotation text"/>
    <w:basedOn w:val="Normal"/>
    <w:link w:val="CommentTextChar"/>
    <w:uiPriority w:val="99"/>
    <w:semiHidden/>
    <w:unhideWhenUsed/>
    <w:rsid w:val="00BD3309"/>
    <w:pPr>
      <w:spacing w:line="240" w:lineRule="auto"/>
    </w:pPr>
    <w:rPr>
      <w:sz w:val="20"/>
      <w:szCs w:val="20"/>
    </w:rPr>
  </w:style>
  <w:style w:type="character" w:customStyle="1" w:styleId="CommentTextChar">
    <w:name w:val="Comment Text Char"/>
    <w:basedOn w:val="DefaultParagraphFont"/>
    <w:link w:val="CommentText"/>
    <w:uiPriority w:val="99"/>
    <w:semiHidden/>
    <w:rsid w:val="00BD3309"/>
    <w:rPr>
      <w:sz w:val="20"/>
      <w:szCs w:val="20"/>
    </w:rPr>
  </w:style>
  <w:style w:type="paragraph" w:styleId="CommentSubject">
    <w:name w:val="annotation subject"/>
    <w:basedOn w:val="CommentText"/>
    <w:next w:val="CommentText"/>
    <w:link w:val="CommentSubjectChar"/>
    <w:uiPriority w:val="99"/>
    <w:semiHidden/>
    <w:unhideWhenUsed/>
    <w:rsid w:val="00BD3309"/>
    <w:rPr>
      <w:b/>
      <w:bCs/>
    </w:rPr>
  </w:style>
  <w:style w:type="character" w:customStyle="1" w:styleId="CommentSubjectChar">
    <w:name w:val="Comment Subject Char"/>
    <w:basedOn w:val="CommentTextChar"/>
    <w:link w:val="CommentSubject"/>
    <w:uiPriority w:val="99"/>
    <w:semiHidden/>
    <w:rsid w:val="00BD3309"/>
    <w:rPr>
      <w:b/>
      <w:bCs/>
      <w:sz w:val="20"/>
      <w:szCs w:val="20"/>
    </w:rPr>
  </w:style>
  <w:style w:type="paragraph" w:styleId="Revision">
    <w:name w:val="Revision"/>
    <w:hidden/>
    <w:uiPriority w:val="99"/>
    <w:semiHidden/>
    <w:rsid w:val="0066271D"/>
    <w:pPr>
      <w:spacing w:after="0" w:line="240" w:lineRule="auto"/>
    </w:pPr>
  </w:style>
  <w:style w:type="paragraph" w:styleId="Header">
    <w:name w:val="header"/>
    <w:basedOn w:val="Normal"/>
    <w:link w:val="HeaderChar"/>
    <w:uiPriority w:val="99"/>
    <w:unhideWhenUsed/>
    <w:rsid w:val="007A0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FB7"/>
  </w:style>
  <w:style w:type="paragraph" w:styleId="Footer">
    <w:name w:val="footer"/>
    <w:basedOn w:val="Normal"/>
    <w:link w:val="FooterChar"/>
    <w:uiPriority w:val="99"/>
    <w:unhideWhenUsed/>
    <w:rsid w:val="007A0F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FB7"/>
  </w:style>
  <w:style w:type="paragraph" w:styleId="ListParagraph">
    <w:name w:val="List Paragraph"/>
    <w:basedOn w:val="Normal"/>
    <w:uiPriority w:val="34"/>
    <w:qFormat/>
    <w:rsid w:val="00940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075460">
      <w:bodyDiv w:val="1"/>
      <w:marLeft w:val="0"/>
      <w:marRight w:val="0"/>
      <w:marTop w:val="0"/>
      <w:marBottom w:val="0"/>
      <w:divBdr>
        <w:top w:val="none" w:sz="0" w:space="0" w:color="auto"/>
        <w:left w:val="none" w:sz="0" w:space="0" w:color="auto"/>
        <w:bottom w:val="none" w:sz="0" w:space="0" w:color="auto"/>
        <w:right w:val="none" w:sz="0" w:space="0" w:color="auto"/>
      </w:divBdr>
    </w:div>
    <w:div w:id="161100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77b7a547-5880-464f-83f8-cefe583c3af4" ContentTypeId="0x010100BCBF50F8A60B9C40BFC256C0F7AAB54B02" PreviousValue="false"/>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BE Document" ma:contentTypeID="0x010100BCBF50F8A60B9C40BFC256C0F7AAB54B020027D279550EA4E64DB5967A95B15DCAE6" ma:contentTypeVersion="15507" ma:contentTypeDescription="" ma:contentTypeScope="" ma:versionID="a2202e80e20799dca8accf45f096e15c">
  <xsd:schema xmlns:xsd="http://www.w3.org/2001/XMLSchema" xmlns:xs="http://www.w3.org/2001/XMLSchema" xmlns:p="http://schemas.microsoft.com/office/2006/metadata/properties" xmlns:ns1="http://schemas.microsoft.com/sharepoint/v3" xmlns:ns2="0f563589-9cf9-4143-b1eb-fb0534803d38" targetNamespace="http://schemas.microsoft.com/office/2006/metadata/properties" ma:root="true" ma:fieldsID="a96547130305ea6e9d8e5a1b052f1b80" ns1:_="" ns2:_="">
    <xsd:import namespace="http://schemas.microsoft.com/sharepoint/v3"/>
    <xsd:import namespace="0f563589-9cf9-4143-b1eb-fb0534803d3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2:add27a667d2841e58171e440c698d19c" minOccurs="0"/>
                <xsd:element ref="ns2:h560149d4e8940498545eba76c67c1b0" minOccurs="0"/>
                <xsd:element ref="ns2:a545652da9b64c04bddaa252992c2e5c" minOccurs="0"/>
                <xsd:element ref="ns2:c36c8e015f43491f9d5b34b1ebe5761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6619c428-5760-4699-875d-f972724811fc}" ma:internalName="TaxCatchAll" ma:showField="CatchAllData" ma:web="aa21ed36-cb61-48d0-9186-c5704b3d4dc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619c428-5760-4699-875d-f972724811fc}" ma:internalName="TaxCatchAllLabel" ma:readOnly="true" ma:showField="CatchAllDataLabel" ma:web="aa21ed36-cb61-48d0-9186-c5704b3d4dc2">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element name="add27a667d2841e58171e440c698d19c" ma:index="16" ma:taxonomy="true" ma:internalName="add27a667d2841e58171e440c698d19c" ma:taxonomyFieldName="BETopics" ma:displayName="BETopics" ma:default="" ma:fieldId="{add27a66-7d28-41e5-8171-e440c698d19c}" ma:taxonomyMulti="true" ma:sspId="77b7a547-5880-464f-83f8-cefe583c3af4" ma:termSetId="5ad9bdc0-881e-4a06-8325-cf02134be2c9" ma:anchorId="ed59a8d8-4dc5-401b-b4eb-36ff97d3d830" ma:open="false" ma:isKeyword="false">
      <xsd:complexType>
        <xsd:sequence>
          <xsd:element ref="pc:Terms" minOccurs="0" maxOccurs="1"/>
        </xsd:sequence>
      </xsd:complexType>
    </xsd:element>
    <xsd:element name="h560149d4e8940498545eba76c67c1b0" ma:index="18" ma:taxonomy="true" ma:internalName="h560149d4e8940498545eba76c67c1b0" ma:taxonomyFieldName="BEProducts" ma:displayName="BEProducts" ma:readOnly="false" ma:default="" ma:fieldId="{1560149d-4e89-4049-8545-eba76c67c1b0}" ma:taxonomyMulti="true" ma:sspId="77b7a547-5880-464f-83f8-cefe583c3af4" ma:termSetId="461aab9e-f33a-4b72-8e45-36cc5568182a" ma:anchorId="a87981e2-7fd9-40b0-a72e-f14f248366c9" ma:open="false" ma:isKeyword="false">
      <xsd:complexType>
        <xsd:sequence>
          <xsd:element ref="pc:Terms" minOccurs="0" maxOccurs="1"/>
        </xsd:sequence>
      </xsd:complexType>
    </xsd:element>
    <xsd:element name="a545652da9b64c04bddaa252992c2e5c" ma:index="20" nillable="true" ma:taxonomy="true" ma:internalName="a545652da9b64c04bddaa252992c2e5c" ma:taxonomyFieldName="BEAgency" ma:displayName="BEAgency" ma:readOnly="false" ma:default="" ma:fieldId="{a545652d-a9b6-4c04-bdda-a252992c2e5c}" ma:taxonomyMulti="true" ma:sspId="77b7a547-5880-464f-83f8-cefe583c3af4" ma:termSetId="a40509a3-eac7-4d26-b640-6b34cfd6eb0b" ma:anchorId="00000000-0000-0000-0000-000000000000" ma:open="false" ma:isKeyword="false">
      <xsd:complexType>
        <xsd:sequence>
          <xsd:element ref="pc:Terms" minOccurs="0" maxOccurs="1"/>
        </xsd:sequence>
      </xsd:complexType>
    </xsd:element>
    <xsd:element name="c36c8e015f43491f9d5b34b1ebe5761b" ma:index="22" ma:taxonomy="true" ma:internalName="c36c8e015f43491f9d5b34b1ebe5761b" ma:taxonomyFieldName="BEProcess" ma:displayName="BEProcess" ma:readOnly="false" ma:default="" ma:fieldId="{c36c8e01-5f43-491f-9d5b-34b1ebe5761b}" ma:taxonomyMulti="true" ma:sspId="77b7a547-5880-464f-83f8-cefe583c3af4" ma:termSetId="461aab9e-f33a-4b72-8e45-36cc5568182a" ma:anchorId="a6a5b896-006e-4e88-808e-4d927580661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h560149d4e8940498545eba76c67c1b0 xmlns="0f563589-9cf9-4143-b1eb-fb0534803d38">
      <Terms xmlns="http://schemas.microsoft.com/office/infopath/2007/PartnerControls">
        <TermInfo xmlns="http://schemas.microsoft.com/office/infopath/2007/PartnerControls">
          <TermName xmlns="http://schemas.microsoft.com/office/infopath/2007/PartnerControls">Meeting related materials</TermName>
          <TermId xmlns="http://schemas.microsoft.com/office/infopath/2007/PartnerControls">3992bd4a-0a4b-414c-8770-1c5d95b1fa46</TermId>
        </TermInfo>
      </Terms>
    </h560149d4e8940498545eba76c67c1b0>
    <a545652da9b64c04bddaa252992c2e5c xmlns="0f563589-9cf9-4143-b1eb-fb0534803d38">
      <Terms xmlns="http://schemas.microsoft.com/office/infopath/2007/PartnerControls"/>
    </a545652da9b64c04bddaa252992c2e5c>
    <TaxCatchAll xmlns="0f563589-9cf9-4143-b1eb-fb0534803d38">
      <Value>355</Value>
      <Value>95</Value>
      <Value>74</Value>
    </TaxCatchAll>
    <c36c8e015f43491f9d5b34b1ebe5761b xmlns="0f563589-9cf9-4143-b1eb-fb0534803d38">
      <Terms xmlns="http://schemas.microsoft.com/office/infopath/2007/PartnerControls">
        <TermInfo xmlns="http://schemas.microsoft.com/office/infopath/2007/PartnerControls">
          <TermName xmlns="http://schemas.microsoft.com/office/infopath/2007/PartnerControls">Stakeholder Engagement External</TermName>
          <TermId xmlns="http://schemas.microsoft.com/office/infopath/2007/PartnerControls">59404595-5b2f-4bdd-9cf3-3d9bfa7621ac</TermId>
        </TermInfo>
      </Terms>
    </c36c8e015f43491f9d5b34b1ebe5761b>
    <TaxKeywordTaxHTField xmlns="0f563589-9cf9-4143-b1eb-fb0534803d38">
      <Terms xmlns="http://schemas.microsoft.com/office/infopath/2007/PartnerControls"/>
    </TaxKeywordTaxHTField>
    <add27a667d2841e58171e440c698d19c xmlns="0f563589-9cf9-4143-b1eb-fb0534803d38">
      <Terms xmlns="http://schemas.microsoft.com/office/infopath/2007/PartnerControls">
        <TermInfo xmlns="http://schemas.microsoft.com/office/infopath/2007/PartnerControls">
          <TermName xmlns="http://schemas.microsoft.com/office/infopath/2007/PartnerControls">Advisory Board</TermName>
          <TermId xmlns="http://schemas.microsoft.com/office/infopath/2007/PartnerControls">ec5da044-2dde-4054-8032-8600aa36b3e9</TermId>
        </TermInfo>
      </Terms>
    </add27a667d2841e58171e440c698d19c>
    <_dlc_DocId xmlns="0f563589-9cf9-4143-b1eb-fb0534803d38">2019R5URDSK5-677322510-4438</_dlc_DocId>
    <_dlc_DocIdUrl xmlns="0f563589-9cf9-4143-b1eb-fb0534803d38">
      <Url>http://tweb/sites/be/imp/_layouts/15/DocIdRedir.aspx?ID=2019R5URDSK5-677322510-4438</Url>
      <Description>2019R5URDSK5-677322510-4438</Description>
    </_dlc_DocIdUrl>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93E56-9D32-47C7-A085-2A6D018AD9E6}">
  <ds:schemaRefs>
    <ds:schemaRef ds:uri="Microsoft.SharePoint.Taxonomy.ContentTypeSync"/>
  </ds:schemaRefs>
</ds:datastoreItem>
</file>

<file path=customXml/itemProps2.xml><?xml version="1.0" encoding="utf-8"?>
<ds:datastoreItem xmlns:ds="http://schemas.openxmlformats.org/officeDocument/2006/customXml" ds:itemID="{55E9946C-F0AD-44B5-8AE3-AF42C86A3110}">
  <ds:schemaRefs>
    <ds:schemaRef ds:uri="http://schemas.microsoft.com/office/2006/metadata/customXsn"/>
  </ds:schemaRefs>
</ds:datastoreItem>
</file>

<file path=customXml/itemProps3.xml><?xml version="1.0" encoding="utf-8"?>
<ds:datastoreItem xmlns:ds="http://schemas.openxmlformats.org/officeDocument/2006/customXml" ds:itemID="{B34B09C1-FB44-4B07-B4CA-C092A911E46F}">
  <ds:schemaRefs>
    <ds:schemaRef ds:uri="http://schemas.microsoft.com/sharepoint/events"/>
  </ds:schemaRefs>
</ds:datastoreItem>
</file>

<file path=customXml/itemProps4.xml><?xml version="1.0" encoding="utf-8"?>
<ds:datastoreItem xmlns:ds="http://schemas.openxmlformats.org/officeDocument/2006/customXml" ds:itemID="{494B5BA3-CF25-404A-A0E3-F7E45B09848F}">
  <ds:schemaRefs>
    <ds:schemaRef ds:uri="http://schemas.microsoft.com/sharepoint/v3/contenttype/forms"/>
  </ds:schemaRefs>
</ds:datastoreItem>
</file>

<file path=customXml/itemProps5.xml><?xml version="1.0" encoding="utf-8"?>
<ds:datastoreItem xmlns:ds="http://schemas.openxmlformats.org/officeDocument/2006/customXml" ds:itemID="{F195A58F-CD2F-4A92-9D89-46CBF32AE2CB}">
  <ds:schemaRefs>
    <ds:schemaRef ds:uri="office.server.policy"/>
  </ds:schemaRefs>
</ds:datastoreItem>
</file>

<file path=customXml/itemProps6.xml><?xml version="1.0" encoding="utf-8"?>
<ds:datastoreItem xmlns:ds="http://schemas.openxmlformats.org/officeDocument/2006/customXml" ds:itemID="{FBC1120C-09EE-4346-A6B2-DDBF3710A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D22FB99-C5EE-4ED8-BB35-F62A69154940}">
  <ds:schemaRefs>
    <ds:schemaRef ds:uri="http://purl.org/dc/elements/1.1/"/>
    <ds:schemaRef ds:uri="http://schemas.microsoft.com/office/2006/metadata/properties"/>
    <ds:schemaRef ds:uri="0f563589-9cf9-4143-b1eb-fb0534803d38"/>
    <ds:schemaRef ds:uri="http://schemas.microsoft.com/sharepoint/v3"/>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8.xml><?xml version="1.0" encoding="utf-8"?>
<ds:datastoreItem xmlns:ds="http://schemas.openxmlformats.org/officeDocument/2006/customXml" ds:itemID="{40FEF040-62DF-4073-8306-5D90C08B2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2495</TotalTime>
  <Pages>4</Pages>
  <Words>1106</Words>
  <Characters>6363</Characters>
  <Application>Microsoft Office Word</Application>
  <DocSecurity>0</DocSecurity>
  <Lines>111</Lines>
  <Paragraphs>63</Paragraphs>
  <ScaleCrop>false</ScaleCrop>
  <HeadingPairs>
    <vt:vector size="2" baseType="variant">
      <vt:variant>
        <vt:lpstr>Title</vt:lpstr>
      </vt:variant>
      <vt:variant>
        <vt:i4>1</vt:i4>
      </vt:variant>
    </vt:vector>
  </HeadingPairs>
  <TitlesOfParts>
    <vt:vector size="1" baseType="lpstr">
      <vt:lpstr>Black Economy Advisory Board - 21 February 2020</vt:lpstr>
    </vt:vector>
  </TitlesOfParts>
  <Company>Australian Government - The Treasury</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Economy Advisory Board - 21 February 2020</dc:title>
  <dc:creator>Treasury</dc:creator>
  <cp:lastModifiedBy>Hill, Christine</cp:lastModifiedBy>
  <cp:revision>48</cp:revision>
  <cp:lastPrinted>2020-02-23T23:56:00Z</cp:lastPrinted>
  <dcterms:created xsi:type="dcterms:W3CDTF">2020-02-24T04:59:00Z</dcterms:created>
  <dcterms:modified xsi:type="dcterms:W3CDTF">2020-03-29T23:16:00Z</dcterms:modified>
</cp:coreProperties>
</file>