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442289537"/>
        <w:docPartObj>
          <w:docPartGallery w:val="Cover Pages"/>
          <w:docPartUnique/>
        </w:docPartObj>
      </w:sdtPr>
      <w:sdtContent>
        <w:p w14:paraId="6070279E" w14:textId="77777777" w:rsidR="00A97160" w:rsidRPr="006D0240" w:rsidRDefault="00A97160" w:rsidP="006469CC">
          <w:pPr>
            <w:pStyle w:val="ListParagraph"/>
          </w:pPr>
          <w:r>
            <w:rPr>
              <w:noProof/>
            </w:rPr>
            <w:drawing>
              <wp:anchor distT="0" distB="0" distL="114300" distR="114300" simplePos="0" relativeHeight="251658240" behindDoc="1" locked="0" layoutInCell="1" allowOverlap="1" wp14:anchorId="6C37A3B5" wp14:editId="0304BA24">
                <wp:simplePos x="0" y="0"/>
                <wp:positionH relativeFrom="margin">
                  <wp:posOffset>-905510</wp:posOffset>
                </wp:positionH>
                <wp:positionV relativeFrom="page">
                  <wp:posOffset>-17780</wp:posOffset>
                </wp:positionV>
                <wp:extent cx="7570800" cy="107100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570800" cy="1071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ACB203" w14:textId="77777777" w:rsidR="00A97160" w:rsidRPr="006D0240" w:rsidRDefault="00A97160" w:rsidP="00301755">
          <w:pPr>
            <w:pStyle w:val="Header"/>
            <w:spacing w:after="1200"/>
          </w:pPr>
        </w:p>
        <w:p w14:paraId="7DBEF9B2" w14:textId="2F847D0E" w:rsidR="00E90BA9" w:rsidRPr="00E90BA9" w:rsidRDefault="00FF3088" w:rsidP="003567D3">
          <w:pPr>
            <w:pStyle w:val="Title"/>
            <w:tabs>
              <w:tab w:val="left" w:pos="6379"/>
            </w:tabs>
            <w:spacing w:after="120" w:line="720" w:lineRule="exact"/>
            <w:ind w:right="1982"/>
          </w:pPr>
          <w:r>
            <w:t>Commonwealth Climate Disclosure</w:t>
          </w:r>
        </w:p>
        <w:p w14:paraId="6C2E6E2F" w14:textId="1D84DF4F" w:rsidR="00A97160" w:rsidRPr="00586605" w:rsidRDefault="00FF3088" w:rsidP="006923DF">
          <w:pPr>
            <w:pStyle w:val="ReportDate"/>
          </w:pPr>
          <w:r>
            <w:rPr>
              <w:rStyle w:val="ReportDateChar"/>
            </w:rPr>
            <w:t>2025-26</w:t>
          </w:r>
        </w:p>
        <w:p w14:paraId="463FEEA3" w14:textId="77777777" w:rsidR="00A97160" w:rsidRDefault="00A97160">
          <w:pPr>
            <w:spacing w:before="0" w:after="160" w:line="259" w:lineRule="auto"/>
          </w:pPr>
          <w:r>
            <w:br w:type="page"/>
          </w:r>
        </w:p>
      </w:sdtContent>
    </w:sdt>
    <w:p w14:paraId="66D6AB01" w14:textId="6010BCD6" w:rsidR="00E64535" w:rsidRDefault="00E64535" w:rsidP="00E64535">
      <w:pPr>
        <w:spacing w:before="0" w:after="160" w:line="259" w:lineRule="auto"/>
      </w:pPr>
      <w:r w:rsidRPr="00661BF0">
        <w:lastRenderedPageBreak/>
        <w:t xml:space="preserve">© Commonwealth of Australia </w:t>
      </w:r>
      <w:r w:rsidRPr="00FF3088">
        <w:t>202</w:t>
      </w:r>
      <w:r w:rsidR="00FF3088" w:rsidRPr="00FF3088">
        <w:t>6</w:t>
      </w:r>
    </w:p>
    <w:p w14:paraId="72A2AF21" w14:textId="77777777" w:rsidR="00956E58" w:rsidRPr="009B721A" w:rsidRDefault="00956E58" w:rsidP="00956E58">
      <w:r w:rsidRPr="009B721A">
        <w:t>ISSN 0728-9405</w:t>
      </w:r>
    </w:p>
    <w:p w14:paraId="2DB292E4" w14:textId="77777777" w:rsidR="00E64535" w:rsidRPr="00086F82" w:rsidRDefault="00E64535" w:rsidP="00E64535">
      <w:pPr>
        <w:tabs>
          <w:tab w:val="left" w:pos="1650"/>
        </w:tabs>
        <w:spacing w:before="240"/>
        <w:rPr>
          <w:rFonts w:cstheme="minorBidi"/>
          <w:sz w:val="24"/>
          <w:szCs w:val="24"/>
        </w:rPr>
      </w:pPr>
      <w:r w:rsidRPr="002F1BC2">
        <w:t>This publication is available for your use under a</w:t>
      </w:r>
      <w:r w:rsidRPr="00476F09">
        <w:rPr>
          <w:rFonts w:cstheme="minorHAnsi"/>
          <w:sz w:val="24"/>
          <w:szCs w:val="24"/>
        </w:rPr>
        <w:t xml:space="preserve"> </w:t>
      </w:r>
      <w:hyperlink r:id="rId8" w:history="1">
        <w:r>
          <w:rPr>
            <w:rStyle w:val="Hyperlink"/>
          </w:rPr>
          <w:t>Creative Commons Attribution 4.0 International</w:t>
        </w:r>
      </w:hyperlink>
      <w:r w:rsidRPr="00476F09">
        <w:rPr>
          <w:rFonts w:cstheme="minorHAnsi"/>
          <w:sz w:val="24"/>
          <w:szCs w:val="24"/>
        </w:rPr>
        <w:t xml:space="preserve"> </w:t>
      </w:r>
      <w:r w:rsidRPr="002F1BC2">
        <w:t xml:space="preserve">licence, </w:t>
      </w:r>
      <w:proofErr w:type="gramStart"/>
      <w:r w:rsidRPr="002F1BC2">
        <w:t>with the exception of</w:t>
      </w:r>
      <w:proofErr w:type="gramEnd"/>
      <w:r w:rsidRPr="002F1BC2">
        <w:t xml:space="preserve"> the Commonwealth Coat of Arms, the Treasury logo</w:t>
      </w:r>
      <w:r>
        <w:t xml:space="preserve">, photographs, images, </w:t>
      </w:r>
      <w:r w:rsidRPr="004F5ACF">
        <w:t>third party materials, materials protected by a trademark,</w:t>
      </w:r>
      <w:r>
        <w:t xml:space="preserve"> signatures </w:t>
      </w:r>
      <w:r w:rsidRPr="002F1BC2">
        <w:t>and where otherwise stated</w:t>
      </w:r>
      <w:r>
        <w:t xml:space="preserve">. </w:t>
      </w:r>
      <w:r w:rsidRPr="002F1BC2">
        <w:t>The full licence terms are available from</w:t>
      </w:r>
      <w:r w:rsidRPr="00476F09">
        <w:rPr>
          <w:rFonts w:cstheme="minorHAnsi"/>
          <w:sz w:val="24"/>
          <w:szCs w:val="24"/>
        </w:rPr>
        <w:t xml:space="preserve"> </w:t>
      </w:r>
      <w:hyperlink r:id="rId9" w:history="1">
        <w:r>
          <w:rPr>
            <w:rStyle w:val="Hyperlink"/>
          </w:rPr>
          <w:t>creativecommons.org/licenses/by/4.0/</w:t>
        </w:r>
        <w:proofErr w:type="spellStart"/>
        <w:r>
          <w:rPr>
            <w:rStyle w:val="Hyperlink"/>
          </w:rPr>
          <w:t>legalcode</w:t>
        </w:r>
        <w:proofErr w:type="spellEnd"/>
      </w:hyperlink>
      <w:r w:rsidRPr="00444CDB">
        <w:t>.</w:t>
      </w:r>
      <w:r w:rsidRPr="00D06A21">
        <w:rPr>
          <w:sz w:val="24"/>
          <w:szCs w:val="24"/>
        </w:rPr>
        <w:t xml:space="preserve"> </w:t>
      </w:r>
    </w:p>
    <w:p w14:paraId="36B9F9FD" w14:textId="77777777" w:rsidR="00E64535" w:rsidRDefault="00E64535" w:rsidP="00E64535">
      <w:pPr>
        <w:pStyle w:val="ChartGraphic"/>
        <w:jc w:val="left"/>
      </w:pPr>
      <w:r w:rsidRPr="00E56DFB">
        <w:rPr>
          <w:noProof/>
        </w:rPr>
        <w:drawing>
          <wp:inline distT="0" distB="0" distL="0" distR="0" wp14:anchorId="7120D314" wp14:editId="134E989C">
            <wp:extent cx="809625" cy="285750"/>
            <wp:effectExtent l="0" t="0" r="9525" b="0"/>
            <wp:docPr id="3" name="Picture 1" descr="Creative Commons attribution licence 3.0 icon. " title="Creative Common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 by_gre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9625" cy="285750"/>
                    </a:xfrm>
                    <a:prstGeom prst="rect">
                      <a:avLst/>
                    </a:prstGeom>
                    <a:noFill/>
                    <a:ln w="9525">
                      <a:noFill/>
                      <a:miter lim="800000"/>
                      <a:headEnd/>
                      <a:tailEnd/>
                    </a:ln>
                  </pic:spPr>
                </pic:pic>
              </a:graphicData>
            </a:graphic>
          </wp:inline>
        </w:drawing>
      </w:r>
    </w:p>
    <w:p w14:paraId="17B82B7D" w14:textId="77777777" w:rsidR="00E64535" w:rsidRPr="006627B4" w:rsidRDefault="00E64535" w:rsidP="00E64535">
      <w:pPr>
        <w:tabs>
          <w:tab w:val="left" w:pos="1650"/>
        </w:tabs>
        <w:spacing w:before="240"/>
      </w:pPr>
      <w:r w:rsidRPr="006627B4">
        <w:t>Use of Treasury material under a</w:t>
      </w:r>
      <w:r w:rsidRPr="00476F09">
        <w:rPr>
          <w:rFonts w:cstheme="minorHAnsi"/>
          <w:sz w:val="24"/>
          <w:szCs w:val="24"/>
        </w:rPr>
        <w:t xml:space="preserve"> </w:t>
      </w:r>
      <w:hyperlink r:id="rId11" w:history="1">
        <w:r>
          <w:rPr>
            <w:rStyle w:val="Hyperlink"/>
          </w:rPr>
          <w:t>Creative Commons Attribution 4.0 International</w:t>
        </w:r>
      </w:hyperlink>
      <w:r>
        <w:t xml:space="preserve"> l</w:t>
      </w:r>
      <w:r w:rsidRPr="006627B4">
        <w:t>icence requires you to attribute the work (but not in any way that suggests that the Treasury endorse</w:t>
      </w:r>
      <w:r>
        <w:t>s you or your use of the work).</w:t>
      </w:r>
    </w:p>
    <w:p w14:paraId="0F692651" w14:textId="77777777" w:rsidR="00E64535" w:rsidRPr="00444CDB" w:rsidRDefault="00E64535" w:rsidP="00E64535">
      <w:pPr>
        <w:spacing w:before="240"/>
        <w:rPr>
          <w:rStyle w:val="Strong"/>
        </w:rPr>
      </w:pPr>
      <w:r w:rsidRPr="00444CDB">
        <w:rPr>
          <w:rStyle w:val="Strong"/>
        </w:rPr>
        <w:t>Treasury material used ‘as supplied’</w:t>
      </w:r>
    </w:p>
    <w:p w14:paraId="4FEFA4FA" w14:textId="77777777" w:rsidR="00E64535" w:rsidRPr="00476F09" w:rsidRDefault="00E64535" w:rsidP="00E64535">
      <w:r w:rsidRPr="00476F09">
        <w:t>Provided you have not modified or transformed Treasury material in any way including, for example, by</w:t>
      </w:r>
      <w:r>
        <w:t xml:space="preserve"> </w:t>
      </w:r>
      <w:r w:rsidRPr="0096692D">
        <w:t>changing the Treasury text; calculating percentage changes; graphing or charting data</w:t>
      </w:r>
      <w:r>
        <w:t>;</w:t>
      </w:r>
      <w:r w:rsidRPr="0096692D">
        <w:t xml:space="preserve"> or deriving new statistics from published Treasury statistics</w:t>
      </w:r>
      <w:r>
        <w:t xml:space="preserve"> </w:t>
      </w:r>
      <w:r>
        <w:rPr>
          <w:rFonts w:cs="Calibri Light"/>
        </w:rPr>
        <w:t>–</w:t>
      </w:r>
      <w:r>
        <w:t xml:space="preserve"> then Treasury prefers t</w:t>
      </w:r>
      <w:r w:rsidRPr="00476F09">
        <w:t xml:space="preserve">he following attribution: </w:t>
      </w:r>
    </w:p>
    <w:p w14:paraId="3798E376" w14:textId="77777777" w:rsidR="00E64535" w:rsidRPr="00A13A11" w:rsidRDefault="00E64535" w:rsidP="00E64535">
      <w:pPr>
        <w:ind w:firstLine="720"/>
      </w:pPr>
      <w:r w:rsidRPr="00E17231">
        <w:rPr>
          <w:iCs/>
        </w:rPr>
        <w:t>Source:</w:t>
      </w:r>
      <w:r w:rsidRPr="002F1BC2">
        <w:rPr>
          <w:i/>
        </w:rPr>
        <w:t xml:space="preserve"> </w:t>
      </w:r>
      <w:r w:rsidRPr="00AC2B70">
        <w:rPr>
          <w:rStyle w:val="Emphasis"/>
        </w:rPr>
        <w:t>The Commonwealth of Australia.</w:t>
      </w:r>
    </w:p>
    <w:p w14:paraId="7F5AFB22" w14:textId="77777777" w:rsidR="00E64535" w:rsidRPr="00444CDB" w:rsidRDefault="00E64535" w:rsidP="00E64535">
      <w:pPr>
        <w:spacing w:before="240"/>
        <w:rPr>
          <w:rStyle w:val="Strong"/>
        </w:rPr>
      </w:pPr>
      <w:r w:rsidRPr="00444CDB">
        <w:rPr>
          <w:rStyle w:val="Strong"/>
        </w:rPr>
        <w:t>Derivative material</w:t>
      </w:r>
    </w:p>
    <w:p w14:paraId="60613C50" w14:textId="77777777" w:rsidR="00E64535" w:rsidRPr="006627B4" w:rsidRDefault="00E64535" w:rsidP="00E64535">
      <w:r w:rsidRPr="006627B4">
        <w:t xml:space="preserve">If you have modified or transformed Treasury material, or derived new material from those of the Treasury in any way, then Treasury prefers the following attribution: </w:t>
      </w:r>
    </w:p>
    <w:p w14:paraId="0D53B7BC" w14:textId="77777777" w:rsidR="00E64535" w:rsidRPr="00AC2B70" w:rsidRDefault="00E64535" w:rsidP="00E64535">
      <w:pPr>
        <w:ind w:firstLine="720"/>
        <w:rPr>
          <w:rStyle w:val="Emphasis"/>
        </w:rPr>
      </w:pPr>
      <w:r w:rsidRPr="00AC2B70">
        <w:rPr>
          <w:rStyle w:val="Emphasis"/>
        </w:rPr>
        <w:t>Based on Commonwealth of Australia</w:t>
      </w:r>
      <w:r w:rsidRPr="00AC2B70" w:rsidDel="002A3368">
        <w:rPr>
          <w:rStyle w:val="Emphasis"/>
        </w:rPr>
        <w:t xml:space="preserve"> </w:t>
      </w:r>
      <w:r w:rsidRPr="00AC2B70">
        <w:rPr>
          <w:rStyle w:val="Emphasis"/>
        </w:rPr>
        <w:t>data</w:t>
      </w:r>
      <w:r w:rsidRPr="00E17231">
        <w:rPr>
          <w:rStyle w:val="Emphasis"/>
        </w:rPr>
        <w:t>.</w:t>
      </w:r>
    </w:p>
    <w:p w14:paraId="5FBC65A3" w14:textId="77777777" w:rsidR="00E64535" w:rsidRPr="00444CDB" w:rsidRDefault="00E64535" w:rsidP="00E64535">
      <w:pPr>
        <w:spacing w:before="240"/>
        <w:rPr>
          <w:rStyle w:val="Strong"/>
        </w:rPr>
      </w:pPr>
      <w:r w:rsidRPr="00444CDB">
        <w:rPr>
          <w:rStyle w:val="Strong"/>
        </w:rPr>
        <w:t>Use of the Coat of Arms</w:t>
      </w:r>
    </w:p>
    <w:p w14:paraId="5993FCD9" w14:textId="77777777" w:rsidR="00E64535" w:rsidRPr="005C503A" w:rsidRDefault="00E64535" w:rsidP="00E64535">
      <w:pPr>
        <w:spacing w:before="240"/>
      </w:pPr>
      <w:r w:rsidRPr="005C503A">
        <w:t xml:space="preserve">The terms under which the Coat of Arms can be used are set out on the Department of the Prime Minister and Cabinet website (see </w:t>
      </w:r>
      <w:hyperlink r:id="rId12" w:history="1">
        <w:r>
          <w:rPr>
            <w:rStyle w:val="Hyperlink"/>
          </w:rPr>
          <w:t>www.pmc.gov.au/government/commonwealth-coat-arms</w:t>
        </w:r>
      </w:hyperlink>
      <w:r w:rsidRPr="005C503A">
        <w:t>).</w:t>
      </w:r>
    </w:p>
    <w:p w14:paraId="1D57FA7C" w14:textId="77777777" w:rsidR="00E64535" w:rsidRPr="00444CDB" w:rsidRDefault="00E64535" w:rsidP="00E64535">
      <w:pPr>
        <w:spacing w:before="240"/>
        <w:rPr>
          <w:rStyle w:val="Strong"/>
        </w:rPr>
      </w:pPr>
      <w:r w:rsidRPr="00444CDB">
        <w:rPr>
          <w:rStyle w:val="Strong"/>
        </w:rPr>
        <w:t>Other uses</w:t>
      </w:r>
    </w:p>
    <w:p w14:paraId="53311EDE" w14:textId="77777777" w:rsidR="00E64535" w:rsidRPr="006627B4" w:rsidRDefault="00E64535" w:rsidP="00E64535">
      <w:r>
        <w:t>E</w:t>
      </w:r>
      <w:r w:rsidRPr="006627B4">
        <w:t>nquiries regarding this licence and any other use of this document are welcome at:</w:t>
      </w:r>
    </w:p>
    <w:p w14:paraId="1E7A10DA" w14:textId="77777777" w:rsidR="00E64535" w:rsidRDefault="00E64535" w:rsidP="00E64535">
      <w:pPr>
        <w:ind w:left="720"/>
        <w:rPr>
          <w:rStyle w:val="Hyperlink"/>
        </w:rPr>
      </w:pPr>
      <w:r w:rsidRPr="006627B4">
        <w:t>Manager</w:t>
      </w:r>
      <w:r>
        <w:br/>
        <w:t>Media Unit</w:t>
      </w:r>
      <w:r>
        <w:br/>
      </w:r>
      <w:r w:rsidRPr="006627B4">
        <w:t>The Treasury</w:t>
      </w:r>
      <w:r>
        <w:br/>
      </w:r>
      <w:r w:rsidRPr="006627B4">
        <w:t xml:space="preserve">Langton Crescent </w:t>
      </w:r>
      <w:r>
        <w:br/>
      </w:r>
      <w:proofErr w:type="gramStart"/>
      <w:r w:rsidRPr="006627B4">
        <w:t xml:space="preserve">Parkes </w:t>
      </w:r>
      <w:r>
        <w:t xml:space="preserve"> </w:t>
      </w:r>
      <w:r w:rsidRPr="006627B4">
        <w:t>ACT</w:t>
      </w:r>
      <w:proofErr w:type="gramEnd"/>
      <w:r w:rsidRPr="006627B4">
        <w:t xml:space="preserve"> </w:t>
      </w:r>
      <w:r>
        <w:t xml:space="preserve"> </w:t>
      </w:r>
      <w:r w:rsidRPr="006627B4">
        <w:t>2600</w:t>
      </w:r>
      <w:r>
        <w:br/>
      </w:r>
      <w:r w:rsidRPr="006627B4">
        <w:t xml:space="preserve">Email: </w:t>
      </w:r>
      <w:hyperlink r:id="rId13" w:history="1">
        <w:r>
          <w:rPr>
            <w:rStyle w:val="Hyperlink"/>
          </w:rPr>
          <w:t>media@treasury.gov.au</w:t>
        </w:r>
      </w:hyperlink>
    </w:p>
    <w:p w14:paraId="4BE54BBE" w14:textId="77777777" w:rsidR="00E64535" w:rsidRPr="003F1597" w:rsidRDefault="00E64535" w:rsidP="00E64535">
      <w:pPr>
        <w:rPr>
          <w:rStyle w:val="Emphasis"/>
        </w:rPr>
      </w:pPr>
      <w:r w:rsidRPr="003F1597">
        <w:rPr>
          <w:rStyle w:val="Emphasis"/>
        </w:rPr>
        <w:t>In the spirit of reconciliation, the Treasury acknowledges the Traditional Custodians of country throughout Australia and their connections to land, sea and community. We pay our respect to their Elders past and present and extend that respect to all Aboriginal and Torres Strait Islander peoples.</w:t>
      </w:r>
    </w:p>
    <w:p w14:paraId="36979BFB" w14:textId="77777777" w:rsidR="00F836F9" w:rsidRDefault="00F836F9" w:rsidP="00E64535"/>
    <w:p w14:paraId="7147AB7F" w14:textId="77777777" w:rsidR="00E64535" w:rsidRPr="00E64535" w:rsidRDefault="00E64535" w:rsidP="00E64535">
      <w:pPr>
        <w:sectPr w:rsidR="00E64535" w:rsidRPr="00E64535" w:rsidSect="00A97160">
          <w:footerReference w:type="default" r:id="rId14"/>
          <w:pgSz w:w="11906" w:h="16838" w:code="9"/>
          <w:pgMar w:top="1843" w:right="1418" w:bottom="1418" w:left="1418" w:header="709" w:footer="709" w:gutter="0"/>
          <w:pgNumType w:fmt="lowerRoman" w:start="0"/>
          <w:cols w:space="708"/>
          <w:titlePg/>
          <w:docGrid w:linePitch="360"/>
        </w:sectPr>
      </w:pPr>
    </w:p>
    <w:p w14:paraId="6444D86E" w14:textId="77777777" w:rsidR="00F44272" w:rsidRDefault="000E0B74" w:rsidP="00386297">
      <w:pPr>
        <w:pStyle w:val="Heading1"/>
        <w:rPr>
          <w:noProof/>
        </w:rPr>
      </w:pPr>
      <w:bookmarkStart w:id="0" w:name="_Toc111026801"/>
      <w:bookmarkStart w:id="1" w:name="_Toc238826586"/>
      <w:r w:rsidRPr="001F1B27">
        <w:lastRenderedPageBreak/>
        <w:t>Contents</w:t>
      </w:r>
      <w:bookmarkEnd w:id="0"/>
      <w:bookmarkEnd w:id="1"/>
      <w:r>
        <w:rPr>
          <w:noProof/>
          <w:color w:val="004A7F"/>
          <w:szCs w:val="22"/>
        </w:rPr>
        <w:fldChar w:fldCharType="begin"/>
      </w:r>
      <w:r w:rsidRPr="0025652F">
        <w:instrText xml:space="preserve"> TOC \o "1-3" \h \z \u </w:instrText>
      </w:r>
      <w:r>
        <w:rPr>
          <w:noProof/>
          <w:color w:val="004A7F"/>
          <w:szCs w:val="22"/>
        </w:rPr>
        <w:fldChar w:fldCharType="separate"/>
      </w:r>
    </w:p>
    <w:p w14:paraId="402FDCA3" w14:textId="4BBBC458" w:rsidR="00F44272" w:rsidRDefault="00F44272">
      <w:pPr>
        <w:pStyle w:val="TOC1"/>
        <w:rPr>
          <w:rFonts w:asciiTheme="minorHAnsi" w:eastAsiaTheme="minorEastAsia" w:hAnsiTheme="minorHAnsi" w:cstheme="minorBidi"/>
          <w:b w:val="0"/>
          <w:color w:val="auto"/>
          <w:kern w:val="2"/>
          <w:sz w:val="24"/>
          <w:szCs w:val="24"/>
          <w14:ligatures w14:val="standardContextual"/>
        </w:rPr>
      </w:pPr>
      <w:hyperlink w:anchor="_Toc238826586" w:history="1">
        <w:r w:rsidRPr="00352531">
          <w:rPr>
            <w:rStyle w:val="Hyperlink"/>
          </w:rPr>
          <w:t>Contents</w:t>
        </w:r>
        <w:r>
          <w:rPr>
            <w:webHidden/>
          </w:rPr>
          <w:tab/>
        </w:r>
        <w:r>
          <w:rPr>
            <w:webHidden/>
          </w:rPr>
          <w:fldChar w:fldCharType="begin"/>
        </w:r>
        <w:r>
          <w:rPr>
            <w:webHidden/>
          </w:rPr>
          <w:instrText xml:space="preserve"> PAGEREF _Toc238826586 \h </w:instrText>
        </w:r>
        <w:r>
          <w:rPr>
            <w:webHidden/>
          </w:rPr>
        </w:r>
        <w:r>
          <w:rPr>
            <w:webHidden/>
          </w:rPr>
          <w:fldChar w:fldCharType="separate"/>
        </w:r>
        <w:r>
          <w:rPr>
            <w:webHidden/>
          </w:rPr>
          <w:t>iii</w:t>
        </w:r>
        <w:r>
          <w:rPr>
            <w:webHidden/>
          </w:rPr>
          <w:fldChar w:fldCharType="end"/>
        </w:r>
      </w:hyperlink>
    </w:p>
    <w:p w14:paraId="0730298B" w14:textId="21D60E5C" w:rsidR="00F44272" w:rsidRDefault="00F44272">
      <w:pPr>
        <w:pStyle w:val="TOC1"/>
        <w:rPr>
          <w:rFonts w:asciiTheme="minorHAnsi" w:eastAsiaTheme="minorEastAsia" w:hAnsiTheme="minorHAnsi" w:cstheme="minorBidi"/>
          <w:b w:val="0"/>
          <w:color w:val="auto"/>
          <w:kern w:val="2"/>
          <w:sz w:val="24"/>
          <w:szCs w:val="24"/>
          <w14:ligatures w14:val="standardContextual"/>
        </w:rPr>
      </w:pPr>
      <w:hyperlink w:anchor="_Toc238826587" w:history="1">
        <w:r w:rsidRPr="00352531">
          <w:rPr>
            <w:rStyle w:val="Hyperlink"/>
          </w:rPr>
          <w:t>Commonwealth Climate Disclosure Report</w:t>
        </w:r>
        <w:r>
          <w:rPr>
            <w:webHidden/>
          </w:rPr>
          <w:tab/>
        </w:r>
        <w:r>
          <w:rPr>
            <w:webHidden/>
          </w:rPr>
          <w:fldChar w:fldCharType="begin"/>
        </w:r>
        <w:r>
          <w:rPr>
            <w:webHidden/>
          </w:rPr>
          <w:instrText xml:space="preserve"> PAGEREF _Toc238826587 \h </w:instrText>
        </w:r>
        <w:r>
          <w:rPr>
            <w:webHidden/>
          </w:rPr>
        </w:r>
        <w:r>
          <w:rPr>
            <w:webHidden/>
          </w:rPr>
          <w:fldChar w:fldCharType="separate"/>
        </w:r>
        <w:r>
          <w:rPr>
            <w:webHidden/>
          </w:rPr>
          <w:t>4</w:t>
        </w:r>
        <w:r>
          <w:rPr>
            <w:webHidden/>
          </w:rPr>
          <w:fldChar w:fldCharType="end"/>
        </w:r>
      </w:hyperlink>
    </w:p>
    <w:p w14:paraId="5DB6622E" w14:textId="6DBFD1AC" w:rsidR="00F44272" w:rsidRDefault="00F44272">
      <w:pPr>
        <w:pStyle w:val="TOC2"/>
        <w:rPr>
          <w:rFonts w:asciiTheme="minorHAnsi" w:eastAsiaTheme="minorEastAsia" w:hAnsiTheme="minorHAnsi" w:cstheme="minorBidi"/>
          <w:color w:val="auto"/>
          <w:kern w:val="2"/>
          <w:sz w:val="24"/>
          <w:szCs w:val="24"/>
          <w14:ligatures w14:val="standardContextual"/>
        </w:rPr>
      </w:pPr>
      <w:hyperlink w:anchor="_Toc238826588" w:history="1">
        <w:r w:rsidRPr="00352531">
          <w:rPr>
            <w:rStyle w:val="Hyperlink"/>
          </w:rPr>
          <w:t>Climate risk</w:t>
        </w:r>
        <w:r>
          <w:rPr>
            <w:webHidden/>
          </w:rPr>
          <w:tab/>
        </w:r>
        <w:r>
          <w:rPr>
            <w:webHidden/>
          </w:rPr>
          <w:fldChar w:fldCharType="begin"/>
        </w:r>
        <w:r>
          <w:rPr>
            <w:webHidden/>
          </w:rPr>
          <w:instrText xml:space="preserve"> PAGEREF _Toc238826588 \h </w:instrText>
        </w:r>
        <w:r>
          <w:rPr>
            <w:webHidden/>
          </w:rPr>
        </w:r>
        <w:r>
          <w:rPr>
            <w:webHidden/>
          </w:rPr>
          <w:fldChar w:fldCharType="separate"/>
        </w:r>
        <w:r>
          <w:rPr>
            <w:webHidden/>
          </w:rPr>
          <w:t>4</w:t>
        </w:r>
        <w:r>
          <w:rPr>
            <w:webHidden/>
          </w:rPr>
          <w:fldChar w:fldCharType="end"/>
        </w:r>
      </w:hyperlink>
    </w:p>
    <w:p w14:paraId="38E170C1" w14:textId="6FCE8C99" w:rsidR="00F44272" w:rsidRDefault="00F44272">
      <w:pPr>
        <w:pStyle w:val="TOC3"/>
        <w:rPr>
          <w:rFonts w:asciiTheme="minorHAnsi" w:eastAsiaTheme="minorEastAsia" w:hAnsiTheme="minorHAnsi" w:cstheme="minorBidi"/>
          <w:kern w:val="2"/>
          <w:sz w:val="24"/>
          <w:szCs w:val="24"/>
          <w14:ligatures w14:val="standardContextual"/>
        </w:rPr>
      </w:pPr>
      <w:hyperlink w:anchor="_Toc238826589" w:history="1">
        <w:r w:rsidRPr="00352531">
          <w:rPr>
            <w:rStyle w:val="Hyperlink"/>
          </w:rPr>
          <w:t>Table 1. Qualitative scenario assumptions drawn from CROMP Technical Guidance</w:t>
        </w:r>
        <w:r>
          <w:rPr>
            <w:webHidden/>
          </w:rPr>
          <w:tab/>
        </w:r>
        <w:r>
          <w:rPr>
            <w:webHidden/>
          </w:rPr>
          <w:fldChar w:fldCharType="begin"/>
        </w:r>
        <w:r>
          <w:rPr>
            <w:webHidden/>
          </w:rPr>
          <w:instrText xml:space="preserve"> PAGEREF _Toc238826589 \h </w:instrText>
        </w:r>
        <w:r>
          <w:rPr>
            <w:webHidden/>
          </w:rPr>
        </w:r>
        <w:r>
          <w:rPr>
            <w:webHidden/>
          </w:rPr>
          <w:fldChar w:fldCharType="separate"/>
        </w:r>
        <w:r>
          <w:rPr>
            <w:webHidden/>
          </w:rPr>
          <w:t>5</w:t>
        </w:r>
        <w:r>
          <w:rPr>
            <w:webHidden/>
          </w:rPr>
          <w:fldChar w:fldCharType="end"/>
        </w:r>
      </w:hyperlink>
    </w:p>
    <w:p w14:paraId="3BAF611F" w14:textId="054A48A7" w:rsidR="00F44272" w:rsidRDefault="00F44272">
      <w:pPr>
        <w:pStyle w:val="TOC3"/>
        <w:rPr>
          <w:rFonts w:asciiTheme="minorHAnsi" w:eastAsiaTheme="minorEastAsia" w:hAnsiTheme="minorHAnsi" w:cstheme="minorBidi"/>
          <w:kern w:val="2"/>
          <w:sz w:val="24"/>
          <w:szCs w:val="24"/>
          <w14:ligatures w14:val="standardContextual"/>
        </w:rPr>
      </w:pPr>
      <w:hyperlink w:anchor="_Toc238826590" w:history="1">
        <w:r w:rsidRPr="00352531">
          <w:rPr>
            <w:rStyle w:val="Hyperlink"/>
          </w:rPr>
          <w:t>Table 2: Treasury’s governance roles for climate-related risks</w:t>
        </w:r>
        <w:r>
          <w:rPr>
            <w:webHidden/>
          </w:rPr>
          <w:tab/>
        </w:r>
        <w:r>
          <w:rPr>
            <w:webHidden/>
          </w:rPr>
          <w:fldChar w:fldCharType="begin"/>
        </w:r>
        <w:r>
          <w:rPr>
            <w:webHidden/>
          </w:rPr>
          <w:instrText xml:space="preserve"> PAGEREF _Toc238826590 \h </w:instrText>
        </w:r>
        <w:r>
          <w:rPr>
            <w:webHidden/>
          </w:rPr>
        </w:r>
        <w:r>
          <w:rPr>
            <w:webHidden/>
          </w:rPr>
          <w:fldChar w:fldCharType="separate"/>
        </w:r>
        <w:r>
          <w:rPr>
            <w:webHidden/>
          </w:rPr>
          <w:t>6</w:t>
        </w:r>
        <w:r>
          <w:rPr>
            <w:webHidden/>
          </w:rPr>
          <w:fldChar w:fldCharType="end"/>
        </w:r>
      </w:hyperlink>
    </w:p>
    <w:p w14:paraId="522DC744" w14:textId="4705E0D0" w:rsidR="00F44272" w:rsidRDefault="00F44272">
      <w:pPr>
        <w:pStyle w:val="TOC2"/>
        <w:rPr>
          <w:rFonts w:asciiTheme="minorHAnsi" w:eastAsiaTheme="minorEastAsia" w:hAnsiTheme="minorHAnsi" w:cstheme="minorBidi"/>
          <w:color w:val="auto"/>
          <w:kern w:val="2"/>
          <w:sz w:val="24"/>
          <w:szCs w:val="24"/>
          <w14:ligatures w14:val="standardContextual"/>
        </w:rPr>
      </w:pPr>
      <w:hyperlink w:anchor="_Toc238826591" w:history="1">
        <w:r w:rsidRPr="00352531">
          <w:rPr>
            <w:rStyle w:val="Hyperlink"/>
          </w:rPr>
          <w:t>Climate strategy</w:t>
        </w:r>
        <w:r>
          <w:rPr>
            <w:webHidden/>
          </w:rPr>
          <w:tab/>
        </w:r>
        <w:r>
          <w:rPr>
            <w:webHidden/>
          </w:rPr>
          <w:fldChar w:fldCharType="begin"/>
        </w:r>
        <w:r>
          <w:rPr>
            <w:webHidden/>
          </w:rPr>
          <w:instrText xml:space="preserve"> PAGEREF _Toc238826591 \h </w:instrText>
        </w:r>
        <w:r>
          <w:rPr>
            <w:webHidden/>
          </w:rPr>
        </w:r>
        <w:r>
          <w:rPr>
            <w:webHidden/>
          </w:rPr>
          <w:fldChar w:fldCharType="separate"/>
        </w:r>
        <w:r>
          <w:rPr>
            <w:webHidden/>
          </w:rPr>
          <w:t>7</w:t>
        </w:r>
        <w:r>
          <w:rPr>
            <w:webHidden/>
          </w:rPr>
          <w:fldChar w:fldCharType="end"/>
        </w:r>
      </w:hyperlink>
    </w:p>
    <w:p w14:paraId="41424FD9" w14:textId="3D170F1E" w:rsidR="00F44272" w:rsidRDefault="00F44272">
      <w:pPr>
        <w:pStyle w:val="TOC3"/>
        <w:rPr>
          <w:rFonts w:asciiTheme="minorHAnsi" w:eastAsiaTheme="minorEastAsia" w:hAnsiTheme="minorHAnsi" w:cstheme="minorBidi"/>
          <w:kern w:val="2"/>
          <w:sz w:val="24"/>
          <w:szCs w:val="24"/>
          <w14:ligatures w14:val="standardContextual"/>
        </w:rPr>
      </w:pPr>
      <w:hyperlink w:anchor="_Toc238826592" w:history="1">
        <w:r w:rsidRPr="00352531">
          <w:rPr>
            <w:rStyle w:val="Hyperlink"/>
            <w:rFonts w:eastAsiaTheme="minorHAnsi"/>
            <w:lang w:eastAsia="en-US"/>
          </w:rPr>
          <w:t>Table 3: Treasury material risks and opportunities</w:t>
        </w:r>
        <w:r>
          <w:rPr>
            <w:webHidden/>
          </w:rPr>
          <w:tab/>
        </w:r>
        <w:r>
          <w:rPr>
            <w:webHidden/>
          </w:rPr>
          <w:fldChar w:fldCharType="begin"/>
        </w:r>
        <w:r>
          <w:rPr>
            <w:webHidden/>
          </w:rPr>
          <w:instrText xml:space="preserve"> PAGEREF _Toc238826592 \h </w:instrText>
        </w:r>
        <w:r>
          <w:rPr>
            <w:webHidden/>
          </w:rPr>
        </w:r>
        <w:r>
          <w:rPr>
            <w:webHidden/>
          </w:rPr>
          <w:fldChar w:fldCharType="separate"/>
        </w:r>
        <w:r>
          <w:rPr>
            <w:webHidden/>
          </w:rPr>
          <w:t>8</w:t>
        </w:r>
        <w:r>
          <w:rPr>
            <w:webHidden/>
          </w:rPr>
          <w:fldChar w:fldCharType="end"/>
        </w:r>
      </w:hyperlink>
    </w:p>
    <w:p w14:paraId="27FE1100" w14:textId="2EEDE347" w:rsidR="00F44272" w:rsidRDefault="00F44272">
      <w:pPr>
        <w:pStyle w:val="TOC2"/>
        <w:rPr>
          <w:rFonts w:asciiTheme="minorHAnsi" w:eastAsiaTheme="minorEastAsia" w:hAnsiTheme="minorHAnsi" w:cstheme="minorBidi"/>
          <w:color w:val="auto"/>
          <w:kern w:val="2"/>
          <w:sz w:val="24"/>
          <w:szCs w:val="24"/>
          <w14:ligatures w14:val="standardContextual"/>
        </w:rPr>
      </w:pPr>
      <w:hyperlink w:anchor="_Toc238826593" w:history="1">
        <w:r w:rsidRPr="00352531">
          <w:rPr>
            <w:rStyle w:val="Hyperlink"/>
          </w:rPr>
          <w:t>Climate-related metrics</w:t>
        </w:r>
        <w:r>
          <w:rPr>
            <w:webHidden/>
          </w:rPr>
          <w:tab/>
        </w:r>
        <w:r>
          <w:rPr>
            <w:webHidden/>
          </w:rPr>
          <w:fldChar w:fldCharType="begin"/>
        </w:r>
        <w:r>
          <w:rPr>
            <w:webHidden/>
          </w:rPr>
          <w:instrText xml:space="preserve"> PAGEREF _Toc238826593 \h </w:instrText>
        </w:r>
        <w:r>
          <w:rPr>
            <w:webHidden/>
          </w:rPr>
        </w:r>
        <w:r>
          <w:rPr>
            <w:webHidden/>
          </w:rPr>
          <w:fldChar w:fldCharType="separate"/>
        </w:r>
        <w:r>
          <w:rPr>
            <w:webHidden/>
          </w:rPr>
          <w:t>11</w:t>
        </w:r>
        <w:r>
          <w:rPr>
            <w:webHidden/>
          </w:rPr>
          <w:fldChar w:fldCharType="end"/>
        </w:r>
      </w:hyperlink>
    </w:p>
    <w:p w14:paraId="58DEE652" w14:textId="42D97C35" w:rsidR="00F44272" w:rsidRDefault="00F44272">
      <w:pPr>
        <w:pStyle w:val="TOC3"/>
        <w:rPr>
          <w:rFonts w:asciiTheme="minorHAnsi" w:eastAsiaTheme="minorEastAsia" w:hAnsiTheme="minorHAnsi" w:cstheme="minorBidi"/>
          <w:kern w:val="2"/>
          <w:sz w:val="24"/>
          <w:szCs w:val="24"/>
          <w14:ligatures w14:val="standardContextual"/>
        </w:rPr>
      </w:pPr>
      <w:hyperlink w:anchor="_Toc238826594" w:history="1">
        <w:r w:rsidRPr="00352531">
          <w:rPr>
            <w:rStyle w:val="Hyperlink"/>
          </w:rPr>
          <w:t>Table 4: Treasury’s greenhouse gas emissions inventory 2025–26</w:t>
        </w:r>
        <w:r>
          <w:rPr>
            <w:webHidden/>
          </w:rPr>
          <w:tab/>
        </w:r>
        <w:r>
          <w:rPr>
            <w:webHidden/>
          </w:rPr>
          <w:fldChar w:fldCharType="begin"/>
        </w:r>
        <w:r>
          <w:rPr>
            <w:webHidden/>
          </w:rPr>
          <w:instrText xml:space="preserve"> PAGEREF _Toc238826594 \h </w:instrText>
        </w:r>
        <w:r>
          <w:rPr>
            <w:webHidden/>
          </w:rPr>
        </w:r>
        <w:r>
          <w:rPr>
            <w:webHidden/>
          </w:rPr>
          <w:fldChar w:fldCharType="separate"/>
        </w:r>
        <w:r>
          <w:rPr>
            <w:webHidden/>
          </w:rPr>
          <w:t>12</w:t>
        </w:r>
        <w:r>
          <w:rPr>
            <w:webHidden/>
          </w:rPr>
          <w:fldChar w:fldCharType="end"/>
        </w:r>
      </w:hyperlink>
    </w:p>
    <w:p w14:paraId="7A36AFE7" w14:textId="1AD4B0F6" w:rsidR="00F44272" w:rsidRDefault="00F44272">
      <w:pPr>
        <w:pStyle w:val="TOC3"/>
        <w:rPr>
          <w:rFonts w:asciiTheme="minorHAnsi" w:eastAsiaTheme="minorEastAsia" w:hAnsiTheme="minorHAnsi" w:cstheme="minorBidi"/>
          <w:kern w:val="2"/>
          <w:sz w:val="24"/>
          <w:szCs w:val="24"/>
          <w14:ligatures w14:val="standardContextual"/>
        </w:rPr>
      </w:pPr>
      <w:hyperlink w:anchor="_Toc238826595" w:history="1">
        <w:r w:rsidRPr="00352531">
          <w:rPr>
            <w:rStyle w:val="Hyperlink"/>
          </w:rPr>
          <w:t>Table 5: Treasury’s electricity greenhouse gas emissions 2025–26</w:t>
        </w:r>
        <w:r>
          <w:rPr>
            <w:webHidden/>
          </w:rPr>
          <w:tab/>
        </w:r>
        <w:r>
          <w:rPr>
            <w:webHidden/>
          </w:rPr>
          <w:fldChar w:fldCharType="begin"/>
        </w:r>
        <w:r>
          <w:rPr>
            <w:webHidden/>
          </w:rPr>
          <w:instrText xml:space="preserve"> PAGEREF _Toc238826595 \h </w:instrText>
        </w:r>
        <w:r>
          <w:rPr>
            <w:webHidden/>
          </w:rPr>
        </w:r>
        <w:r>
          <w:rPr>
            <w:webHidden/>
          </w:rPr>
          <w:fldChar w:fldCharType="separate"/>
        </w:r>
        <w:r>
          <w:rPr>
            <w:webHidden/>
          </w:rPr>
          <w:t>13</w:t>
        </w:r>
        <w:r>
          <w:rPr>
            <w:webHidden/>
          </w:rPr>
          <w:fldChar w:fldCharType="end"/>
        </w:r>
      </w:hyperlink>
    </w:p>
    <w:p w14:paraId="1F072223" w14:textId="3E93AF1B" w:rsidR="00F44272" w:rsidRDefault="00F44272">
      <w:pPr>
        <w:pStyle w:val="TOC2"/>
        <w:rPr>
          <w:rFonts w:asciiTheme="minorHAnsi" w:eastAsiaTheme="minorEastAsia" w:hAnsiTheme="minorHAnsi" w:cstheme="minorBidi"/>
          <w:color w:val="auto"/>
          <w:kern w:val="2"/>
          <w:sz w:val="24"/>
          <w:szCs w:val="24"/>
          <w14:ligatures w14:val="standardContextual"/>
        </w:rPr>
      </w:pPr>
      <w:hyperlink w:anchor="_Toc238826596" w:history="1">
        <w:r w:rsidRPr="00352531">
          <w:rPr>
            <w:rStyle w:val="Hyperlink"/>
          </w:rPr>
          <w:t>Climate-related targets</w:t>
        </w:r>
        <w:r>
          <w:rPr>
            <w:webHidden/>
          </w:rPr>
          <w:tab/>
        </w:r>
        <w:r>
          <w:rPr>
            <w:webHidden/>
          </w:rPr>
          <w:fldChar w:fldCharType="begin"/>
        </w:r>
        <w:r>
          <w:rPr>
            <w:webHidden/>
          </w:rPr>
          <w:instrText xml:space="preserve"> PAGEREF _Toc238826596 \h </w:instrText>
        </w:r>
        <w:r>
          <w:rPr>
            <w:webHidden/>
          </w:rPr>
        </w:r>
        <w:r>
          <w:rPr>
            <w:webHidden/>
          </w:rPr>
          <w:fldChar w:fldCharType="separate"/>
        </w:r>
        <w:r>
          <w:rPr>
            <w:webHidden/>
          </w:rPr>
          <w:t>13</w:t>
        </w:r>
        <w:r>
          <w:rPr>
            <w:webHidden/>
          </w:rPr>
          <w:fldChar w:fldCharType="end"/>
        </w:r>
      </w:hyperlink>
    </w:p>
    <w:p w14:paraId="6FB55DDF" w14:textId="2E31C12F" w:rsidR="00F44272" w:rsidRDefault="00F44272">
      <w:pPr>
        <w:pStyle w:val="TOC3"/>
        <w:rPr>
          <w:rFonts w:asciiTheme="minorHAnsi" w:eastAsiaTheme="minorEastAsia" w:hAnsiTheme="minorHAnsi" w:cstheme="minorBidi"/>
          <w:kern w:val="2"/>
          <w:sz w:val="24"/>
          <w:szCs w:val="24"/>
          <w14:ligatures w14:val="standardContextual"/>
        </w:rPr>
      </w:pPr>
      <w:hyperlink w:anchor="_Toc238826597" w:history="1">
        <w:r w:rsidRPr="00352531">
          <w:rPr>
            <w:rStyle w:val="Hyperlink"/>
          </w:rPr>
          <w:t>Table 6: Treasury’s progress towards the APS Net Zero 2030 target</w:t>
        </w:r>
        <w:r>
          <w:rPr>
            <w:webHidden/>
          </w:rPr>
          <w:tab/>
        </w:r>
        <w:r>
          <w:rPr>
            <w:webHidden/>
          </w:rPr>
          <w:fldChar w:fldCharType="begin"/>
        </w:r>
        <w:r>
          <w:rPr>
            <w:webHidden/>
          </w:rPr>
          <w:instrText xml:space="preserve"> PAGEREF _Toc238826597 \h </w:instrText>
        </w:r>
        <w:r>
          <w:rPr>
            <w:webHidden/>
          </w:rPr>
        </w:r>
        <w:r>
          <w:rPr>
            <w:webHidden/>
          </w:rPr>
          <w:fldChar w:fldCharType="separate"/>
        </w:r>
        <w:r>
          <w:rPr>
            <w:webHidden/>
          </w:rPr>
          <w:t>14</w:t>
        </w:r>
        <w:r>
          <w:rPr>
            <w:webHidden/>
          </w:rPr>
          <w:fldChar w:fldCharType="end"/>
        </w:r>
      </w:hyperlink>
    </w:p>
    <w:p w14:paraId="72E62BAD" w14:textId="77777777" w:rsidR="00F836F9" w:rsidRDefault="000E0B74" w:rsidP="0056582C">
      <w:pPr>
        <w:pStyle w:val="SingleParagraph"/>
        <w:ind w:right="-2"/>
      </w:pPr>
      <w:r>
        <w:fldChar w:fldCharType="end"/>
      </w:r>
      <w:bookmarkStart w:id="2" w:name="_Toc432067103"/>
      <w:bookmarkStart w:id="3" w:name="_Toc452635030"/>
    </w:p>
    <w:p w14:paraId="03268828" w14:textId="77777777" w:rsidR="00B775EE" w:rsidRDefault="00B775EE" w:rsidP="0056582C">
      <w:pPr>
        <w:pStyle w:val="SingleParagraph"/>
        <w:ind w:right="-2"/>
      </w:pPr>
    </w:p>
    <w:p w14:paraId="1CE679A4" w14:textId="23DDE78D" w:rsidR="00B775EE" w:rsidRPr="00F44272" w:rsidRDefault="00B775EE" w:rsidP="00F44272">
      <w:pPr>
        <w:pStyle w:val="Instructions"/>
        <w:sectPr w:rsidR="00B775EE" w:rsidRPr="00F44272" w:rsidSect="00164599">
          <w:headerReference w:type="even" r:id="rId15"/>
          <w:headerReference w:type="default" r:id="rId16"/>
          <w:footerReference w:type="even" r:id="rId17"/>
          <w:headerReference w:type="first" r:id="rId18"/>
          <w:footerReference w:type="first" r:id="rId19"/>
          <w:pgSz w:w="11906" w:h="16838" w:code="9"/>
          <w:pgMar w:top="1843" w:right="1418" w:bottom="1418" w:left="1418" w:header="709" w:footer="709" w:gutter="0"/>
          <w:pgNumType w:fmt="lowerRoman" w:start="3"/>
          <w:cols w:space="708"/>
          <w:titlePg/>
          <w:docGrid w:linePitch="360"/>
        </w:sectPr>
      </w:pPr>
    </w:p>
    <w:p w14:paraId="16C4C99F" w14:textId="77777777" w:rsidR="001E780D" w:rsidRPr="001E780D" w:rsidRDefault="001E780D" w:rsidP="001E780D">
      <w:pPr>
        <w:pStyle w:val="Heading1"/>
      </w:pPr>
      <w:bookmarkStart w:id="4" w:name="_Toc173502686"/>
      <w:bookmarkStart w:id="5" w:name="_Toc220071560"/>
      <w:bookmarkStart w:id="6" w:name="_Toc238826587"/>
      <w:bookmarkStart w:id="7" w:name="_Hlk207204980"/>
      <w:bookmarkEnd w:id="2"/>
      <w:bookmarkEnd w:id="3"/>
      <w:r w:rsidRPr="001E780D">
        <w:lastRenderedPageBreak/>
        <w:t>Commonwealth Climate Disclosure</w:t>
      </w:r>
      <w:bookmarkEnd w:id="4"/>
      <w:bookmarkEnd w:id="5"/>
      <w:r w:rsidRPr="001E780D">
        <w:t xml:space="preserve"> Report</w:t>
      </w:r>
      <w:bookmarkEnd w:id="6"/>
    </w:p>
    <w:bookmarkEnd w:id="7"/>
    <w:p w14:paraId="167784BF" w14:textId="4F025EFE" w:rsidR="001E780D" w:rsidRPr="001E780D" w:rsidRDefault="001E780D" w:rsidP="001E780D">
      <w:r w:rsidRPr="001E780D">
        <w:t xml:space="preserve">Commonwealth Climate Disclosure is the policy for Commonwealth entities to publicly disclose their exposure to climate risks and opportunities, as well as their actions to manage them. This disclosure addresses year 2 reporting provisions for tranche one entities, including Commonwealth departments of state. Treasury recognises in its </w:t>
      </w:r>
      <w:hyperlink r:id="rId20" w:history="1">
        <w:r w:rsidRPr="001E780D">
          <w:rPr>
            <w:color w:val="3A6FAF"/>
          </w:rPr>
          <w:t>Corporate Plan</w:t>
        </w:r>
      </w:hyperlink>
      <w:r w:rsidRPr="001E780D">
        <w:t xml:space="preserve"> that climate change and the net zero transition will have a bearing on our future economic and fiscal performance. Treasury is progressively integrating climate-related risk and opportunity management into its overall risk management process.</w:t>
      </w:r>
    </w:p>
    <w:p w14:paraId="022C5EC5" w14:textId="77777777" w:rsidR="001E780D" w:rsidRPr="001E780D" w:rsidRDefault="001E780D" w:rsidP="001E780D">
      <w:r w:rsidRPr="001E780D">
        <w:t>The Delivery Oversight Committee</w:t>
      </w:r>
      <w:r w:rsidRPr="001E780D">
        <w:rPr>
          <w:sz w:val="20"/>
          <w:vertAlign w:val="superscript"/>
        </w:rPr>
        <w:footnoteReference w:id="1"/>
      </w:r>
      <w:r w:rsidRPr="001E780D">
        <w:t>, the independent Audit and Risk Committee and the Executive Board provide the Secretary with assurance that climate-related risks are being appropriately managed. Part 3 of Treasury’s 2025-26 Annual Report provides an overview of Treasury’s risk management and governance arrangements.</w:t>
      </w:r>
    </w:p>
    <w:p w14:paraId="7B3C54B3" w14:textId="77777777" w:rsidR="001E780D" w:rsidRPr="001E780D" w:rsidRDefault="001E780D" w:rsidP="001E780D">
      <w:pPr>
        <w:pStyle w:val="Heading2"/>
      </w:pPr>
      <w:bookmarkStart w:id="8" w:name="_Toc238826588"/>
      <w:r w:rsidRPr="001E780D">
        <w:t>Climate risk</w:t>
      </w:r>
      <w:bookmarkEnd w:id="8"/>
    </w:p>
    <w:p w14:paraId="548A4C84" w14:textId="61D4CC90" w:rsidR="001E780D" w:rsidRPr="001E780D" w:rsidRDefault="001E780D" w:rsidP="001E780D">
      <w:r w:rsidRPr="001E780D">
        <w:t xml:space="preserve">Treasury conducted its annual climate risk and opportunity assessment in line with the </w:t>
      </w:r>
      <w:hyperlink r:id="rId21" w:history="1">
        <w:r w:rsidRPr="001E780D">
          <w:rPr>
            <w:color w:val="3A6FAF"/>
          </w:rPr>
          <w:t>Australian Government’s Approach to Climate Risk and Opportunity Management in the Public Sector 2024–26</w:t>
        </w:r>
      </w:hyperlink>
      <w:r w:rsidRPr="001E780D">
        <w:t xml:space="preserve"> as well as the Commonwealth Risk Management Policy. In accordance with </w:t>
      </w:r>
      <w:r w:rsidR="00D43A7A">
        <w:t>Commonwealth Climate Year 2 Disclosure</w:t>
      </w:r>
      <w:r w:rsidR="00D43A7A" w:rsidRPr="001E780D">
        <w:t xml:space="preserve"> </w:t>
      </w:r>
      <w:r w:rsidRPr="001E780D">
        <w:t xml:space="preserve">requirements, we have utilised all reasonable and supportable information available without undue cost or effort to assess our climate-related risks and opportunities. Treasury has adopted the methodology and process detailed in the </w:t>
      </w:r>
      <w:hyperlink r:id="rId22" w:history="1">
        <w:r w:rsidRPr="001E780D">
          <w:rPr>
            <w:color w:val="3A6FAF"/>
          </w:rPr>
          <w:t>Climate Risk and Opportunity Management Program</w:t>
        </w:r>
      </w:hyperlink>
      <w:r w:rsidRPr="001E780D">
        <w:t xml:space="preserve"> (CROMP). This includes consideration of physical and transition risk and opportunity. Physical risk relates to direct impacts of rising aggregate global temperatures. Physical risks are characterised as acute or chronic. </w:t>
      </w:r>
    </w:p>
    <w:p w14:paraId="58A64DAD" w14:textId="77777777" w:rsidR="001E780D" w:rsidRPr="001E780D" w:rsidRDefault="001E780D" w:rsidP="00C8276B">
      <w:pPr>
        <w:pStyle w:val="Bullet"/>
      </w:pPr>
      <w:r w:rsidRPr="001E780D">
        <w:t xml:space="preserve">Acute – risks from changes in the frequency and severity of extreme events, such as increased incidence of heat stress during heatwaves, and bushfires that may threaten infrastructure and physical and psychological safety. </w:t>
      </w:r>
    </w:p>
    <w:p w14:paraId="7EFECAFF" w14:textId="77777777" w:rsidR="001E780D" w:rsidRPr="001E780D" w:rsidRDefault="001E780D" w:rsidP="00C8276B">
      <w:pPr>
        <w:pStyle w:val="Bullet"/>
      </w:pPr>
      <w:r w:rsidRPr="001E780D">
        <w:t>Chronic – risks from longer-term, more gradual changes in climate, such as changes in average rainfall contributing to water scarcity.</w:t>
      </w:r>
    </w:p>
    <w:p w14:paraId="0FBEA116" w14:textId="77777777" w:rsidR="001E780D" w:rsidRPr="001E780D" w:rsidRDefault="001E780D" w:rsidP="00C8276B">
      <w:r w:rsidRPr="001E780D">
        <w:t>Transition risks result from the extensive policy, legal, technology and market changes arising from mitigation and adaptation to climate change and the transition to a low-carbon economy. Climate change will also generate physical and transition opportunities. For example, global market opportunities will emerge for Australian goods such as agricultural commodities and critical minerals.</w:t>
      </w:r>
    </w:p>
    <w:p w14:paraId="1F3673A1" w14:textId="77777777" w:rsidR="001E780D" w:rsidRPr="001E780D" w:rsidRDefault="001E780D" w:rsidP="003567D3">
      <w:r w:rsidRPr="001E780D">
        <w:t xml:space="preserve">In 2025-26, Treasury reviewed outcomes of its 2024–25 scenario analysis and updated the outcomes as part of its business-as-usual risk management practices. This represented a change from workshops convened by Treasury’s climate risk and opportunity assessment team with relevant Treasury areas in 2024-25 to Group level coordinators reviewing and progressing updates for Group Executive clearance in 2025-26.  The original scenario analysis canvassed current, short-term (2030) and medium-term (2050) future states of the environment. It addressed climate-related risks and opportunities across the department that may impact our ability to deliver our purpose and priorities. Internal data sources, such as our enterprise risk management framework and insurance claims, were reviewed as part of the assessment. Treasury used the State of the Climate reports, the Intergovernmental Panel </w:t>
      </w:r>
      <w:r w:rsidRPr="001E780D">
        <w:lastRenderedPageBreak/>
        <w:t>on Climate Change (IPCC) 6</w:t>
      </w:r>
      <w:r w:rsidRPr="001E780D">
        <w:rPr>
          <w:vertAlign w:val="superscript"/>
        </w:rPr>
        <w:t>th</w:t>
      </w:r>
      <w:r w:rsidRPr="001E780D">
        <w:t xml:space="preserve"> assessment report</w:t>
      </w:r>
      <w:r w:rsidRPr="001E780D" w:rsidDel="00477920">
        <w:t xml:space="preserve"> </w:t>
      </w:r>
      <w:r w:rsidRPr="001E780D">
        <w:t xml:space="preserve">and the climate scenario and transition summaries in the CROMP Organisation Application Guides to obtain climate information for Treasury’s metropolitan areas of operation. </w:t>
      </w:r>
    </w:p>
    <w:p w14:paraId="06FEA888" w14:textId="77777777" w:rsidR="001E780D" w:rsidRPr="001E780D" w:rsidRDefault="001E780D" w:rsidP="003567D3">
      <w:r w:rsidRPr="001E780D">
        <w:t>While Treasury maintains an overseas presence through a small number of posted and seconded personnel, it does not manage any offices overseas. Given this, the assessment focused on the department’s domestic operations. It focused on the most relevant business units with respect to climate risk and opportunities within each of Treasury’s Groups.</w:t>
      </w:r>
    </w:p>
    <w:p w14:paraId="72940FFE" w14:textId="77777777" w:rsidR="001E780D" w:rsidRPr="001E780D" w:rsidRDefault="001E780D" w:rsidP="003567D3">
      <w:r w:rsidRPr="001E780D">
        <w:t xml:space="preserve">Treasury managed uncertainties in climate projections by reviewing data from reputable Australian and international climate science organisations. It also managed uncertainties in how risk profiles will change in the future under different climate scenarios by assessing risks across 3 distinct emission scenarios. The 3 scenarios were low (1.5 degrees warming from pre-industrial baseline), medium (2 to 3 degrees warming) and high (over 3 degrees warming) emissions. The scenarios align with CROMP guidance and the National Climate Risk Assessment and helped Treasury compare projected changes and understand the range of plausible outcomes. Assumptions drawn from CROMP </w:t>
      </w:r>
      <w:hyperlink r:id="rId23" w:history="1">
        <w:r w:rsidRPr="001E780D">
          <w:rPr>
            <w:color w:val="3A6FAF"/>
          </w:rPr>
          <w:t>Technical Guidance</w:t>
        </w:r>
      </w:hyperlink>
      <w:r w:rsidRPr="001E780D">
        <w:t xml:space="preserve"> are provided in Table 1. Assumptions around weather patterns in Treasury office locations were drawn from the State of the Climate reports, the IPCC 6</w:t>
      </w:r>
      <w:r w:rsidRPr="001E780D">
        <w:rPr>
          <w:vertAlign w:val="superscript"/>
        </w:rPr>
        <w:t>th</w:t>
      </w:r>
      <w:r w:rsidRPr="001E780D">
        <w:t xml:space="preserve"> assessment report</w:t>
      </w:r>
      <w:r w:rsidRPr="001E780D" w:rsidDel="00477920">
        <w:t xml:space="preserve"> </w:t>
      </w:r>
      <w:r w:rsidRPr="001E780D">
        <w:t>and the climate scenario and transition summaries in the CROMP Organisation Application Guides. Key assumptions are that changes in weather patterns will occur in line with climate science (e.g. for Canberra, a hotter, drier and more extreme climate</w:t>
      </w:r>
      <w:proofErr w:type="gramStart"/>
      <w:r w:rsidRPr="001E780D">
        <w:t>), and</w:t>
      </w:r>
      <w:proofErr w:type="gramEnd"/>
      <w:r w:rsidRPr="001E780D">
        <w:t xml:space="preserve"> will strengthen over time in all scenarios but more so in higher emission scenarios.</w:t>
      </w:r>
    </w:p>
    <w:p w14:paraId="35367205" w14:textId="77777777" w:rsidR="001E780D" w:rsidRPr="001E780D" w:rsidRDefault="001E780D" w:rsidP="003567D3">
      <w:r w:rsidRPr="001E780D">
        <w:t xml:space="preserve">Treasury has assumed that policies in the jurisdictions in which it operates will not have a significant impact on it, beyond Commonwealth requirements. Treasury used high-level qualitative scenarios and assessed the nature, likelihood and magnitude of effects of climate-related risks using the matrix in Treasury’s enterprise risk management framework. </w:t>
      </w:r>
    </w:p>
    <w:p w14:paraId="7E39A1FE" w14:textId="77777777" w:rsidR="00F67F7D" w:rsidRPr="00F67F7D" w:rsidRDefault="00F67F7D" w:rsidP="00913B39">
      <w:pPr>
        <w:pStyle w:val="TableMainHeading"/>
      </w:pPr>
      <w:bookmarkStart w:id="9" w:name="_Toc238826589"/>
      <w:r w:rsidRPr="00F67F7D">
        <w:t>Table 1. Qualitative scenario assumptions drawn from CROMP Technical Guidance</w:t>
      </w:r>
      <w:bookmarkEnd w:id="9"/>
    </w:p>
    <w:tbl>
      <w:tblPr>
        <w:tblW w:w="5000" w:type="pct"/>
        <w:tblBorders>
          <w:top w:val="single" w:sz="4" w:space="0" w:color="D9D9D9" w:themeColor="background1" w:themeShade="D9"/>
          <w:bottom w:val="single" w:sz="4" w:space="0" w:color="D9D9D9" w:themeColor="background1" w:themeShade="D9"/>
          <w:insideH w:val="single" w:sz="4" w:space="0" w:color="D9D9D9" w:themeColor="background1" w:themeShade="D9"/>
        </w:tblBorders>
        <w:tblLook w:val="01E0" w:firstRow="1" w:lastRow="1" w:firstColumn="1" w:lastColumn="1" w:noHBand="0" w:noVBand="0"/>
      </w:tblPr>
      <w:tblGrid>
        <w:gridCol w:w="2268"/>
        <w:gridCol w:w="2268"/>
        <w:gridCol w:w="2268"/>
        <w:gridCol w:w="2268"/>
      </w:tblGrid>
      <w:tr w:rsidR="006C17F0" w14:paraId="4BC3204E" w14:textId="77777777" w:rsidTr="00175161">
        <w:trPr>
          <w:trHeight w:val="270"/>
          <w:tblHeader/>
        </w:trPr>
        <w:tc>
          <w:tcPr>
            <w:tcW w:w="1250" w:type="pct"/>
            <w:shd w:val="clear" w:color="auto" w:fill="E5E5E5"/>
          </w:tcPr>
          <w:p w14:paraId="6A2FC548" w14:textId="77777777" w:rsidR="006C17F0" w:rsidRDefault="006C17F0" w:rsidP="006C17F0">
            <w:pPr>
              <w:pStyle w:val="TableColumnHeadingLeft"/>
            </w:pPr>
          </w:p>
        </w:tc>
        <w:tc>
          <w:tcPr>
            <w:tcW w:w="1250" w:type="pct"/>
            <w:shd w:val="clear" w:color="auto" w:fill="E5E5E5"/>
          </w:tcPr>
          <w:p w14:paraId="45B04E05" w14:textId="7CE6D3D8" w:rsidR="006C17F0" w:rsidRDefault="006C17F0" w:rsidP="006C17F0">
            <w:pPr>
              <w:pStyle w:val="TableColumnHeadingLeft"/>
            </w:pPr>
            <w:r w:rsidRPr="00967D55">
              <w:t>Low emissions</w:t>
            </w:r>
          </w:p>
        </w:tc>
        <w:tc>
          <w:tcPr>
            <w:tcW w:w="1250" w:type="pct"/>
            <w:shd w:val="clear" w:color="auto" w:fill="E5E5E5"/>
          </w:tcPr>
          <w:p w14:paraId="17AE011E" w14:textId="3E5A0EAA" w:rsidR="006C17F0" w:rsidRDefault="006C17F0" w:rsidP="006C17F0">
            <w:pPr>
              <w:pStyle w:val="TableColumnHeadingLeft"/>
            </w:pPr>
            <w:r w:rsidRPr="00967D55">
              <w:t>Moderate emissions</w:t>
            </w:r>
          </w:p>
        </w:tc>
        <w:tc>
          <w:tcPr>
            <w:tcW w:w="1250" w:type="pct"/>
            <w:shd w:val="clear" w:color="auto" w:fill="E5E5E5"/>
          </w:tcPr>
          <w:p w14:paraId="096D9393" w14:textId="1FF159B7" w:rsidR="006C17F0" w:rsidRDefault="006C17F0" w:rsidP="006C17F0">
            <w:pPr>
              <w:pStyle w:val="TableColumnHeadingLeft"/>
            </w:pPr>
            <w:r w:rsidRPr="00967D55">
              <w:t>High emissions</w:t>
            </w:r>
          </w:p>
        </w:tc>
      </w:tr>
      <w:tr w:rsidR="00125BC4" w14:paraId="056E285A" w14:textId="77777777" w:rsidTr="00175161">
        <w:trPr>
          <w:trHeight w:val="270"/>
        </w:trPr>
        <w:tc>
          <w:tcPr>
            <w:tcW w:w="1250" w:type="pct"/>
          </w:tcPr>
          <w:p w14:paraId="0884D39D" w14:textId="58852B73" w:rsidR="00990F77" w:rsidRPr="00D55CBE" w:rsidRDefault="00990F77" w:rsidP="00990F77">
            <w:pPr>
              <w:pStyle w:val="TableTextLeft"/>
              <w:rPr>
                <w:rStyle w:val="Strong"/>
              </w:rPr>
            </w:pPr>
            <w:r w:rsidRPr="00D55CBE">
              <w:rPr>
                <w:rStyle w:val="Strong"/>
              </w:rPr>
              <w:t>Macroeconomic trends</w:t>
            </w:r>
          </w:p>
          <w:p w14:paraId="02F68749" w14:textId="45CE56A1" w:rsidR="00990F77" w:rsidRPr="00D55CBE" w:rsidRDefault="00990F77" w:rsidP="00990F77">
            <w:pPr>
              <w:pStyle w:val="TableTextLeft"/>
              <w:rPr>
                <w:rStyle w:val="Strong"/>
              </w:rPr>
            </w:pPr>
            <w:r w:rsidRPr="00D55CBE">
              <w:rPr>
                <w:rStyle w:val="Strong"/>
              </w:rPr>
              <w:t xml:space="preserve">GDP growth per capita </w:t>
            </w:r>
          </w:p>
          <w:p w14:paraId="17BB2921" w14:textId="46B0B331" w:rsidR="00125BC4" w:rsidRPr="00D55CBE" w:rsidRDefault="00990F77" w:rsidP="00990F77">
            <w:pPr>
              <w:pStyle w:val="TableTextLeft"/>
              <w:rPr>
                <w:rStyle w:val="Strong"/>
              </w:rPr>
            </w:pPr>
            <w:r w:rsidRPr="00D55CBE">
              <w:rPr>
                <w:rStyle w:val="Strong"/>
              </w:rPr>
              <w:t>Globalisation</w:t>
            </w:r>
          </w:p>
        </w:tc>
        <w:tc>
          <w:tcPr>
            <w:tcW w:w="1250" w:type="pct"/>
          </w:tcPr>
          <w:p w14:paraId="09FD099F" w14:textId="77777777" w:rsidR="008039AA" w:rsidRDefault="008039AA" w:rsidP="00364931">
            <w:pPr>
              <w:pStyle w:val="TableTextLeft"/>
            </w:pPr>
          </w:p>
          <w:p w14:paraId="43260147" w14:textId="625DFA57" w:rsidR="008039AA" w:rsidRPr="002E1150" w:rsidRDefault="002E1150" w:rsidP="002E1150">
            <w:pPr>
              <w:pStyle w:val="TableParagraph"/>
              <w:spacing w:before="63"/>
              <w:ind w:left="0"/>
              <w:rPr>
                <w:rFonts w:ascii="Calibri Light" w:hAnsi="Calibri Light" w:cs="Calibri Light"/>
                <w:color w:val="211F20"/>
                <w:spacing w:val="-2"/>
                <w:sz w:val="19"/>
                <w:lang w:val="en-AU"/>
              </w:rPr>
            </w:pPr>
            <w:r w:rsidRPr="00F766B2">
              <w:rPr>
                <w:rFonts w:ascii="Calibri Light" w:hAnsi="Calibri Light" w:cs="Calibri Light"/>
                <w:color w:val="211F20"/>
                <w:spacing w:val="-2"/>
                <w:sz w:val="19"/>
                <w:lang w:val="en-AU"/>
              </w:rPr>
              <w:t>High</w:t>
            </w:r>
          </w:p>
          <w:p w14:paraId="022593D6" w14:textId="4B66D5D4" w:rsidR="00125BC4" w:rsidRDefault="008039AA" w:rsidP="00364931">
            <w:pPr>
              <w:pStyle w:val="TableTextLeft"/>
            </w:pPr>
            <w:r w:rsidRPr="008039AA">
              <w:t>Connected markets</w:t>
            </w:r>
          </w:p>
        </w:tc>
        <w:tc>
          <w:tcPr>
            <w:tcW w:w="1250" w:type="pct"/>
          </w:tcPr>
          <w:p w14:paraId="772DFABE" w14:textId="77777777" w:rsidR="00125BC4" w:rsidRDefault="00125BC4" w:rsidP="00364931">
            <w:pPr>
              <w:pStyle w:val="TableTextLeft"/>
            </w:pPr>
          </w:p>
          <w:p w14:paraId="2B1B4994" w14:textId="6C487E24" w:rsidR="008039AA" w:rsidRDefault="002E1150" w:rsidP="00364931">
            <w:pPr>
              <w:pStyle w:val="TableTextLeft"/>
            </w:pPr>
            <w:r>
              <w:t>Medium, uneven</w:t>
            </w:r>
          </w:p>
          <w:p w14:paraId="76A518BC" w14:textId="18E8EDF8" w:rsidR="008039AA" w:rsidRDefault="00770FDB" w:rsidP="00364931">
            <w:pPr>
              <w:pStyle w:val="TableTextLeft"/>
            </w:pPr>
            <w:r w:rsidRPr="00F766B2">
              <w:rPr>
                <w:rFonts w:cs="Calibri Light"/>
                <w:color w:val="211F20"/>
                <w:spacing w:val="-2"/>
                <w:sz w:val="19"/>
              </w:rPr>
              <w:t>Semi-open</w:t>
            </w:r>
            <w:r w:rsidRPr="00F766B2">
              <w:rPr>
                <w:rFonts w:cs="Calibri Light"/>
                <w:color w:val="211F20"/>
                <w:spacing w:val="-13"/>
                <w:sz w:val="19"/>
              </w:rPr>
              <w:t xml:space="preserve"> </w:t>
            </w:r>
            <w:r w:rsidRPr="00F766B2">
              <w:rPr>
                <w:rFonts w:cs="Calibri Light"/>
                <w:color w:val="211F20"/>
                <w:spacing w:val="-2"/>
                <w:sz w:val="19"/>
              </w:rPr>
              <w:t>global</w:t>
            </w:r>
            <w:r w:rsidRPr="00F766B2">
              <w:rPr>
                <w:rFonts w:cs="Calibri Light"/>
                <w:color w:val="211F20"/>
                <w:spacing w:val="-13"/>
                <w:sz w:val="19"/>
              </w:rPr>
              <w:t xml:space="preserve"> </w:t>
            </w:r>
            <w:r w:rsidRPr="00F766B2">
              <w:rPr>
                <w:rFonts w:cs="Calibri Light"/>
                <w:color w:val="211F20"/>
                <w:spacing w:val="-2"/>
                <w:sz w:val="19"/>
              </w:rPr>
              <w:t>economy</w:t>
            </w:r>
          </w:p>
        </w:tc>
        <w:tc>
          <w:tcPr>
            <w:tcW w:w="1250" w:type="pct"/>
          </w:tcPr>
          <w:p w14:paraId="1C02A176" w14:textId="77777777" w:rsidR="00125BC4" w:rsidRDefault="00125BC4" w:rsidP="00364931">
            <w:pPr>
              <w:pStyle w:val="TableTextLeft"/>
            </w:pPr>
          </w:p>
          <w:p w14:paraId="067A5AB0" w14:textId="39BBB31B" w:rsidR="008039AA" w:rsidRDefault="002E1150" w:rsidP="00364931">
            <w:pPr>
              <w:pStyle w:val="TableTextLeft"/>
            </w:pPr>
            <w:r>
              <w:t>Uneven</w:t>
            </w:r>
          </w:p>
          <w:p w14:paraId="36B2D3A5" w14:textId="067DD591" w:rsidR="008039AA" w:rsidRDefault="006F64EC" w:rsidP="00364931">
            <w:pPr>
              <w:pStyle w:val="TableTextLeft"/>
            </w:pPr>
            <w:r w:rsidRPr="00F766B2">
              <w:rPr>
                <w:rFonts w:cs="Calibri Light"/>
                <w:color w:val="211F20"/>
                <w:spacing w:val="-4"/>
                <w:sz w:val="19"/>
              </w:rPr>
              <w:t>Barriers to trade</w:t>
            </w:r>
          </w:p>
        </w:tc>
      </w:tr>
      <w:tr w:rsidR="00700EDC" w14:paraId="3C6E66FD" w14:textId="77777777" w:rsidTr="00175161">
        <w:trPr>
          <w:trHeight w:val="270"/>
        </w:trPr>
        <w:tc>
          <w:tcPr>
            <w:tcW w:w="1250" w:type="pct"/>
          </w:tcPr>
          <w:p w14:paraId="0527EB64" w14:textId="44554AD7" w:rsidR="00700EDC" w:rsidRPr="00D55CBE" w:rsidRDefault="00700EDC" w:rsidP="00700EDC">
            <w:pPr>
              <w:pStyle w:val="TableTextLeft"/>
              <w:rPr>
                <w:rStyle w:val="Strong"/>
              </w:rPr>
            </w:pPr>
            <w:r w:rsidRPr="00D55CBE">
              <w:rPr>
                <w:rStyle w:val="Strong"/>
              </w:rPr>
              <w:t>Technology development</w:t>
            </w:r>
          </w:p>
        </w:tc>
        <w:tc>
          <w:tcPr>
            <w:tcW w:w="1250" w:type="pct"/>
          </w:tcPr>
          <w:p w14:paraId="677DFD91" w14:textId="31C580F9" w:rsidR="00700EDC" w:rsidRDefault="00700EDC" w:rsidP="00700EDC">
            <w:pPr>
              <w:pStyle w:val="TableTextLeft"/>
            </w:pPr>
            <w:r w:rsidRPr="00804C0C">
              <w:t>Rapid</w:t>
            </w:r>
          </w:p>
        </w:tc>
        <w:tc>
          <w:tcPr>
            <w:tcW w:w="1250" w:type="pct"/>
          </w:tcPr>
          <w:p w14:paraId="6775A440" w14:textId="00F193F9" w:rsidR="00700EDC" w:rsidRDefault="00700EDC" w:rsidP="00700EDC">
            <w:pPr>
              <w:pStyle w:val="TableTextLeft"/>
            </w:pPr>
            <w:r w:rsidRPr="00804C0C">
              <w:t>Medium, uneven</w:t>
            </w:r>
          </w:p>
        </w:tc>
        <w:tc>
          <w:tcPr>
            <w:tcW w:w="1250" w:type="pct"/>
          </w:tcPr>
          <w:p w14:paraId="272B1FC4" w14:textId="4EC65DD2" w:rsidR="00700EDC" w:rsidRDefault="00700EDC" w:rsidP="00700EDC">
            <w:pPr>
              <w:pStyle w:val="TableTextLeft"/>
            </w:pPr>
            <w:r w:rsidRPr="00804C0C">
              <w:t>Slow</w:t>
            </w:r>
          </w:p>
        </w:tc>
      </w:tr>
      <w:tr w:rsidR="00D55CBE" w14:paraId="4A718B11" w14:textId="77777777" w:rsidTr="00175161">
        <w:trPr>
          <w:trHeight w:val="270"/>
        </w:trPr>
        <w:tc>
          <w:tcPr>
            <w:tcW w:w="1250" w:type="pct"/>
          </w:tcPr>
          <w:p w14:paraId="14F76EA2" w14:textId="172503C2" w:rsidR="00D55CBE" w:rsidRPr="00D55CBE" w:rsidRDefault="00D55CBE" w:rsidP="00D55CBE">
            <w:pPr>
              <w:pStyle w:val="TableTextLeft"/>
              <w:rPr>
                <w:rStyle w:val="Strong"/>
              </w:rPr>
            </w:pPr>
            <w:r w:rsidRPr="00D55CBE">
              <w:rPr>
                <w:rStyle w:val="Strong"/>
              </w:rPr>
              <w:t>Energy technology change</w:t>
            </w:r>
          </w:p>
        </w:tc>
        <w:tc>
          <w:tcPr>
            <w:tcW w:w="1250" w:type="pct"/>
          </w:tcPr>
          <w:p w14:paraId="735BE9A8" w14:textId="5D3C210E" w:rsidR="00D55CBE" w:rsidRDefault="00D55CBE" w:rsidP="00D55CBE">
            <w:pPr>
              <w:pStyle w:val="TableTextLeft"/>
            </w:pPr>
            <w:r w:rsidRPr="0030153B">
              <w:t>Away from fossil fuels</w:t>
            </w:r>
          </w:p>
        </w:tc>
        <w:tc>
          <w:tcPr>
            <w:tcW w:w="1250" w:type="pct"/>
          </w:tcPr>
          <w:p w14:paraId="281FC3B3" w14:textId="66CD031B" w:rsidR="00D55CBE" w:rsidRDefault="00D55CBE" w:rsidP="00D55CBE">
            <w:pPr>
              <w:pStyle w:val="TableTextLeft"/>
            </w:pPr>
            <w:r w:rsidRPr="0030153B">
              <w:t>Some investment in renewables</w:t>
            </w:r>
          </w:p>
        </w:tc>
        <w:tc>
          <w:tcPr>
            <w:tcW w:w="1250" w:type="pct"/>
          </w:tcPr>
          <w:p w14:paraId="65A372A2" w14:textId="61FD07A9" w:rsidR="00D55CBE" w:rsidRDefault="00D55CBE" w:rsidP="00D55CBE">
            <w:pPr>
              <w:pStyle w:val="TableTextLeft"/>
            </w:pPr>
            <w:r w:rsidRPr="0030153B">
              <w:t>Continued use of fossil fuels</w:t>
            </w:r>
          </w:p>
        </w:tc>
      </w:tr>
    </w:tbl>
    <w:p w14:paraId="0AAD619B" w14:textId="77777777" w:rsidR="0032059B" w:rsidRPr="0032059B" w:rsidRDefault="0032059B" w:rsidP="0032059B">
      <w:r w:rsidRPr="0032059B">
        <w:t>Risks to our organisation, including climate-related risks, are prioritised based on their residual risk, in accordance with Treasury’s Risk Management Policy and Framework. Actions to manage climate</w:t>
      </w:r>
      <w:r w:rsidRPr="0032059B">
        <w:noBreakHyphen/>
        <w:t>related risks were also informed by our Risk Management Framework. The Executive Board, through the Delivery Oversight Committee, monitors and oversees Treasury’s climate-related risks in accordance with our standard risk management practices.</w:t>
      </w:r>
    </w:p>
    <w:p w14:paraId="38863C78" w14:textId="77777777" w:rsidR="0032059B" w:rsidRPr="0032059B" w:rsidRDefault="0032059B" w:rsidP="0032059B">
      <w:r w:rsidRPr="0032059B">
        <w:t>Under section 12 of the PGPA Act, the Secretary is the accountable authority for Treasury. Under section 16, the Secretary is responsible for establishing and maintaining systems of internal control and risk oversight. This responsibility encompasses climate-related risks and related disclosures. Treasury’s roles and responsibilities for oversight and administration of governance processes, controls and procedures of climate-related risks and opportunities are outlined in Table 2. Climate risk management is a specialist risk category under Treasury’s Risk Management Framework.</w:t>
      </w:r>
    </w:p>
    <w:p w14:paraId="5E225EFA" w14:textId="77777777" w:rsidR="00175161" w:rsidRPr="00175161" w:rsidRDefault="00175161" w:rsidP="00175161">
      <w:pPr>
        <w:pStyle w:val="TableMainHeading"/>
      </w:pPr>
      <w:bookmarkStart w:id="10" w:name="_Toc238826590"/>
      <w:r w:rsidRPr="00175161">
        <w:lastRenderedPageBreak/>
        <w:t>Table 2: Treasury’s governance roles for climate-related risks</w:t>
      </w:r>
      <w:bookmarkEnd w:id="10"/>
    </w:p>
    <w:tbl>
      <w:tblPr>
        <w:tblStyle w:val="TableGrid"/>
        <w:tblW w:w="9351" w:type="dxa"/>
        <w:tblBorders>
          <w:top w:val="single" w:sz="4" w:space="0" w:color="D9D9D9" w:themeColor="background1" w:themeShade="D9"/>
          <w:bottom w:val="single" w:sz="4" w:space="0" w:color="D9D9D9" w:themeColor="background1" w:themeShade="D9"/>
          <w:insideH w:val="single" w:sz="4" w:space="0" w:color="D9D9D9" w:themeColor="background1" w:themeShade="D9"/>
        </w:tblBorders>
        <w:tblLook w:val="04A0" w:firstRow="1" w:lastRow="0" w:firstColumn="1" w:lastColumn="0" w:noHBand="0" w:noVBand="1"/>
      </w:tblPr>
      <w:tblGrid>
        <w:gridCol w:w="2122"/>
        <w:gridCol w:w="7229"/>
      </w:tblGrid>
      <w:tr w:rsidR="00175161" w:rsidRPr="00175161" w14:paraId="3F3B2531" w14:textId="77777777" w:rsidTr="00CA14F7">
        <w:trPr>
          <w:cnfStyle w:val="100000000000" w:firstRow="1" w:lastRow="0" w:firstColumn="0" w:lastColumn="0" w:oddVBand="0" w:evenVBand="0" w:oddHBand="0" w:evenHBand="0" w:firstRowFirstColumn="0" w:firstRowLastColumn="0" w:lastRowFirstColumn="0" w:lastRowLastColumn="0"/>
          <w:tblHeader/>
        </w:trPr>
        <w:tc>
          <w:tcPr>
            <w:tcW w:w="2122" w:type="dxa"/>
            <w:shd w:val="clear" w:color="auto" w:fill="E5E5E5"/>
          </w:tcPr>
          <w:p w14:paraId="67A295C1" w14:textId="77777777" w:rsidR="00175161" w:rsidRPr="00175161" w:rsidRDefault="00175161" w:rsidP="00175161">
            <w:pPr>
              <w:pStyle w:val="TableColumnHeadingLeft"/>
              <w:rPr>
                <w:b/>
                <w:bCs/>
              </w:rPr>
            </w:pPr>
            <w:r w:rsidRPr="00175161">
              <w:rPr>
                <w:b/>
                <w:bCs/>
              </w:rPr>
              <w:t>Role</w:t>
            </w:r>
          </w:p>
        </w:tc>
        <w:tc>
          <w:tcPr>
            <w:tcW w:w="7229" w:type="dxa"/>
            <w:shd w:val="clear" w:color="auto" w:fill="E5E5E5"/>
          </w:tcPr>
          <w:p w14:paraId="6357ED65" w14:textId="77777777" w:rsidR="00175161" w:rsidRPr="00175161" w:rsidRDefault="00175161" w:rsidP="00175161">
            <w:pPr>
              <w:pStyle w:val="TableColumnHeadingLeft"/>
              <w:rPr>
                <w:b/>
                <w:bCs/>
              </w:rPr>
            </w:pPr>
            <w:r w:rsidRPr="00175161">
              <w:rPr>
                <w:b/>
                <w:bCs/>
              </w:rPr>
              <w:t>Risk Responsibility</w:t>
            </w:r>
          </w:p>
        </w:tc>
      </w:tr>
      <w:tr w:rsidR="00175161" w:rsidRPr="00175161" w14:paraId="0B8C61A3" w14:textId="77777777" w:rsidTr="00CA14F7">
        <w:tc>
          <w:tcPr>
            <w:tcW w:w="2122" w:type="dxa"/>
          </w:tcPr>
          <w:p w14:paraId="5B0E990C" w14:textId="77777777" w:rsidR="00175161" w:rsidRPr="00175161" w:rsidRDefault="00175161" w:rsidP="00175161">
            <w:pPr>
              <w:pStyle w:val="TableTextLeft"/>
              <w:rPr>
                <w:rStyle w:val="Strong"/>
              </w:rPr>
            </w:pPr>
            <w:r w:rsidRPr="00175161">
              <w:rPr>
                <w:rStyle w:val="Strong"/>
              </w:rPr>
              <w:t xml:space="preserve">Secretary </w:t>
            </w:r>
          </w:p>
        </w:tc>
        <w:tc>
          <w:tcPr>
            <w:tcW w:w="7229" w:type="dxa"/>
          </w:tcPr>
          <w:p w14:paraId="5A124FCD" w14:textId="77777777" w:rsidR="00175161" w:rsidRPr="00175161" w:rsidRDefault="00175161" w:rsidP="00175161">
            <w:pPr>
              <w:pStyle w:val="TableTextLeft"/>
            </w:pPr>
            <w:r w:rsidRPr="00175161">
              <w:t>Accountable authority with responsibility for having systems of risk management in place – this includes determining risk appetite, tolerance and a positive risk culture. Deputises climate risk and opportunity management oversight to the Executive Board, which the Secretary chairs. This includes the establishment and oversight of climate-related risk assessment processes and performance targets, such as (but not limited to) the development of emissions reduction targets for inclusion in the department’s Emissions Reduction Plan.</w:t>
            </w:r>
          </w:p>
        </w:tc>
      </w:tr>
      <w:tr w:rsidR="00175161" w:rsidRPr="00175161" w14:paraId="65AF82CE" w14:textId="77777777" w:rsidTr="00CA14F7">
        <w:tc>
          <w:tcPr>
            <w:tcW w:w="2122" w:type="dxa"/>
          </w:tcPr>
          <w:p w14:paraId="238A6EDA" w14:textId="77777777" w:rsidR="00175161" w:rsidRPr="00175161" w:rsidRDefault="00175161" w:rsidP="00175161">
            <w:pPr>
              <w:pStyle w:val="TableTextLeft"/>
              <w:rPr>
                <w:rStyle w:val="Strong"/>
              </w:rPr>
            </w:pPr>
            <w:r w:rsidRPr="00175161">
              <w:rPr>
                <w:rStyle w:val="Strong"/>
              </w:rPr>
              <w:t xml:space="preserve">Executive Board </w:t>
            </w:r>
          </w:p>
        </w:tc>
        <w:tc>
          <w:tcPr>
            <w:tcW w:w="7229" w:type="dxa"/>
          </w:tcPr>
          <w:p w14:paraId="10CB635C" w14:textId="77777777" w:rsidR="00175161" w:rsidRPr="00175161" w:rsidRDefault="00175161" w:rsidP="00175161">
            <w:pPr>
              <w:pStyle w:val="TableTextLeft"/>
            </w:pPr>
            <w:r w:rsidRPr="00175161">
              <w:t>Principal assignee responsible for overseeing climate-related risk and opportunity management. Approves the department’s climate-related strategies, targets, policies, activities and performance. Receives an annual briefing about climate-related risks and opportunities.</w:t>
            </w:r>
          </w:p>
        </w:tc>
      </w:tr>
      <w:tr w:rsidR="00175161" w:rsidRPr="00175161" w14:paraId="440A8771" w14:textId="77777777" w:rsidTr="00CA14F7">
        <w:tc>
          <w:tcPr>
            <w:tcW w:w="2122" w:type="dxa"/>
          </w:tcPr>
          <w:p w14:paraId="193A167E" w14:textId="77777777" w:rsidR="00175161" w:rsidRPr="00175161" w:rsidRDefault="00175161" w:rsidP="00175161">
            <w:pPr>
              <w:pStyle w:val="TableTextLeft"/>
              <w:rPr>
                <w:rStyle w:val="Strong"/>
              </w:rPr>
            </w:pPr>
            <w:r w:rsidRPr="00175161">
              <w:rPr>
                <w:rStyle w:val="Strong"/>
              </w:rPr>
              <w:t xml:space="preserve">Delivery Oversight Committee </w:t>
            </w:r>
          </w:p>
        </w:tc>
        <w:tc>
          <w:tcPr>
            <w:tcW w:w="7229" w:type="dxa"/>
          </w:tcPr>
          <w:p w14:paraId="647DAAB3" w14:textId="77777777" w:rsidR="00175161" w:rsidRPr="00175161" w:rsidRDefault="00175161" w:rsidP="00175161">
            <w:pPr>
              <w:pStyle w:val="TableTextLeft"/>
            </w:pPr>
            <w:r w:rsidRPr="00175161">
              <w:t>Responsible for supporting the Executive Board to implement climate risk and opportunity management, including identification and prioritisation of these risks and opportunities. Meets every two months and can escalate risks, including climate-related risks, to the Executive Board (including Secretary). Reports to Executive Board (including the Secretary) on the progress of climate risk management implementation at least once a year, and as required, to bring urgent and/or critical risks to the attention of the Secretary.</w:t>
            </w:r>
          </w:p>
        </w:tc>
      </w:tr>
      <w:tr w:rsidR="00175161" w:rsidRPr="00175161" w14:paraId="53BF9871" w14:textId="77777777" w:rsidTr="00CA14F7">
        <w:tc>
          <w:tcPr>
            <w:tcW w:w="2122" w:type="dxa"/>
          </w:tcPr>
          <w:p w14:paraId="62FAE1E6" w14:textId="77777777" w:rsidR="00175161" w:rsidRPr="00175161" w:rsidRDefault="00175161" w:rsidP="00175161">
            <w:pPr>
              <w:pStyle w:val="TableTextLeft"/>
              <w:rPr>
                <w:rStyle w:val="Strong"/>
              </w:rPr>
            </w:pPr>
            <w:r w:rsidRPr="00175161">
              <w:rPr>
                <w:rStyle w:val="Strong"/>
              </w:rPr>
              <w:t>Audit and Risk Committee</w:t>
            </w:r>
          </w:p>
        </w:tc>
        <w:tc>
          <w:tcPr>
            <w:tcW w:w="7229" w:type="dxa"/>
          </w:tcPr>
          <w:p w14:paraId="4DB92B51" w14:textId="77777777" w:rsidR="00175161" w:rsidRPr="00175161" w:rsidRDefault="00175161" w:rsidP="00175161">
            <w:pPr>
              <w:pStyle w:val="TableTextLeft"/>
            </w:pPr>
            <w:r w:rsidRPr="00175161">
              <w:t>Responsible for providing independent advice to the Secretary on the appropriateness of the department’s key governance arrangements, including system of risk oversight and management, and the system of internal control. This encompasses climate risk and opportunity monitoring and disclosures.</w:t>
            </w:r>
          </w:p>
        </w:tc>
      </w:tr>
      <w:tr w:rsidR="00175161" w:rsidRPr="00175161" w14:paraId="7ED86EBC" w14:textId="77777777" w:rsidTr="00CA14F7">
        <w:tc>
          <w:tcPr>
            <w:tcW w:w="2122" w:type="dxa"/>
          </w:tcPr>
          <w:p w14:paraId="784814F8" w14:textId="77777777" w:rsidR="00175161" w:rsidRPr="00175161" w:rsidRDefault="00175161" w:rsidP="00175161">
            <w:pPr>
              <w:pStyle w:val="TableTextLeft"/>
              <w:rPr>
                <w:rStyle w:val="Strong"/>
              </w:rPr>
            </w:pPr>
            <w:r w:rsidRPr="00175161">
              <w:rPr>
                <w:rStyle w:val="Strong"/>
              </w:rPr>
              <w:t xml:space="preserve">Chief Risk Officer (CRO) </w:t>
            </w:r>
          </w:p>
        </w:tc>
        <w:tc>
          <w:tcPr>
            <w:tcW w:w="7229" w:type="dxa"/>
          </w:tcPr>
          <w:p w14:paraId="005959D8" w14:textId="77777777" w:rsidR="00175161" w:rsidRPr="00175161" w:rsidRDefault="00175161" w:rsidP="00175161">
            <w:pPr>
              <w:pStyle w:val="TableTextLeft"/>
            </w:pPr>
            <w:r w:rsidRPr="00175161">
              <w:t>Deputy Secretary responsible for overseeing the risk management framework and governance as well as advising the Secretary and Executive Board.</w:t>
            </w:r>
          </w:p>
        </w:tc>
      </w:tr>
      <w:tr w:rsidR="00175161" w:rsidRPr="00175161" w14:paraId="6B72CA95" w14:textId="77777777" w:rsidTr="00CA14F7">
        <w:tc>
          <w:tcPr>
            <w:tcW w:w="2122" w:type="dxa"/>
          </w:tcPr>
          <w:p w14:paraId="501D1623" w14:textId="77777777" w:rsidR="00175161" w:rsidRPr="00175161" w:rsidRDefault="00175161" w:rsidP="00175161">
            <w:pPr>
              <w:pStyle w:val="TableTextLeft"/>
              <w:rPr>
                <w:rStyle w:val="Strong"/>
              </w:rPr>
            </w:pPr>
            <w:r w:rsidRPr="00175161">
              <w:rPr>
                <w:rStyle w:val="Strong"/>
              </w:rPr>
              <w:t>Enterprise Risk and Program Advisory, Governance Branch</w:t>
            </w:r>
          </w:p>
        </w:tc>
        <w:tc>
          <w:tcPr>
            <w:tcW w:w="7229" w:type="dxa"/>
          </w:tcPr>
          <w:p w14:paraId="06E71DE7" w14:textId="77777777" w:rsidR="00175161" w:rsidRPr="00175161" w:rsidRDefault="00175161" w:rsidP="00175161">
            <w:pPr>
              <w:pStyle w:val="TableTextLeft"/>
            </w:pPr>
            <w:r w:rsidRPr="00175161">
              <w:t>Responsible for maintaining the risk management policy and risk management framework, and underlying toolsets, and for leading on climate risk and opportunity work.</w:t>
            </w:r>
          </w:p>
        </w:tc>
      </w:tr>
      <w:tr w:rsidR="00175161" w:rsidRPr="00175161" w14:paraId="2F662CA9" w14:textId="77777777" w:rsidTr="00CA14F7">
        <w:tc>
          <w:tcPr>
            <w:tcW w:w="2122" w:type="dxa"/>
          </w:tcPr>
          <w:p w14:paraId="2DD2A1A7" w14:textId="3BB89325" w:rsidR="00175161" w:rsidRPr="00175161" w:rsidRDefault="00175161" w:rsidP="00175161">
            <w:pPr>
              <w:pStyle w:val="TableTextLeft"/>
              <w:rPr>
                <w:rStyle w:val="Strong"/>
              </w:rPr>
            </w:pPr>
            <w:r w:rsidRPr="00175161">
              <w:rPr>
                <w:rStyle w:val="Strong"/>
              </w:rPr>
              <w:t>Property Services and Logistics, Chief Financ</w:t>
            </w:r>
            <w:r w:rsidR="00CA3CF5">
              <w:rPr>
                <w:rStyle w:val="Strong"/>
              </w:rPr>
              <w:t>e</w:t>
            </w:r>
            <w:r w:rsidRPr="00175161">
              <w:rPr>
                <w:rStyle w:val="Strong"/>
              </w:rPr>
              <w:t xml:space="preserve"> Officer Branch</w:t>
            </w:r>
          </w:p>
        </w:tc>
        <w:tc>
          <w:tcPr>
            <w:tcW w:w="7229" w:type="dxa"/>
          </w:tcPr>
          <w:p w14:paraId="04905053" w14:textId="77777777" w:rsidR="00175161" w:rsidRPr="00175161" w:rsidRDefault="00175161" w:rsidP="00175161">
            <w:pPr>
              <w:pStyle w:val="TableTextLeft"/>
            </w:pPr>
            <w:r w:rsidRPr="00175161">
              <w:t>Responsible for emissions reporting, the Emissions Reduction Plan and its operational implementation.</w:t>
            </w:r>
          </w:p>
        </w:tc>
      </w:tr>
    </w:tbl>
    <w:p w14:paraId="5B91799C" w14:textId="77777777" w:rsidR="005B3FE0" w:rsidRPr="005B3FE0" w:rsidRDefault="005B3FE0" w:rsidP="005B3FE0">
      <w:r w:rsidRPr="005B3FE0">
        <w:t xml:space="preserve">As required under the Commonwealth Risk Management Policy, Treasury maintains an appropriate level of capability to administer its risk management framework and manage its risks. To improve capability to manage climate-related risks, Treasury encouraged relevant staff to complete the </w:t>
      </w:r>
      <w:hyperlink r:id="rId24" w:history="1">
        <w:r w:rsidRPr="005B3FE0">
          <w:rPr>
            <w:rStyle w:val="Hyperlink"/>
          </w:rPr>
          <w:t>Climate Risk and Opportunity Management Program (CROMP) training modules</w:t>
        </w:r>
      </w:hyperlink>
      <w:r w:rsidRPr="005B3FE0">
        <w:t xml:space="preserve"> and the </w:t>
      </w:r>
      <w:hyperlink r:id="rId25" w:history="1">
        <w:r w:rsidRPr="005B3FE0">
          <w:rPr>
            <w:rStyle w:val="Hyperlink"/>
          </w:rPr>
          <w:t>Foundations of Net Zero in Government Operations training module</w:t>
        </w:r>
      </w:hyperlink>
      <w:r w:rsidRPr="005B3FE0">
        <w:t xml:space="preserve">. Treasury assesses capability and requirements through its annual climate risk and opportunity assessment review. </w:t>
      </w:r>
    </w:p>
    <w:p w14:paraId="76F33A39" w14:textId="77777777" w:rsidR="005B3FE0" w:rsidRPr="005B3FE0" w:rsidRDefault="005B3FE0" w:rsidP="005B3FE0">
      <w:r w:rsidRPr="005B3FE0">
        <w:t xml:space="preserve">Treasury will make decisions about resource allocation in line with its climate risk profile, operating environment and government funding. This includes considering the trade-offs between climate-related risks and other government policy constraints. This information feeds into Executive Board and the Secretary’s decisions on broader risk management and strategy. For example, putting in place appropriate checks and balances to ensure any new property management activities align with the emissions reduction aims articulated in the department’s </w:t>
      </w:r>
      <w:hyperlink r:id="rId26" w:history="1">
        <w:r w:rsidRPr="005B3FE0">
          <w:rPr>
            <w:rStyle w:val="Hyperlink"/>
          </w:rPr>
          <w:t>Emissions Reduction Plan</w:t>
        </w:r>
      </w:hyperlink>
      <w:r w:rsidRPr="005B3FE0">
        <w:t>, which was approved by the Secretary.</w:t>
      </w:r>
    </w:p>
    <w:p w14:paraId="6C0D93C4" w14:textId="77777777" w:rsidR="005B3FE0" w:rsidRPr="005B3FE0" w:rsidRDefault="005B3FE0" w:rsidP="0021086B">
      <w:pPr>
        <w:pStyle w:val="Heading2"/>
      </w:pPr>
      <w:bookmarkStart w:id="11" w:name="_Toc238826591"/>
      <w:r w:rsidRPr="005B3FE0">
        <w:lastRenderedPageBreak/>
        <w:t>Climate strategy</w:t>
      </w:r>
      <w:bookmarkEnd w:id="11"/>
    </w:p>
    <w:p w14:paraId="5FEAB82B" w14:textId="77777777" w:rsidR="005B3FE0" w:rsidRPr="005B3FE0" w:rsidRDefault="005B3FE0" w:rsidP="005B3FE0">
      <w:r w:rsidRPr="005B3FE0">
        <w:t xml:space="preserve">Treasury anticipates climate-related risks and opportunities will have impacts across its operating model and delivery of public policy. Delivery of public policy in this context includes development, implementation and enforcement of public policy. For example, delivery of policy advice, services, legislation, programs, grants and procurements and expenditures. Effectively managing operational and public policy delivery risks over time will help maintain Treasury’s reputation and influence as a central policy agency. </w:t>
      </w:r>
    </w:p>
    <w:p w14:paraId="394A4F99" w14:textId="6E0C01C5" w:rsidR="0052530D" w:rsidRDefault="005B3FE0" w:rsidP="00F67F7D">
      <w:r w:rsidRPr="005B3FE0">
        <w:t xml:space="preserve">Table 3 sets out material risks and opportunities for Treasury and our approach to addressing these. Treasury considered the effects of material climate-related risks and opportunities against current, short (2030) and medium (2050) time horizons as outlined in </w:t>
      </w:r>
      <w:hyperlink r:id="rId27" w:history="1">
        <w:r w:rsidRPr="005B3FE0">
          <w:rPr>
            <w:rStyle w:val="Hyperlink"/>
          </w:rPr>
          <w:t>CROMP’s Organisation Application Guide</w:t>
        </w:r>
      </w:hyperlink>
      <w:r w:rsidRPr="005B3FE0">
        <w:t>.</w:t>
      </w:r>
    </w:p>
    <w:p w14:paraId="6325C398" w14:textId="77777777" w:rsidR="00AB2DC2" w:rsidRDefault="00AB2DC2" w:rsidP="00F67F7D"/>
    <w:p w14:paraId="19111B2C" w14:textId="77777777" w:rsidR="00B42360" w:rsidRDefault="00B42360" w:rsidP="00F67F7D">
      <w:pPr>
        <w:sectPr w:rsidR="00B42360" w:rsidSect="00295B30">
          <w:headerReference w:type="even" r:id="rId28"/>
          <w:footerReference w:type="even" r:id="rId29"/>
          <w:headerReference w:type="first" r:id="rId30"/>
          <w:footerReference w:type="first" r:id="rId31"/>
          <w:pgSz w:w="11906" w:h="16838" w:code="9"/>
          <w:pgMar w:top="1843" w:right="1417" w:bottom="1417" w:left="1417" w:header="709" w:footer="709" w:gutter="0"/>
          <w:cols w:space="708"/>
          <w:docGrid w:linePitch="360"/>
        </w:sectPr>
      </w:pPr>
    </w:p>
    <w:p w14:paraId="43CF9DAC" w14:textId="77777777" w:rsidR="00B42360" w:rsidRPr="00BE0F5A" w:rsidRDefault="00B42360" w:rsidP="00B42360">
      <w:pPr>
        <w:pStyle w:val="TableMainHeading"/>
        <w:rPr>
          <w:rFonts w:eastAsiaTheme="minorHAnsi"/>
          <w:lang w:eastAsia="en-US"/>
        </w:rPr>
      </w:pPr>
      <w:bookmarkStart w:id="12" w:name="_Toc238826592"/>
      <w:r w:rsidRPr="005219B1">
        <w:rPr>
          <w:rFonts w:eastAsiaTheme="minorHAnsi"/>
          <w:lang w:eastAsia="en-US"/>
        </w:rPr>
        <w:lastRenderedPageBreak/>
        <w:t>Table 3: Treasury material risks and opportunities</w:t>
      </w:r>
      <w:bookmarkEnd w:id="12"/>
      <w:r w:rsidRPr="005219B1">
        <w:rPr>
          <w:rFonts w:eastAsiaTheme="minorHAnsi"/>
          <w:lang w:eastAsia="en-US"/>
        </w:rPr>
        <w:t xml:space="preserve"> </w:t>
      </w:r>
    </w:p>
    <w:tbl>
      <w:tblPr>
        <w:tblW w:w="5116" w:type="pct"/>
        <w:tblBorders>
          <w:top w:val="single" w:sz="4" w:space="0" w:color="D9D9D9" w:themeColor="background1" w:themeShade="D9"/>
          <w:bottom w:val="single" w:sz="4" w:space="0" w:color="D9D9D9" w:themeColor="background1" w:themeShade="D9"/>
          <w:insideH w:val="single" w:sz="4" w:space="0" w:color="D9D9D9" w:themeColor="background1" w:themeShade="D9"/>
        </w:tblBorders>
        <w:tblLook w:val="01E0" w:firstRow="1" w:lastRow="1" w:firstColumn="1" w:lastColumn="1" w:noHBand="0" w:noVBand="0"/>
      </w:tblPr>
      <w:tblGrid>
        <w:gridCol w:w="2859"/>
        <w:gridCol w:w="2859"/>
        <w:gridCol w:w="4771"/>
        <w:gridCol w:w="3404"/>
      </w:tblGrid>
      <w:tr w:rsidR="00B42360" w14:paraId="5D74A829" w14:textId="77777777" w:rsidTr="00CA14F7">
        <w:trPr>
          <w:trHeight w:val="270"/>
          <w:tblHeader/>
        </w:trPr>
        <w:tc>
          <w:tcPr>
            <w:tcW w:w="1029" w:type="pct"/>
            <w:shd w:val="clear" w:color="auto" w:fill="E5E5E5"/>
          </w:tcPr>
          <w:p w14:paraId="0EE0B983" w14:textId="77777777" w:rsidR="00B42360" w:rsidRDefault="00B42360" w:rsidP="00CA14F7">
            <w:pPr>
              <w:pStyle w:val="TableColumnHeadingLeft"/>
            </w:pPr>
            <w:r w:rsidRPr="00C252D2">
              <w:t>Material risks and opportunities</w:t>
            </w:r>
          </w:p>
        </w:tc>
        <w:tc>
          <w:tcPr>
            <w:tcW w:w="1029" w:type="pct"/>
            <w:shd w:val="clear" w:color="auto" w:fill="E5E5E5"/>
          </w:tcPr>
          <w:p w14:paraId="5E398AE3" w14:textId="77777777" w:rsidR="00B42360" w:rsidRDefault="00B42360" w:rsidP="00CA14F7">
            <w:pPr>
              <w:pStyle w:val="TableColumnHeadingLeft"/>
            </w:pPr>
            <w:r w:rsidRPr="00723527">
              <w:t>Current effects</w:t>
            </w:r>
            <w:r>
              <w:br/>
            </w:r>
            <w:r w:rsidRPr="00A90DC4">
              <w:t>2025-26 reporting period</w:t>
            </w:r>
          </w:p>
        </w:tc>
        <w:tc>
          <w:tcPr>
            <w:tcW w:w="1717" w:type="pct"/>
            <w:shd w:val="clear" w:color="auto" w:fill="E5E5E5"/>
          </w:tcPr>
          <w:p w14:paraId="60921E6C" w14:textId="5B547D9A" w:rsidR="00B42360" w:rsidRDefault="00B42360" w:rsidP="00CA14F7">
            <w:pPr>
              <w:pStyle w:val="TableColumnHeadingLeft"/>
            </w:pPr>
            <w:r w:rsidRPr="000A21C5">
              <w:t>Anticipated effects</w:t>
            </w:r>
            <w:r>
              <w:br/>
            </w:r>
            <w:r w:rsidRPr="004C0006">
              <w:t xml:space="preserve">Short </w:t>
            </w:r>
            <w:r w:rsidR="00911215">
              <w:t xml:space="preserve">(2030) </w:t>
            </w:r>
            <w:r w:rsidRPr="004C0006">
              <w:t xml:space="preserve">and medium-term </w:t>
            </w:r>
            <w:r w:rsidR="00911215">
              <w:t xml:space="preserve">(2050) </w:t>
            </w:r>
            <w:r w:rsidRPr="004C0006">
              <w:t>time horizons</w:t>
            </w:r>
          </w:p>
        </w:tc>
        <w:tc>
          <w:tcPr>
            <w:tcW w:w="1225" w:type="pct"/>
            <w:shd w:val="clear" w:color="auto" w:fill="E5E5E5"/>
          </w:tcPr>
          <w:p w14:paraId="60A60E04" w14:textId="77777777" w:rsidR="00B42360" w:rsidRDefault="00B42360" w:rsidP="00CA14F7">
            <w:pPr>
              <w:pStyle w:val="TableColumnHeadingLeft"/>
            </w:pPr>
            <w:r w:rsidRPr="008E3AE1">
              <w:t>Strategy &amp; decision making</w:t>
            </w:r>
            <w:r>
              <w:br/>
            </w:r>
            <w:r w:rsidRPr="00727E1E">
              <w:t>Actions planned or undertaken to manage effects</w:t>
            </w:r>
          </w:p>
        </w:tc>
      </w:tr>
      <w:tr w:rsidR="00B42360" w:rsidRPr="00386772" w14:paraId="472064EF" w14:textId="77777777" w:rsidTr="00CA14F7">
        <w:trPr>
          <w:trHeight w:val="270"/>
        </w:trPr>
        <w:tc>
          <w:tcPr>
            <w:tcW w:w="1029" w:type="pct"/>
          </w:tcPr>
          <w:p w14:paraId="5F641EA2" w14:textId="77777777" w:rsidR="00B42360" w:rsidRPr="00386772" w:rsidRDefault="00B42360" w:rsidP="00CA14F7">
            <w:pPr>
              <w:pStyle w:val="TableTextLeft"/>
            </w:pPr>
            <w:r w:rsidRPr="00386772">
              <w:rPr>
                <w:b/>
                <w:bCs/>
              </w:rPr>
              <w:t>Risk 1:</w:t>
            </w:r>
            <w:r w:rsidRPr="00386772">
              <w:t xml:space="preserve"> Extreme weather events impact staff health and wellbeing.</w:t>
            </w:r>
          </w:p>
          <w:p w14:paraId="1EF822B7" w14:textId="77777777" w:rsidR="00B42360" w:rsidRPr="00386772" w:rsidRDefault="00B42360" w:rsidP="00CA14F7">
            <w:pPr>
              <w:pStyle w:val="TableTextLeft"/>
            </w:pPr>
            <w:r w:rsidRPr="00386772">
              <w:rPr>
                <w:b/>
                <w:bCs/>
              </w:rPr>
              <w:t>Time horizon:</w:t>
            </w:r>
            <w:r w:rsidRPr="00386772">
              <w:t xml:space="preserve"> Assessment considered current, 2030 and 2050 horizons.</w:t>
            </w:r>
          </w:p>
          <w:p w14:paraId="3058959B" w14:textId="77777777" w:rsidR="00B42360" w:rsidRPr="00386772" w:rsidRDefault="00B42360" w:rsidP="00CA14F7">
            <w:pPr>
              <w:pStyle w:val="TableTextLeft"/>
            </w:pPr>
            <w:r w:rsidRPr="00386772">
              <w:rPr>
                <w:b/>
                <w:bCs/>
              </w:rPr>
              <w:t>Concentration:</w:t>
            </w:r>
            <w:r w:rsidRPr="00386772">
              <w:t xml:space="preserve"> All Treasury office locations (Canberra, Sydney, Melbourne and Perth).</w:t>
            </w:r>
          </w:p>
          <w:p w14:paraId="51702DF4" w14:textId="77777777" w:rsidR="00B42360" w:rsidRPr="00386772" w:rsidRDefault="00B42360" w:rsidP="00CA14F7">
            <w:pPr>
              <w:pStyle w:val="TableTextLeft"/>
            </w:pPr>
            <w:r w:rsidRPr="00386772">
              <w:rPr>
                <w:b/>
                <w:bCs/>
              </w:rPr>
              <w:t>Risk type:</w:t>
            </w:r>
            <w:r w:rsidRPr="00386772">
              <w:t xml:space="preserve"> Physical.</w:t>
            </w:r>
          </w:p>
        </w:tc>
        <w:tc>
          <w:tcPr>
            <w:tcW w:w="1029" w:type="pct"/>
          </w:tcPr>
          <w:p w14:paraId="579FD0E4" w14:textId="77777777" w:rsidR="00B42360" w:rsidRPr="00386772" w:rsidRDefault="00B42360" w:rsidP="00CA14F7">
            <w:pPr>
              <w:pStyle w:val="TableTextLeft"/>
            </w:pPr>
            <w:r w:rsidRPr="00386772">
              <w:rPr>
                <w:b/>
                <w:bCs/>
              </w:rPr>
              <w:t>Operational model:</w:t>
            </w:r>
            <w:r w:rsidRPr="00386772">
              <w:t xml:space="preserve"> Very limited impacts were observed during the reporting period.</w:t>
            </w:r>
            <w:r w:rsidRPr="00386772">
              <w:br/>
            </w:r>
            <w:r w:rsidRPr="00386772">
              <w:rPr>
                <w:b/>
                <w:bCs/>
              </w:rPr>
              <w:t>Public policy delivery:</w:t>
            </w:r>
            <w:r w:rsidRPr="00386772">
              <w:t xml:space="preserve"> As above.</w:t>
            </w:r>
          </w:p>
        </w:tc>
        <w:tc>
          <w:tcPr>
            <w:tcW w:w="1717" w:type="pct"/>
          </w:tcPr>
          <w:p w14:paraId="291DA035" w14:textId="77777777" w:rsidR="00B42360" w:rsidRPr="00386772" w:rsidRDefault="00B42360" w:rsidP="00CA14F7">
            <w:pPr>
              <w:pStyle w:val="TableTextLeft"/>
              <w:rPr>
                <w:b/>
                <w:bCs/>
              </w:rPr>
            </w:pPr>
            <w:r w:rsidRPr="00386772">
              <w:rPr>
                <w:b/>
                <w:bCs/>
              </w:rPr>
              <w:t>Operational model</w:t>
            </w:r>
          </w:p>
          <w:p w14:paraId="7097E1E0" w14:textId="290327CB" w:rsidR="00B42360" w:rsidRPr="00386772" w:rsidRDefault="00B42360" w:rsidP="00CA14F7">
            <w:pPr>
              <w:pStyle w:val="TableTextLeft"/>
            </w:pPr>
            <w:r w:rsidRPr="00386772">
              <w:t xml:space="preserve">Increased frequency and severity of extreme weather events are expected to increase impacts in the medium to long-term (i.e. greater impacts are anticipated, with the extent of this contingent on global emissions). This may negatively affect Treasury’s operating model including disruptions to business continuity. The risk may also affect the department’s ability to support staff affected by physical climate-related weather events. </w:t>
            </w:r>
          </w:p>
          <w:p w14:paraId="0DC1394D" w14:textId="77777777" w:rsidR="00B42360" w:rsidRPr="00386772" w:rsidRDefault="00B42360" w:rsidP="00CA14F7">
            <w:pPr>
              <w:pStyle w:val="TableTextLeft"/>
              <w:rPr>
                <w:b/>
                <w:bCs/>
              </w:rPr>
            </w:pPr>
            <w:r w:rsidRPr="00386772">
              <w:rPr>
                <w:b/>
                <w:bCs/>
              </w:rPr>
              <w:t>Public policy delivery</w:t>
            </w:r>
          </w:p>
          <w:p w14:paraId="48BFFA3E" w14:textId="0C053418" w:rsidR="00B42360" w:rsidRPr="00386772" w:rsidRDefault="001B1B53" w:rsidP="00CA14F7">
            <w:pPr>
              <w:pStyle w:val="TableTextLeft"/>
            </w:pPr>
            <w:r w:rsidRPr="00386772">
              <w:t xml:space="preserve">In the event of a </w:t>
            </w:r>
            <w:r w:rsidR="006C0E36" w:rsidRPr="00386772">
              <w:t xml:space="preserve">disaster affecting </w:t>
            </w:r>
            <w:r w:rsidR="00523858" w:rsidRPr="00386772">
              <w:t>locations where our staff are based</w:t>
            </w:r>
            <w:r w:rsidR="006C0E36" w:rsidRPr="00386772">
              <w:t>, this</w:t>
            </w:r>
            <w:r w:rsidRPr="00386772">
              <w:t xml:space="preserve"> </w:t>
            </w:r>
            <w:r w:rsidR="00B42360" w:rsidRPr="00386772">
              <w:t>risk may</w:t>
            </w:r>
            <w:r w:rsidR="00B94878" w:rsidRPr="00386772">
              <w:t xml:space="preserve">, for a short period, </w:t>
            </w:r>
            <w:r w:rsidR="00B42360" w:rsidRPr="00386772">
              <w:t xml:space="preserve">affect the department’s capacity and </w:t>
            </w:r>
            <w:r w:rsidR="00BA0C97" w:rsidRPr="00386772">
              <w:t xml:space="preserve">resources may be diverted </w:t>
            </w:r>
            <w:r w:rsidR="00BD074B" w:rsidRPr="00386772">
              <w:t>away from other priorities</w:t>
            </w:r>
            <w:r w:rsidR="00B42360" w:rsidRPr="00386772">
              <w:t>.</w:t>
            </w:r>
          </w:p>
        </w:tc>
        <w:tc>
          <w:tcPr>
            <w:tcW w:w="1225" w:type="pct"/>
          </w:tcPr>
          <w:p w14:paraId="07EFEA01" w14:textId="3380D4E0" w:rsidR="00B42360" w:rsidRPr="00386772" w:rsidRDefault="00B42360" w:rsidP="00CA14F7">
            <w:pPr>
              <w:pStyle w:val="TableTextLeft"/>
            </w:pPr>
            <w:r w:rsidRPr="00386772">
              <w:rPr>
                <w:b/>
                <w:bCs/>
              </w:rPr>
              <w:t xml:space="preserve">Actions </w:t>
            </w:r>
            <w:proofErr w:type="gramStart"/>
            <w:r w:rsidRPr="00386772">
              <w:rPr>
                <w:b/>
                <w:bCs/>
              </w:rPr>
              <w:t>undertaken:</w:t>
            </w:r>
            <w:proofErr w:type="gramEnd"/>
            <w:r w:rsidRPr="00386772">
              <w:t xml:space="preserve"> embedding climate-related risk and opportunity management into our governance and business continuity arrangements.</w:t>
            </w:r>
            <w:r w:rsidR="006404C1" w:rsidRPr="00386772">
              <w:t xml:space="preserve"> This includes our capability to prioritise key activities in the event of a disaster.</w:t>
            </w:r>
          </w:p>
          <w:p w14:paraId="19F0D4CC" w14:textId="3EAC3178" w:rsidR="00B42360" w:rsidRPr="00386772" w:rsidRDefault="00B42360" w:rsidP="00CA14F7">
            <w:pPr>
              <w:pStyle w:val="TableTextLeft"/>
            </w:pPr>
            <w:r w:rsidRPr="00386772">
              <w:rPr>
                <w:b/>
                <w:bCs/>
              </w:rPr>
              <w:t>Actions planned:</w:t>
            </w:r>
            <w:r w:rsidRPr="00386772">
              <w:t xml:space="preserve"> as part of ongoing review of people related initiatives and policy, </w:t>
            </w:r>
            <w:r w:rsidR="000C3FDE" w:rsidRPr="00386772">
              <w:t xml:space="preserve">relevant </w:t>
            </w:r>
            <w:r w:rsidRPr="00386772">
              <w:t>considerations will be incorporated into people policies, guidance and standard operating procedures.</w:t>
            </w:r>
          </w:p>
        </w:tc>
      </w:tr>
      <w:tr w:rsidR="00B42360" w:rsidRPr="00386772" w14:paraId="598BECE3" w14:textId="77777777" w:rsidTr="00CA14F7">
        <w:trPr>
          <w:trHeight w:val="270"/>
        </w:trPr>
        <w:tc>
          <w:tcPr>
            <w:tcW w:w="1029" w:type="pct"/>
          </w:tcPr>
          <w:p w14:paraId="40CD01F6" w14:textId="77777777" w:rsidR="00B42360" w:rsidRPr="00386772" w:rsidRDefault="00B42360" w:rsidP="00CA14F7">
            <w:pPr>
              <w:pStyle w:val="TableTextLeft"/>
            </w:pPr>
            <w:r w:rsidRPr="00386772">
              <w:rPr>
                <w:b/>
                <w:bCs/>
              </w:rPr>
              <w:t>Risk 2:</w:t>
            </w:r>
            <w:r w:rsidRPr="00386772">
              <w:t xml:space="preserve"> Extreme weather events impact the use of departmental assets and infrastructure.</w:t>
            </w:r>
          </w:p>
          <w:p w14:paraId="13D10BBE" w14:textId="77777777" w:rsidR="00B42360" w:rsidRPr="00386772" w:rsidRDefault="00B42360" w:rsidP="00CA14F7">
            <w:pPr>
              <w:pStyle w:val="TableTextLeft"/>
            </w:pPr>
            <w:r w:rsidRPr="00386772">
              <w:rPr>
                <w:b/>
                <w:bCs/>
              </w:rPr>
              <w:t>Time horizon:</w:t>
            </w:r>
            <w:r w:rsidRPr="00386772">
              <w:t xml:space="preserve"> Assessment considered current, 2030 and 2050 horizons.</w:t>
            </w:r>
          </w:p>
          <w:p w14:paraId="55BC358A" w14:textId="77777777" w:rsidR="00B42360" w:rsidRPr="00386772" w:rsidRDefault="00B42360" w:rsidP="00CA14F7">
            <w:pPr>
              <w:pStyle w:val="TableTextLeft"/>
            </w:pPr>
            <w:r w:rsidRPr="00386772">
              <w:rPr>
                <w:b/>
                <w:bCs/>
              </w:rPr>
              <w:t>Concentration:</w:t>
            </w:r>
            <w:r w:rsidRPr="00386772">
              <w:t xml:space="preserve"> All Treasury office locations (Canberra, Sydney, Melbourne and Perth).</w:t>
            </w:r>
          </w:p>
          <w:p w14:paraId="305ECDD8" w14:textId="77777777" w:rsidR="00B42360" w:rsidRPr="00386772" w:rsidRDefault="00B42360" w:rsidP="00CA14F7">
            <w:pPr>
              <w:pStyle w:val="TableTextLeft"/>
            </w:pPr>
            <w:r w:rsidRPr="00386772">
              <w:rPr>
                <w:b/>
                <w:bCs/>
              </w:rPr>
              <w:t>Risk type:</w:t>
            </w:r>
            <w:r w:rsidRPr="00386772">
              <w:t xml:space="preserve"> Physical.</w:t>
            </w:r>
          </w:p>
        </w:tc>
        <w:tc>
          <w:tcPr>
            <w:tcW w:w="1029" w:type="pct"/>
          </w:tcPr>
          <w:p w14:paraId="400BA1B9" w14:textId="77777777" w:rsidR="00B42360" w:rsidRPr="00386772" w:rsidRDefault="00B42360" w:rsidP="00CA14F7">
            <w:pPr>
              <w:pStyle w:val="TableTextLeft"/>
            </w:pPr>
            <w:r w:rsidRPr="00386772">
              <w:rPr>
                <w:b/>
                <w:bCs/>
              </w:rPr>
              <w:t>Operational model:</w:t>
            </w:r>
            <w:r w:rsidRPr="00386772">
              <w:t xml:space="preserve"> Very limited impacts were observed during the reporting period. </w:t>
            </w:r>
          </w:p>
          <w:p w14:paraId="19481046" w14:textId="77777777" w:rsidR="00B42360" w:rsidRPr="00386772" w:rsidRDefault="00B42360" w:rsidP="00CA14F7">
            <w:pPr>
              <w:pStyle w:val="TableTextLeft"/>
            </w:pPr>
            <w:r w:rsidRPr="00386772">
              <w:rPr>
                <w:b/>
                <w:bCs/>
              </w:rPr>
              <w:t>Public policy delivery:</w:t>
            </w:r>
            <w:r w:rsidRPr="00386772">
              <w:t xml:space="preserve"> As above.</w:t>
            </w:r>
          </w:p>
        </w:tc>
        <w:tc>
          <w:tcPr>
            <w:tcW w:w="1717" w:type="pct"/>
          </w:tcPr>
          <w:p w14:paraId="7CA50DA4" w14:textId="77777777" w:rsidR="00B42360" w:rsidRPr="00386772" w:rsidRDefault="00B42360" w:rsidP="00CA14F7">
            <w:pPr>
              <w:pStyle w:val="TableTextLeft"/>
              <w:rPr>
                <w:b/>
                <w:bCs/>
              </w:rPr>
            </w:pPr>
            <w:r w:rsidRPr="00386772">
              <w:rPr>
                <w:b/>
                <w:bCs/>
              </w:rPr>
              <w:t>Operational model</w:t>
            </w:r>
          </w:p>
          <w:p w14:paraId="63093FF7" w14:textId="77777777" w:rsidR="00B42360" w:rsidRPr="00386772" w:rsidRDefault="00B42360" w:rsidP="00CA14F7">
            <w:pPr>
              <w:pStyle w:val="TableTextLeft"/>
            </w:pPr>
            <w:r w:rsidRPr="00386772">
              <w:t>Increased frequency and severity of extreme weather events in the medium and long term may increase impacts on the department’s resilience of information technology assets and infrastructure, causing operational disruption and business continuity impacts.</w:t>
            </w:r>
          </w:p>
          <w:p w14:paraId="74E7DC71" w14:textId="77777777" w:rsidR="00B42360" w:rsidRPr="00386772" w:rsidRDefault="00B42360" w:rsidP="00CA14F7">
            <w:pPr>
              <w:pStyle w:val="TableTextLeft"/>
              <w:rPr>
                <w:b/>
                <w:bCs/>
              </w:rPr>
            </w:pPr>
            <w:r w:rsidRPr="00386772">
              <w:rPr>
                <w:b/>
                <w:bCs/>
              </w:rPr>
              <w:t>Public policy delivery</w:t>
            </w:r>
          </w:p>
          <w:p w14:paraId="7E00C299" w14:textId="6EF29DA3" w:rsidR="00B42360" w:rsidRPr="00386772" w:rsidRDefault="000C3FDE" w:rsidP="00CA14F7">
            <w:pPr>
              <w:pStyle w:val="TableTextLeft"/>
            </w:pPr>
            <w:r w:rsidRPr="00386772">
              <w:t xml:space="preserve">In the event of a disaster affecting Canberra where </w:t>
            </w:r>
            <w:proofErr w:type="gramStart"/>
            <w:r w:rsidRPr="00386772">
              <w:t>the majority of</w:t>
            </w:r>
            <w:proofErr w:type="gramEnd"/>
            <w:r w:rsidRPr="00386772">
              <w:t xml:space="preserve"> our ICT assets are based, this risk may impede the department’s capacity and capability – in the short-term.</w:t>
            </w:r>
          </w:p>
        </w:tc>
        <w:tc>
          <w:tcPr>
            <w:tcW w:w="1225" w:type="pct"/>
          </w:tcPr>
          <w:p w14:paraId="7E3668FB" w14:textId="77777777" w:rsidR="00B42360" w:rsidRPr="00386772" w:rsidRDefault="00B42360" w:rsidP="00CA14F7">
            <w:pPr>
              <w:pStyle w:val="TableTextLeft"/>
            </w:pPr>
            <w:r w:rsidRPr="00386772">
              <w:rPr>
                <w:b/>
                <w:bCs/>
              </w:rPr>
              <w:t xml:space="preserve">Actions </w:t>
            </w:r>
            <w:proofErr w:type="gramStart"/>
            <w:r w:rsidRPr="00386772">
              <w:rPr>
                <w:b/>
                <w:bCs/>
              </w:rPr>
              <w:t>undertaken:</w:t>
            </w:r>
            <w:proofErr w:type="gramEnd"/>
            <w:r w:rsidRPr="00386772">
              <w:t xml:space="preserve"> embedding climate-related risk and opportunity management into our governance, procurement and business continuity arrangements.</w:t>
            </w:r>
          </w:p>
          <w:p w14:paraId="086659B3" w14:textId="77777777" w:rsidR="00B42360" w:rsidRPr="00386772" w:rsidRDefault="00B42360" w:rsidP="00CA14F7">
            <w:pPr>
              <w:pStyle w:val="TableTextLeft"/>
            </w:pPr>
            <w:r w:rsidRPr="00386772">
              <w:rPr>
                <w:b/>
                <w:bCs/>
              </w:rPr>
              <w:t>Actions undertaken:</w:t>
            </w:r>
            <w:r w:rsidRPr="00386772">
              <w:t xml:space="preserve"> ICT infrastructure and supply chain resilience is embedded within Treasury’s ongoing ICT investment.</w:t>
            </w:r>
          </w:p>
        </w:tc>
      </w:tr>
      <w:tr w:rsidR="00B42360" w:rsidRPr="00386772" w14:paraId="2886E35F" w14:textId="77777777" w:rsidTr="00CA14F7">
        <w:trPr>
          <w:trHeight w:val="270"/>
        </w:trPr>
        <w:tc>
          <w:tcPr>
            <w:tcW w:w="1029" w:type="pct"/>
          </w:tcPr>
          <w:p w14:paraId="6F493538" w14:textId="77777777" w:rsidR="00911215" w:rsidRPr="00386772" w:rsidRDefault="00B42360" w:rsidP="00911215">
            <w:pPr>
              <w:pStyle w:val="TableTextLeft"/>
            </w:pPr>
            <w:r w:rsidRPr="00386772">
              <w:rPr>
                <w:b/>
                <w:bCs/>
              </w:rPr>
              <w:t>Risk 3:</w:t>
            </w:r>
            <w:r w:rsidRPr="00386772">
              <w:t xml:space="preserve"> </w:t>
            </w:r>
            <w:r w:rsidR="00911215" w:rsidRPr="00386772">
              <w:t xml:space="preserve">Climate-related physical and transition risks may increase uncertainty around economic conditions and structural change, making it more difficult </w:t>
            </w:r>
            <w:r w:rsidR="00911215" w:rsidRPr="00386772">
              <w:lastRenderedPageBreak/>
              <w:t>to assess policy trade-offs and their implications. As acute weather events and longer-term structural pressures become more significant, the consequences of policy decisions increase, elevating the risks associated with Treasury's economic modelling, forecasting and policy advice.</w:t>
            </w:r>
          </w:p>
          <w:p w14:paraId="680B9788" w14:textId="0D9BD8A8" w:rsidR="00B42360" w:rsidRPr="00386772" w:rsidRDefault="00B42360" w:rsidP="00CA14F7">
            <w:pPr>
              <w:pStyle w:val="TableTextLeft"/>
            </w:pPr>
          </w:p>
          <w:p w14:paraId="1FC118CC" w14:textId="77777777" w:rsidR="00B42360" w:rsidRPr="00386772" w:rsidRDefault="00B42360" w:rsidP="00CA14F7">
            <w:pPr>
              <w:pStyle w:val="TableTextLeft"/>
            </w:pPr>
            <w:r w:rsidRPr="00386772">
              <w:rPr>
                <w:b/>
                <w:bCs/>
              </w:rPr>
              <w:t>Time horizon:</w:t>
            </w:r>
            <w:r w:rsidRPr="00386772">
              <w:t xml:space="preserve"> Assessment considered current, 2030 and 2050 horizons.</w:t>
            </w:r>
          </w:p>
          <w:p w14:paraId="4DE0FC29" w14:textId="77777777" w:rsidR="00B42360" w:rsidRPr="00386772" w:rsidRDefault="00B42360" w:rsidP="00CA14F7">
            <w:pPr>
              <w:pStyle w:val="TableTextLeft"/>
            </w:pPr>
            <w:r w:rsidRPr="00386772">
              <w:rPr>
                <w:b/>
                <w:bCs/>
              </w:rPr>
              <w:t>Concentration:</w:t>
            </w:r>
            <w:r w:rsidRPr="00386772">
              <w:t xml:space="preserve"> Canberra office where most staff are based.</w:t>
            </w:r>
          </w:p>
          <w:p w14:paraId="4B36979F" w14:textId="77777777" w:rsidR="00B42360" w:rsidRPr="00386772" w:rsidRDefault="00B42360" w:rsidP="00CA14F7">
            <w:pPr>
              <w:pStyle w:val="TableTextLeft"/>
              <w:rPr>
                <w:b/>
                <w:bCs/>
              </w:rPr>
            </w:pPr>
            <w:r w:rsidRPr="00386772">
              <w:rPr>
                <w:b/>
                <w:bCs/>
              </w:rPr>
              <w:t>Risk type:</w:t>
            </w:r>
            <w:r w:rsidRPr="00386772">
              <w:t xml:space="preserve"> Transition.</w:t>
            </w:r>
          </w:p>
        </w:tc>
        <w:tc>
          <w:tcPr>
            <w:tcW w:w="1029" w:type="pct"/>
          </w:tcPr>
          <w:p w14:paraId="086389BA" w14:textId="77777777" w:rsidR="00B42360" w:rsidRPr="00386772" w:rsidRDefault="00B42360" w:rsidP="00CA14F7">
            <w:pPr>
              <w:pStyle w:val="TableTextLeft"/>
            </w:pPr>
            <w:r w:rsidRPr="00386772">
              <w:rPr>
                <w:b/>
                <w:bCs/>
              </w:rPr>
              <w:lastRenderedPageBreak/>
              <w:t xml:space="preserve">Operational delivery: </w:t>
            </w:r>
            <w:r w:rsidRPr="00386772">
              <w:t>Very limited impacts were observed during the reporting period.</w:t>
            </w:r>
            <w:r w:rsidRPr="00386772">
              <w:rPr>
                <w:b/>
                <w:bCs/>
              </w:rPr>
              <w:t xml:space="preserve"> </w:t>
            </w:r>
          </w:p>
          <w:p w14:paraId="455C6500" w14:textId="3208AE3E" w:rsidR="00C4695B" w:rsidRPr="00386772" w:rsidRDefault="00B42360" w:rsidP="00C4695B">
            <w:pPr>
              <w:pStyle w:val="TableTextLeft"/>
            </w:pPr>
            <w:r w:rsidRPr="00386772">
              <w:rPr>
                <w:b/>
                <w:bCs/>
              </w:rPr>
              <w:lastRenderedPageBreak/>
              <w:t xml:space="preserve">Public policy delivery: </w:t>
            </w:r>
            <w:r w:rsidR="00C4695B" w:rsidRPr="00386772">
              <w:t>Limited impacts were observed during the reporting period.</w:t>
            </w:r>
            <w:r w:rsidR="00C4695B" w:rsidRPr="00386772">
              <w:rPr>
                <w:b/>
                <w:bCs/>
              </w:rPr>
              <w:t xml:space="preserve"> </w:t>
            </w:r>
          </w:p>
          <w:p w14:paraId="6DA76BAD" w14:textId="2ED35703" w:rsidR="00B42360" w:rsidRPr="00386772" w:rsidRDefault="00B42360" w:rsidP="00CA14F7">
            <w:pPr>
              <w:pStyle w:val="TableTextLeft"/>
              <w:rPr>
                <w:b/>
                <w:bCs/>
              </w:rPr>
            </w:pPr>
            <w:r w:rsidRPr="00386772">
              <w:t>.</w:t>
            </w:r>
          </w:p>
        </w:tc>
        <w:tc>
          <w:tcPr>
            <w:tcW w:w="1717" w:type="pct"/>
          </w:tcPr>
          <w:p w14:paraId="4ADAB426" w14:textId="77777777" w:rsidR="00B42360" w:rsidRPr="00386772" w:rsidRDefault="00B42360" w:rsidP="00CA14F7">
            <w:pPr>
              <w:pStyle w:val="TableTextLeft"/>
              <w:rPr>
                <w:b/>
                <w:bCs/>
              </w:rPr>
            </w:pPr>
            <w:r w:rsidRPr="00386772">
              <w:rPr>
                <w:b/>
                <w:bCs/>
              </w:rPr>
              <w:lastRenderedPageBreak/>
              <w:t xml:space="preserve">Operational model </w:t>
            </w:r>
          </w:p>
          <w:p w14:paraId="433DE9A6" w14:textId="77777777" w:rsidR="00B42360" w:rsidRPr="00386772" w:rsidRDefault="00B42360" w:rsidP="00CA14F7">
            <w:pPr>
              <w:pStyle w:val="TableTextLeft"/>
            </w:pPr>
            <w:r w:rsidRPr="00386772">
              <w:t xml:space="preserve">Increased frequency and severity of extreme weather events, unpredictable global policy responses and other transitional changes to markets may require Treasury to produce economic modelling and forecasts more </w:t>
            </w:r>
            <w:r w:rsidRPr="00386772">
              <w:lastRenderedPageBreak/>
              <w:t xml:space="preserve">frequently and quickly, and with new, broader data input requirements. </w:t>
            </w:r>
          </w:p>
          <w:p w14:paraId="393968F6" w14:textId="77777777" w:rsidR="00B42360" w:rsidRPr="00386772" w:rsidRDefault="00B42360" w:rsidP="00CA14F7">
            <w:pPr>
              <w:pStyle w:val="TableTextLeft"/>
              <w:rPr>
                <w:b/>
                <w:bCs/>
              </w:rPr>
            </w:pPr>
            <w:r w:rsidRPr="00386772">
              <w:rPr>
                <w:b/>
                <w:bCs/>
              </w:rPr>
              <w:t>Public policy delivery</w:t>
            </w:r>
          </w:p>
          <w:p w14:paraId="6A7C6F2B" w14:textId="77777777" w:rsidR="00B42360" w:rsidRPr="00386772" w:rsidRDefault="00B42360" w:rsidP="00CA14F7">
            <w:pPr>
              <w:pStyle w:val="TableTextLeft"/>
            </w:pPr>
            <w:r w:rsidRPr="00386772">
              <w:t>Climate change’s impact on long-term drivers of growth may not be fully considered or understood. This may affect the accuracy of policy advice given to the Government, which could impact budget allocations and economic growth. It may also impact the delivery of public policies.</w:t>
            </w:r>
          </w:p>
          <w:p w14:paraId="42C1C19A" w14:textId="7CBDC77B" w:rsidR="00B42360" w:rsidRPr="00386772" w:rsidRDefault="00B42360" w:rsidP="00CA14F7">
            <w:pPr>
              <w:pStyle w:val="TableTextLeft"/>
            </w:pPr>
            <w:r w:rsidRPr="00386772">
              <w:t xml:space="preserve">The risk may </w:t>
            </w:r>
            <w:r w:rsidR="00BD074B" w:rsidRPr="00386772">
              <w:t>affect the department’s capacity and resources may be diverted away from other priorities.</w:t>
            </w:r>
          </w:p>
        </w:tc>
        <w:tc>
          <w:tcPr>
            <w:tcW w:w="1225" w:type="pct"/>
          </w:tcPr>
          <w:p w14:paraId="1E2D09E3" w14:textId="77777777" w:rsidR="00B42360" w:rsidRPr="00386772" w:rsidRDefault="00B42360" w:rsidP="00CA14F7">
            <w:pPr>
              <w:pStyle w:val="TableTextLeft"/>
            </w:pPr>
            <w:r w:rsidRPr="00386772">
              <w:rPr>
                <w:b/>
                <w:bCs/>
              </w:rPr>
              <w:lastRenderedPageBreak/>
              <w:t xml:space="preserve">Actions </w:t>
            </w:r>
            <w:proofErr w:type="gramStart"/>
            <w:r w:rsidRPr="00386772">
              <w:rPr>
                <w:b/>
                <w:bCs/>
              </w:rPr>
              <w:t>undertaken:</w:t>
            </w:r>
            <w:proofErr w:type="gramEnd"/>
            <w:r w:rsidRPr="00386772">
              <w:t xml:space="preserve"> encouraged staff to participate in climate related forums and utilise readily available training to ensure staff are adequately skilled to </w:t>
            </w:r>
            <w:r w:rsidRPr="00386772">
              <w:lastRenderedPageBreak/>
              <w:t>respond to climate impacts on policy development.</w:t>
            </w:r>
          </w:p>
          <w:p w14:paraId="40E1143E" w14:textId="410AE2CF" w:rsidR="00B42360" w:rsidRPr="00386772" w:rsidRDefault="00B42360" w:rsidP="00CA14F7">
            <w:pPr>
              <w:pStyle w:val="TableTextLeft"/>
            </w:pPr>
            <w:r w:rsidRPr="00386772">
              <w:rPr>
                <w:b/>
                <w:bCs/>
              </w:rPr>
              <w:t xml:space="preserve">Actions </w:t>
            </w:r>
            <w:proofErr w:type="gramStart"/>
            <w:r w:rsidRPr="00386772">
              <w:rPr>
                <w:b/>
                <w:bCs/>
              </w:rPr>
              <w:t>undertaken:</w:t>
            </w:r>
            <w:proofErr w:type="gramEnd"/>
            <w:r w:rsidRPr="00386772">
              <w:t xml:space="preserve"> coordinated advice to internal areas to plan for and manage the response to policy development and modelling activities affected by climate change.</w:t>
            </w:r>
          </w:p>
          <w:p w14:paraId="15D27301" w14:textId="77777777" w:rsidR="00B42360" w:rsidRPr="00386772" w:rsidRDefault="00B42360" w:rsidP="00CA14F7">
            <w:pPr>
              <w:pStyle w:val="TableTextLeft"/>
            </w:pPr>
            <w:r w:rsidRPr="00386772">
              <w:rPr>
                <w:b/>
                <w:bCs/>
              </w:rPr>
              <w:t>Actions planned:</w:t>
            </w:r>
            <w:r w:rsidRPr="00386772">
              <w:t xml:space="preserve"> utilise existing data governance networks to support the identification of barriers and opportunities to internal data sharing arrangements. </w:t>
            </w:r>
          </w:p>
          <w:p w14:paraId="4592B718" w14:textId="77777777" w:rsidR="00B42360" w:rsidRPr="00386772" w:rsidRDefault="00B42360" w:rsidP="00CA14F7">
            <w:pPr>
              <w:pStyle w:val="TableTextLeft"/>
            </w:pPr>
            <w:r w:rsidRPr="00386772">
              <w:rPr>
                <w:b/>
                <w:bCs/>
              </w:rPr>
              <w:t>Actions planned:</w:t>
            </w:r>
            <w:r w:rsidRPr="00386772">
              <w:t xml:space="preserve"> strengthen existing communication channels with government departments, advisory bodies, regulators and peak bodies to ensure climate impacts are discussed and considered in policy development.</w:t>
            </w:r>
          </w:p>
        </w:tc>
      </w:tr>
      <w:tr w:rsidR="00B42360" w:rsidRPr="00386772" w14:paraId="021A2EA8" w14:textId="77777777" w:rsidTr="00CA14F7">
        <w:trPr>
          <w:trHeight w:val="270"/>
        </w:trPr>
        <w:tc>
          <w:tcPr>
            <w:tcW w:w="1029" w:type="pct"/>
          </w:tcPr>
          <w:p w14:paraId="59CD6A35" w14:textId="179ABF22" w:rsidR="00B42360" w:rsidRPr="00386772" w:rsidRDefault="00B42360" w:rsidP="00CA14F7">
            <w:pPr>
              <w:pStyle w:val="TableTextLeft"/>
            </w:pPr>
            <w:r w:rsidRPr="00386772">
              <w:rPr>
                <w:b/>
                <w:bCs/>
              </w:rPr>
              <w:lastRenderedPageBreak/>
              <w:t>Risk 4:</w:t>
            </w:r>
            <w:r w:rsidRPr="00386772">
              <w:t xml:space="preserve"> </w:t>
            </w:r>
            <w:r w:rsidR="00B94878" w:rsidRPr="00386772">
              <w:t xml:space="preserve">The </w:t>
            </w:r>
            <w:r w:rsidRPr="00386772">
              <w:t xml:space="preserve">risk of litigation associated with perceived climate inaction. </w:t>
            </w:r>
          </w:p>
          <w:p w14:paraId="38706406" w14:textId="32F1BC52" w:rsidR="00B42360" w:rsidRPr="00386772" w:rsidRDefault="00B42360" w:rsidP="00CA14F7">
            <w:pPr>
              <w:pStyle w:val="TableTextLeft"/>
            </w:pPr>
            <w:r w:rsidRPr="00386772">
              <w:rPr>
                <w:b/>
                <w:bCs/>
              </w:rPr>
              <w:t>Time horizon:</w:t>
            </w:r>
            <w:r w:rsidRPr="00386772">
              <w:t xml:space="preserve"> Assessment considered current, </w:t>
            </w:r>
            <w:proofErr w:type="gramStart"/>
            <w:r w:rsidRPr="00386772">
              <w:t>2030 and 2050 time</w:t>
            </w:r>
            <w:proofErr w:type="gramEnd"/>
            <w:r w:rsidRPr="00386772">
              <w:t xml:space="preserve"> horizons.</w:t>
            </w:r>
          </w:p>
          <w:p w14:paraId="4AB9FBD1" w14:textId="77777777" w:rsidR="00B42360" w:rsidRPr="00386772" w:rsidRDefault="00B42360" w:rsidP="00CA14F7">
            <w:pPr>
              <w:pStyle w:val="TableTextLeft"/>
            </w:pPr>
            <w:r w:rsidRPr="00386772">
              <w:rPr>
                <w:b/>
                <w:bCs/>
              </w:rPr>
              <w:t>Concentration:</w:t>
            </w:r>
            <w:r w:rsidRPr="00386772">
              <w:t xml:space="preserve"> All Treasury office locations (Canberra, Sydney, Melbourne and Perth).</w:t>
            </w:r>
          </w:p>
          <w:p w14:paraId="5BFE5F42" w14:textId="77777777" w:rsidR="00B42360" w:rsidRPr="00386772" w:rsidRDefault="00B42360" w:rsidP="00CA14F7">
            <w:pPr>
              <w:pStyle w:val="TableTextLeft"/>
            </w:pPr>
            <w:r w:rsidRPr="00386772">
              <w:rPr>
                <w:b/>
                <w:bCs/>
              </w:rPr>
              <w:t>Risk type</w:t>
            </w:r>
            <w:r w:rsidRPr="00386772">
              <w:t>: Transition.</w:t>
            </w:r>
          </w:p>
        </w:tc>
        <w:tc>
          <w:tcPr>
            <w:tcW w:w="1029" w:type="pct"/>
          </w:tcPr>
          <w:p w14:paraId="48995B1D" w14:textId="77777777" w:rsidR="00B42360" w:rsidRPr="00386772" w:rsidRDefault="00B42360" w:rsidP="00CA14F7">
            <w:pPr>
              <w:pStyle w:val="TableTextLeft"/>
            </w:pPr>
            <w:r w:rsidRPr="00386772">
              <w:rPr>
                <w:b/>
                <w:bCs/>
              </w:rPr>
              <w:t>Operational delivery:</w:t>
            </w:r>
            <w:r w:rsidRPr="00386772">
              <w:t xml:space="preserve"> Very limited impacts were observed during the reporting period. </w:t>
            </w:r>
          </w:p>
          <w:p w14:paraId="3E495634" w14:textId="77777777" w:rsidR="00B42360" w:rsidRPr="00386772" w:rsidRDefault="00B42360" w:rsidP="00CA14F7">
            <w:pPr>
              <w:pStyle w:val="TableTextLeft"/>
            </w:pPr>
            <w:r w:rsidRPr="00386772">
              <w:rPr>
                <w:b/>
                <w:bCs/>
              </w:rPr>
              <w:t>Public policy delivery</w:t>
            </w:r>
            <w:r w:rsidRPr="00386772">
              <w:t>: As above.</w:t>
            </w:r>
          </w:p>
        </w:tc>
        <w:tc>
          <w:tcPr>
            <w:tcW w:w="1717" w:type="pct"/>
          </w:tcPr>
          <w:p w14:paraId="1E7CED99" w14:textId="77777777" w:rsidR="00B42360" w:rsidRPr="00386772" w:rsidRDefault="00B42360" w:rsidP="00CA14F7">
            <w:pPr>
              <w:pStyle w:val="TableTextLeft"/>
              <w:rPr>
                <w:b/>
                <w:bCs/>
              </w:rPr>
            </w:pPr>
            <w:r w:rsidRPr="00386772">
              <w:rPr>
                <w:b/>
                <w:bCs/>
              </w:rPr>
              <w:t>Public policy delivery</w:t>
            </w:r>
          </w:p>
          <w:p w14:paraId="39B3BEDB" w14:textId="77777777" w:rsidR="00B42360" w:rsidRPr="00386772" w:rsidRDefault="00B42360" w:rsidP="00CA14F7">
            <w:pPr>
              <w:pStyle w:val="TableTextLeft"/>
            </w:pPr>
            <w:r w:rsidRPr="00386772">
              <w:t>Climate change litigation could impact Treasury's legislation program and legal advice as well as payments made under key funding agreements including to states and territories, exposing Treasury to constitutional issues and/or further litigation. This risk may increase over time with increasing climate change impacts, subject to perceptions of the effectiveness of the Australian Government’s actions.</w:t>
            </w:r>
          </w:p>
        </w:tc>
        <w:tc>
          <w:tcPr>
            <w:tcW w:w="1225" w:type="pct"/>
          </w:tcPr>
          <w:p w14:paraId="3FAD9AD8" w14:textId="77777777" w:rsidR="00B42360" w:rsidRPr="00386772" w:rsidRDefault="00B42360" w:rsidP="00CA14F7">
            <w:pPr>
              <w:pStyle w:val="TableTextLeft"/>
            </w:pPr>
            <w:r w:rsidRPr="00386772">
              <w:rPr>
                <w:b/>
                <w:bCs/>
              </w:rPr>
              <w:t>Actions planned:</w:t>
            </w:r>
            <w:r w:rsidRPr="00386772">
              <w:t xml:space="preserve"> Incorporate relevant lessons learnt from prior litigation when providing legal services to Treasury officials.</w:t>
            </w:r>
          </w:p>
        </w:tc>
      </w:tr>
    </w:tbl>
    <w:p w14:paraId="6A859972" w14:textId="77777777" w:rsidR="007B7D25" w:rsidRPr="00386772" w:rsidRDefault="007B7D25">
      <w:r w:rsidRPr="00386772">
        <w:br w:type="page"/>
      </w:r>
    </w:p>
    <w:tbl>
      <w:tblPr>
        <w:tblW w:w="5116" w:type="pct"/>
        <w:tblBorders>
          <w:top w:val="single" w:sz="4" w:space="0" w:color="D9D9D9" w:themeColor="background1" w:themeShade="D9"/>
          <w:bottom w:val="single" w:sz="4" w:space="0" w:color="D9D9D9" w:themeColor="background1" w:themeShade="D9"/>
          <w:insideH w:val="single" w:sz="4" w:space="0" w:color="D9D9D9" w:themeColor="background1" w:themeShade="D9"/>
        </w:tblBorders>
        <w:tblLook w:val="01E0" w:firstRow="1" w:lastRow="1" w:firstColumn="1" w:lastColumn="1" w:noHBand="0" w:noVBand="0"/>
      </w:tblPr>
      <w:tblGrid>
        <w:gridCol w:w="2859"/>
        <w:gridCol w:w="2859"/>
        <w:gridCol w:w="4771"/>
        <w:gridCol w:w="3404"/>
      </w:tblGrid>
      <w:tr w:rsidR="00B42360" w:rsidRPr="00386772" w14:paraId="7CF54925" w14:textId="77777777" w:rsidTr="00CA14F7">
        <w:trPr>
          <w:trHeight w:val="270"/>
        </w:trPr>
        <w:tc>
          <w:tcPr>
            <w:tcW w:w="1029" w:type="pct"/>
          </w:tcPr>
          <w:p w14:paraId="417CA2DF" w14:textId="551A3C3B" w:rsidR="00B42360" w:rsidRPr="00386772" w:rsidRDefault="00B42360" w:rsidP="00CA14F7">
            <w:pPr>
              <w:pStyle w:val="TableTextLeft"/>
            </w:pPr>
          </w:p>
        </w:tc>
        <w:tc>
          <w:tcPr>
            <w:tcW w:w="1029" w:type="pct"/>
          </w:tcPr>
          <w:p w14:paraId="6581158F" w14:textId="77777777" w:rsidR="00B42360" w:rsidRPr="00386772" w:rsidRDefault="00B42360" w:rsidP="00CA14F7">
            <w:pPr>
              <w:pStyle w:val="TableTextLeft"/>
            </w:pPr>
          </w:p>
        </w:tc>
        <w:tc>
          <w:tcPr>
            <w:tcW w:w="1717" w:type="pct"/>
          </w:tcPr>
          <w:p w14:paraId="242509E9" w14:textId="77777777" w:rsidR="00B42360" w:rsidRPr="00386772" w:rsidRDefault="00B42360" w:rsidP="00CA14F7">
            <w:pPr>
              <w:pStyle w:val="TableTextLeft"/>
            </w:pPr>
          </w:p>
        </w:tc>
        <w:tc>
          <w:tcPr>
            <w:tcW w:w="1225" w:type="pct"/>
          </w:tcPr>
          <w:p w14:paraId="3BF9E5E5" w14:textId="77777777" w:rsidR="00B42360" w:rsidRPr="00386772" w:rsidRDefault="00B42360" w:rsidP="00CA14F7">
            <w:pPr>
              <w:pStyle w:val="TableTextLeft"/>
            </w:pPr>
          </w:p>
        </w:tc>
      </w:tr>
      <w:tr w:rsidR="00B42360" w:rsidRPr="00386772" w14:paraId="3DB28862" w14:textId="77777777" w:rsidTr="00CA14F7">
        <w:trPr>
          <w:trHeight w:val="270"/>
        </w:trPr>
        <w:tc>
          <w:tcPr>
            <w:tcW w:w="1029" w:type="pct"/>
          </w:tcPr>
          <w:p w14:paraId="6904112B" w14:textId="2BFEEA3F" w:rsidR="00B42360" w:rsidRPr="00386772" w:rsidRDefault="00B42360" w:rsidP="00CA14F7">
            <w:pPr>
              <w:pStyle w:val="TableTextLeft"/>
            </w:pPr>
            <w:r w:rsidRPr="00386772">
              <w:rPr>
                <w:b/>
                <w:bCs/>
              </w:rPr>
              <w:t>Opportunity 1:</w:t>
            </w:r>
            <w:r w:rsidRPr="00386772">
              <w:t xml:space="preserve"> T</w:t>
            </w:r>
            <w:r w:rsidR="008C1C19" w:rsidRPr="00386772">
              <w:t xml:space="preserve">reasury to </w:t>
            </w:r>
            <w:r w:rsidR="00D24043" w:rsidRPr="00386772">
              <w:t xml:space="preserve">support the Government to address the challenges and uncertainties associated with climate change and the broader economic </w:t>
            </w:r>
            <w:r w:rsidR="00DF437E" w:rsidRPr="00386772">
              <w:t>transformation</w:t>
            </w:r>
            <w:r w:rsidRPr="00386772">
              <w:t xml:space="preserve">. </w:t>
            </w:r>
          </w:p>
          <w:p w14:paraId="5C137ADB" w14:textId="77777777" w:rsidR="00B42360" w:rsidRPr="00386772" w:rsidRDefault="00B42360" w:rsidP="00CA14F7">
            <w:pPr>
              <w:pStyle w:val="TableTextLeft"/>
            </w:pPr>
            <w:r w:rsidRPr="00386772">
              <w:rPr>
                <w:b/>
                <w:bCs/>
              </w:rPr>
              <w:t>Time horizon:</w:t>
            </w:r>
            <w:r w:rsidRPr="00386772">
              <w:t xml:space="preserve"> Assessment considered current, </w:t>
            </w:r>
            <w:proofErr w:type="gramStart"/>
            <w:r w:rsidRPr="00386772">
              <w:t>2030 and 2050 time</w:t>
            </w:r>
            <w:proofErr w:type="gramEnd"/>
            <w:r w:rsidRPr="00386772">
              <w:t xml:space="preserve"> horizons. </w:t>
            </w:r>
          </w:p>
          <w:p w14:paraId="725D1466" w14:textId="77777777" w:rsidR="00B42360" w:rsidRPr="00386772" w:rsidRDefault="00B42360" w:rsidP="00CA14F7">
            <w:pPr>
              <w:pStyle w:val="TableTextLeft"/>
            </w:pPr>
            <w:r w:rsidRPr="00386772">
              <w:rPr>
                <w:b/>
                <w:bCs/>
              </w:rPr>
              <w:t>Concentration:</w:t>
            </w:r>
            <w:r w:rsidRPr="00386772">
              <w:t xml:space="preserve"> All Treasury office locations (Canberra, Sydney, Melbourne and Perth).</w:t>
            </w:r>
          </w:p>
          <w:p w14:paraId="77E47C05" w14:textId="77777777" w:rsidR="00B42360" w:rsidRPr="00386772" w:rsidRDefault="00B42360" w:rsidP="00CA14F7">
            <w:pPr>
              <w:pStyle w:val="TableTextLeft"/>
            </w:pPr>
            <w:r w:rsidRPr="00386772">
              <w:rPr>
                <w:b/>
                <w:bCs/>
              </w:rPr>
              <w:t>Opportunity type:</w:t>
            </w:r>
            <w:r w:rsidRPr="00386772">
              <w:t xml:space="preserve"> Transition.</w:t>
            </w:r>
          </w:p>
        </w:tc>
        <w:tc>
          <w:tcPr>
            <w:tcW w:w="1029" w:type="pct"/>
          </w:tcPr>
          <w:p w14:paraId="1376CC79" w14:textId="77777777" w:rsidR="00B42360" w:rsidRPr="00386772" w:rsidRDefault="00B42360" w:rsidP="00CA14F7">
            <w:pPr>
              <w:pStyle w:val="TableTextLeft"/>
            </w:pPr>
            <w:r w:rsidRPr="00386772">
              <w:rPr>
                <w:b/>
                <w:bCs/>
              </w:rPr>
              <w:t>Operational model:</w:t>
            </w:r>
            <w:r w:rsidRPr="00386772">
              <w:t xml:space="preserve"> Not applicable. </w:t>
            </w:r>
          </w:p>
          <w:p w14:paraId="4F8EECC9" w14:textId="6F979A0D" w:rsidR="00B42360" w:rsidRPr="00386772" w:rsidRDefault="00B42360" w:rsidP="00CA14F7">
            <w:pPr>
              <w:pStyle w:val="TableTextLeft"/>
            </w:pPr>
            <w:r w:rsidRPr="00386772">
              <w:rPr>
                <w:b/>
                <w:bCs/>
              </w:rPr>
              <w:t>Public policy delivery:</w:t>
            </w:r>
            <w:r w:rsidRPr="00386772">
              <w:t xml:space="preserve"> Treasury contributes to policy development to support </w:t>
            </w:r>
            <w:r w:rsidR="008352F1" w:rsidRPr="00386772">
              <w:t xml:space="preserve">the Government’s </w:t>
            </w:r>
            <w:r w:rsidR="00BD074B" w:rsidRPr="00386772">
              <w:t>climate and energy priorities.</w:t>
            </w:r>
          </w:p>
        </w:tc>
        <w:tc>
          <w:tcPr>
            <w:tcW w:w="1717" w:type="pct"/>
          </w:tcPr>
          <w:p w14:paraId="0B01EDD8" w14:textId="77777777" w:rsidR="00911215" w:rsidRPr="00386772" w:rsidRDefault="00911215" w:rsidP="00CA14F7">
            <w:pPr>
              <w:pStyle w:val="TableTextLeft"/>
              <w:rPr>
                <w:b/>
                <w:bCs/>
              </w:rPr>
            </w:pPr>
            <w:r w:rsidRPr="00386772">
              <w:rPr>
                <w:b/>
                <w:bCs/>
              </w:rPr>
              <w:t>Public Policy Delivery</w:t>
            </w:r>
          </w:p>
          <w:p w14:paraId="391EC904" w14:textId="17F96D36" w:rsidR="00B42360" w:rsidRPr="00386772" w:rsidRDefault="008C1C19" w:rsidP="00CA14F7">
            <w:pPr>
              <w:pStyle w:val="TableTextLeft"/>
            </w:pPr>
            <w:r w:rsidRPr="00386772">
              <w:t>Australia’s economic and fiscal performance will depend on harnessing the opportunities that arise from the net zero and digital transformations, managing associated challenges and lifting productivity.</w:t>
            </w:r>
            <w:r w:rsidR="00B42360" w:rsidRPr="00386772">
              <w:t xml:space="preserve"> As </w:t>
            </w:r>
            <w:r w:rsidRPr="00386772">
              <w:t xml:space="preserve">outlined </w:t>
            </w:r>
            <w:r w:rsidR="00B42360" w:rsidRPr="00386772">
              <w:t xml:space="preserve">in our Corporate Plan 2025-26, this </w:t>
            </w:r>
            <w:r w:rsidR="00DF4ECB" w:rsidRPr="00386772">
              <w:t xml:space="preserve">includes </w:t>
            </w:r>
            <w:r w:rsidR="00B42360" w:rsidRPr="00386772">
              <w:t>helping the Government address the challenges and uncertainties associated with climate change and the net zero transformation, and their interaction with other structural economic changes and the geopolitical environment.</w:t>
            </w:r>
          </w:p>
          <w:p w14:paraId="6D126ACD" w14:textId="56DF62AB" w:rsidR="00B42360" w:rsidRPr="00386772" w:rsidRDefault="00B42360" w:rsidP="00CA14F7">
            <w:pPr>
              <w:pStyle w:val="TableTextLeft"/>
            </w:pPr>
          </w:p>
        </w:tc>
        <w:tc>
          <w:tcPr>
            <w:tcW w:w="1225" w:type="pct"/>
          </w:tcPr>
          <w:p w14:paraId="76983E32" w14:textId="388A56DF" w:rsidR="00B42360" w:rsidRPr="00386772" w:rsidRDefault="00B42360" w:rsidP="00CA14F7">
            <w:pPr>
              <w:pStyle w:val="TableTextLeft"/>
            </w:pPr>
            <w:r w:rsidRPr="00386772">
              <w:rPr>
                <w:b/>
                <w:bCs/>
              </w:rPr>
              <w:t>Actions undertaken:</w:t>
            </w:r>
            <w:r w:rsidRPr="00386772">
              <w:t xml:space="preserve"> Treasury released modelling and analysis for Australia’s net zero transformation in September 2025, identifying economic opportunities from different pathways and providing, in conjunction with Australia’s net zero plan, more certainty and clarity to investors.</w:t>
            </w:r>
            <w:r w:rsidR="00DF4ECB" w:rsidRPr="00386772">
              <w:t xml:space="preserve"> </w:t>
            </w:r>
            <w:r w:rsidR="00DF4ECB" w:rsidRPr="00386772">
              <w:rPr>
                <w:rFonts w:cstheme="minorHAnsi"/>
                <w:szCs w:val="18"/>
              </w:rPr>
              <w:t xml:space="preserve">Treasury also informed the analysis contained in the National Climate Risk Assessment, which built off Treasury’s climate analysis in the </w:t>
            </w:r>
            <w:r w:rsidR="008352F1" w:rsidRPr="00386772">
              <w:rPr>
                <w:rFonts w:cstheme="minorHAnsi"/>
                <w:szCs w:val="18"/>
              </w:rPr>
              <w:t xml:space="preserve">2023 </w:t>
            </w:r>
            <w:r w:rsidR="00DF4ECB" w:rsidRPr="00386772">
              <w:rPr>
                <w:rFonts w:cstheme="minorHAnsi"/>
                <w:szCs w:val="18"/>
              </w:rPr>
              <w:t>Intergenerational Report.</w:t>
            </w:r>
          </w:p>
          <w:p w14:paraId="4996EA97" w14:textId="4F441197" w:rsidR="00B42360" w:rsidRPr="00386772" w:rsidRDefault="00B42360" w:rsidP="00CA14F7">
            <w:pPr>
              <w:pStyle w:val="TableTextLeft"/>
            </w:pPr>
            <w:r w:rsidRPr="00386772">
              <w:t xml:space="preserve">To address climate risks and opportunities, Treasury has developed a climate action plan and has communicated climate risk and opportunity resources to </w:t>
            </w:r>
            <w:proofErr w:type="gramStart"/>
            <w:r w:rsidRPr="00386772">
              <w:t>staff, and</w:t>
            </w:r>
            <w:proofErr w:type="gramEnd"/>
            <w:r w:rsidRPr="00386772">
              <w:t xml:space="preserve"> established relevant internal working groups to support incorporation of climate change </w:t>
            </w:r>
            <w:r w:rsidR="00DF4ECB" w:rsidRPr="00386772">
              <w:t xml:space="preserve">risks and opportunities </w:t>
            </w:r>
            <w:r w:rsidRPr="00386772">
              <w:t>into policy</w:t>
            </w:r>
            <w:r w:rsidR="00DF4ECB" w:rsidRPr="00386772">
              <w:t xml:space="preserve"> advice on Treasury portfolio and relevant whole of government policy processes</w:t>
            </w:r>
            <w:r w:rsidRPr="00386772">
              <w:t>.</w:t>
            </w:r>
          </w:p>
        </w:tc>
      </w:tr>
    </w:tbl>
    <w:p w14:paraId="7334837F" w14:textId="77777777" w:rsidR="00AB2DC2" w:rsidRPr="00386772" w:rsidRDefault="00AB2DC2" w:rsidP="00F67F7D"/>
    <w:p w14:paraId="4468A7C8" w14:textId="77777777" w:rsidR="00B42360" w:rsidRPr="00386772" w:rsidRDefault="00B42360" w:rsidP="00F67F7D"/>
    <w:p w14:paraId="393C17AC" w14:textId="77777777" w:rsidR="00AB2DC2" w:rsidRPr="00386772" w:rsidRDefault="00AB2DC2" w:rsidP="00F67F7D">
      <w:pPr>
        <w:sectPr w:rsidR="00AB2DC2" w:rsidRPr="00386772" w:rsidSect="00AB2DC2">
          <w:headerReference w:type="even" r:id="rId32"/>
          <w:headerReference w:type="default" r:id="rId33"/>
          <w:footerReference w:type="even" r:id="rId34"/>
          <w:footerReference w:type="default" r:id="rId35"/>
          <w:headerReference w:type="first" r:id="rId36"/>
          <w:footerReference w:type="first" r:id="rId37"/>
          <w:pgSz w:w="16838" w:h="11906" w:orient="landscape" w:code="9"/>
          <w:pgMar w:top="1417" w:right="1843" w:bottom="1417" w:left="1417" w:header="709" w:footer="709" w:gutter="0"/>
          <w:cols w:space="708"/>
          <w:docGrid w:linePitch="360"/>
        </w:sectPr>
      </w:pPr>
    </w:p>
    <w:p w14:paraId="08B4A504" w14:textId="77777777" w:rsidR="00511567" w:rsidRPr="00386772" w:rsidRDefault="00511567" w:rsidP="00511567">
      <w:r w:rsidRPr="00386772">
        <w:lastRenderedPageBreak/>
        <w:t>To address material and non-material climate risks and opportunities, Treasury has developed a climate action plan and has communicated climate risk and opportunity resources to staff, established relevant internal working groups to support incorporation of climate change into policy, published its Emissions Reduction Plan (ERP), and updated its business continuity suite to reduce its vulnerability to weather related disruptions. Various other actions across Treasury, as well as progress against our ERP, are being monitored by relevant governance committees on an annual basis. In line with our ERP our two fleet cars are both electric. Treasury has no plans to redeploy, repurpose, upgrade or decommission existing assets. It will look for opportunities, with building owners, to find energy efficiencies in its tenancies.</w:t>
      </w:r>
    </w:p>
    <w:p w14:paraId="152B4F3E" w14:textId="77777777" w:rsidR="00511567" w:rsidRPr="00386772" w:rsidRDefault="00511567" w:rsidP="00511567">
      <w:r w:rsidRPr="00386772">
        <w:t xml:space="preserve">To achieve Treasury’s purpose in providing advice to government and delivering policies and programs that attain strong and sustainable economic and fiscal outcomes for Australians, we must be alive to Australia’s changing economy and environment. As stipulated in our Corporate Plan 2025-26, this includes helping the government address the challenges and uncertainties associated with climate change and the net zero transformation, and their interaction with other structural economic changes and the geopolitical environment. Australia’s economic and fiscal performance will depend on harnessing the opportunities that arise from the net zero and digital transformations, managing associated challenges and lifting productivity. </w:t>
      </w:r>
    </w:p>
    <w:p w14:paraId="398BA742" w14:textId="77777777" w:rsidR="00511567" w:rsidRPr="00386772" w:rsidRDefault="00511567" w:rsidP="00511567">
      <w:pPr>
        <w:pStyle w:val="Heading2"/>
      </w:pPr>
      <w:bookmarkStart w:id="13" w:name="_Toc238826593"/>
      <w:r w:rsidRPr="00386772">
        <w:t>Climate-related metrics</w:t>
      </w:r>
      <w:bookmarkEnd w:id="13"/>
    </w:p>
    <w:p w14:paraId="38EC00E8" w14:textId="30F848B2" w:rsidR="001E16D3" w:rsidRDefault="001E16D3" w:rsidP="001E16D3">
      <w:r w:rsidRPr="00386772">
        <w:t xml:space="preserve">Treasury’s operations are relatively simple, its capital expenditure </w:t>
      </w:r>
      <w:proofErr w:type="gramStart"/>
      <w:r w:rsidRPr="00386772">
        <w:t>fairly limited</w:t>
      </w:r>
      <w:proofErr w:type="gramEnd"/>
      <w:r w:rsidR="00C14617" w:rsidRPr="00386772">
        <w:t>,</w:t>
      </w:r>
      <w:r w:rsidRPr="00386772">
        <w:t xml:space="preserve"> and it has limited climate and emissions exposures. </w:t>
      </w:r>
    </w:p>
    <w:p w14:paraId="356DC017" w14:textId="77777777" w:rsidR="00511567" w:rsidRPr="00B40861" w:rsidRDefault="00511567" w:rsidP="00511567">
      <w:r w:rsidRPr="00B40861">
        <w:t xml:space="preserve">Emissions are required to be calculated in line with the APS Net Zero Emissions Reporting Framework provided by Department of Finance, consistent with the whole-of-government approach as part of the APS Net Zero by 2030 policy. </w:t>
      </w:r>
    </w:p>
    <w:p w14:paraId="4E6EF63D" w14:textId="28DC96E9" w:rsidR="00511567" w:rsidRPr="00B40861" w:rsidRDefault="00511567" w:rsidP="00511567">
      <w:bookmarkStart w:id="14" w:name="_Hlk174718553"/>
      <w:r w:rsidRPr="00B40861">
        <w:t xml:space="preserve">Table 4 presents the greenhouse gas emissions inventory for the period 2025–26. </w:t>
      </w:r>
      <w:bookmarkEnd w:id="14"/>
      <w:r w:rsidRPr="00B40861">
        <w:t xml:space="preserve">For the emissions calculation method, please see the </w:t>
      </w:r>
      <w:hyperlink r:id="rId38" w:history="1">
        <w:r w:rsidRPr="00B40861">
          <w:rPr>
            <w:rStyle w:val="Hyperlink"/>
          </w:rPr>
          <w:t>Department of Finance Metrics and Targets Guidance Fact Sheet (Year 2)</w:t>
        </w:r>
        <w:r w:rsidR="004A7414">
          <w:rPr>
            <w:rStyle w:val="Hyperlink"/>
          </w:rPr>
          <w:t>.</w:t>
        </w:r>
        <w:r w:rsidRPr="00B40861">
          <w:rPr>
            <w:rStyle w:val="Hyperlink"/>
          </w:rPr>
          <w:t xml:space="preserve"> </w:t>
        </w:r>
      </w:hyperlink>
      <w:r w:rsidRPr="00B40861">
        <w:t xml:space="preserve">Treasury has not deviated from this methodology. </w:t>
      </w:r>
    </w:p>
    <w:p w14:paraId="11E971BB" w14:textId="77777777" w:rsidR="00511567" w:rsidRPr="00B40861" w:rsidRDefault="00511567" w:rsidP="00511567">
      <w:r w:rsidRPr="00B40861">
        <w:t xml:space="preserve">Figures for 2025–26 include the addition of the following emission categories as required by expansion 2 of the APS Net Zero Emissions Reporting Framework: </w:t>
      </w:r>
    </w:p>
    <w:p w14:paraId="43BCD82B" w14:textId="77777777" w:rsidR="00511567" w:rsidRPr="00B40861" w:rsidRDefault="00511567" w:rsidP="00511567">
      <w:pPr>
        <w:pStyle w:val="Bullet"/>
      </w:pPr>
      <w:r w:rsidRPr="00B40861">
        <w:t xml:space="preserve">refrigerants (reported as scope 1) </w:t>
      </w:r>
    </w:p>
    <w:p w14:paraId="3EBDBD2B" w14:textId="77777777" w:rsidR="00511567" w:rsidRPr="00B40861" w:rsidRDefault="00511567" w:rsidP="00511567">
      <w:pPr>
        <w:pStyle w:val="Bullet"/>
      </w:pPr>
      <w:r w:rsidRPr="00B40861">
        <w:t xml:space="preserve">solid waste disposal and treatment (reported as scope 3) </w:t>
      </w:r>
    </w:p>
    <w:p w14:paraId="100EE268" w14:textId="77777777" w:rsidR="00511567" w:rsidRPr="00B40861" w:rsidRDefault="00511567" w:rsidP="00511567">
      <w:pPr>
        <w:pStyle w:val="Bullet"/>
      </w:pPr>
      <w:r w:rsidRPr="00B40861">
        <w:t xml:space="preserve">employee domestic business travel (hire car and accommodation) (reported as scope 3). </w:t>
      </w:r>
    </w:p>
    <w:p w14:paraId="261063B5" w14:textId="77777777" w:rsidR="00511567" w:rsidRPr="00B40861" w:rsidRDefault="00511567" w:rsidP="00511567">
      <w:r w:rsidRPr="00B40861">
        <w:t>The inventory presents carbon dioxide equivalent (CO</w:t>
      </w:r>
      <w:r w:rsidRPr="00B40861">
        <w:rPr>
          <w:vertAlign w:val="subscript"/>
        </w:rPr>
        <w:t>2</w:t>
      </w:r>
      <w:r w:rsidRPr="00B40861">
        <w:t xml:space="preserve">-e) emissions based on the best available data at the time of reporting. Amendments to data may be required in future reports. </w:t>
      </w:r>
    </w:p>
    <w:p w14:paraId="5DCDEBDF" w14:textId="77777777" w:rsidR="00511567" w:rsidRDefault="00511567" w:rsidP="00511567">
      <w:pPr>
        <w:pStyle w:val="TableMainHeading"/>
        <w:keepLines/>
      </w:pPr>
      <w:bookmarkStart w:id="15" w:name="_Toc238826594"/>
      <w:r w:rsidRPr="006D78F1">
        <w:lastRenderedPageBreak/>
        <w:t>Table 4: Treasury’s greenhouse gas emissions inventory 2025–26</w:t>
      </w:r>
      <w:bookmarkEnd w:id="15"/>
    </w:p>
    <w:tbl>
      <w:tblPr>
        <w:tblW w:w="0" w:type="auto"/>
        <w:tblBorders>
          <w:top w:val="single" w:sz="6" w:space="0" w:color="D9D9D9" w:themeColor="background1" w:themeShade="D9"/>
          <w:bottom w:val="single" w:sz="6" w:space="0" w:color="D9D9D9" w:themeColor="background1" w:themeShade="D9"/>
          <w:insideH w:val="single" w:sz="6" w:space="0" w:color="D9D9D9" w:themeColor="background1" w:themeShade="D9"/>
        </w:tblBorders>
        <w:shd w:val="clear" w:color="auto" w:fill="FFFFFF"/>
        <w:tblCellMar>
          <w:top w:w="15" w:type="dxa"/>
          <w:left w:w="85" w:type="dxa"/>
          <w:bottom w:w="15" w:type="dxa"/>
          <w:right w:w="85" w:type="dxa"/>
        </w:tblCellMar>
        <w:tblLook w:val="04A0" w:firstRow="1" w:lastRow="0" w:firstColumn="1" w:lastColumn="0" w:noHBand="0" w:noVBand="1"/>
      </w:tblPr>
      <w:tblGrid>
        <w:gridCol w:w="3544"/>
        <w:gridCol w:w="1418"/>
        <w:gridCol w:w="1275"/>
        <w:gridCol w:w="1276"/>
        <w:gridCol w:w="1276"/>
      </w:tblGrid>
      <w:tr w:rsidR="00511567" w:rsidRPr="000042CB" w14:paraId="7D47BD5B" w14:textId="77777777" w:rsidTr="00CA14F7">
        <w:trPr>
          <w:tblHeader/>
        </w:trPr>
        <w:tc>
          <w:tcPr>
            <w:tcW w:w="3544" w:type="dxa"/>
            <w:shd w:val="clear" w:color="auto" w:fill="E5E5E5"/>
            <w:vAlign w:val="bottom"/>
            <w:hideMark/>
          </w:tcPr>
          <w:p w14:paraId="3FDEB10A" w14:textId="77777777" w:rsidR="00511567" w:rsidRPr="000042CB" w:rsidRDefault="00511567" w:rsidP="00CA14F7">
            <w:pPr>
              <w:pStyle w:val="TableColumnHeadingLeft"/>
              <w:keepNext/>
              <w:keepLines/>
            </w:pPr>
            <w:r w:rsidRPr="000042CB">
              <w:t>Emission source</w:t>
            </w:r>
          </w:p>
        </w:tc>
        <w:tc>
          <w:tcPr>
            <w:tcW w:w="1418" w:type="dxa"/>
            <w:shd w:val="clear" w:color="auto" w:fill="E5E5E5"/>
            <w:vAlign w:val="bottom"/>
            <w:hideMark/>
          </w:tcPr>
          <w:p w14:paraId="5D3A9D1B" w14:textId="77777777" w:rsidR="00511567" w:rsidRPr="000042CB" w:rsidRDefault="00511567" w:rsidP="00CA14F7">
            <w:pPr>
              <w:pStyle w:val="TableColumnHeadingLeft"/>
              <w:keepNext/>
              <w:keepLines/>
            </w:pPr>
            <w:r w:rsidRPr="000042CB">
              <w:t>Scope 1</w:t>
            </w:r>
            <w:r w:rsidRPr="000042CB">
              <w:br/>
              <w:t>t CO</w:t>
            </w:r>
            <w:r w:rsidRPr="000042CB">
              <w:rPr>
                <w:vertAlign w:val="subscript"/>
              </w:rPr>
              <w:t>2</w:t>
            </w:r>
            <w:r w:rsidRPr="000042CB">
              <w:t>-e</w:t>
            </w:r>
          </w:p>
        </w:tc>
        <w:tc>
          <w:tcPr>
            <w:tcW w:w="1275" w:type="dxa"/>
            <w:shd w:val="clear" w:color="auto" w:fill="E5E5E5"/>
            <w:vAlign w:val="bottom"/>
            <w:hideMark/>
          </w:tcPr>
          <w:p w14:paraId="2CA9F1CC" w14:textId="77777777" w:rsidR="00511567" w:rsidRPr="000042CB" w:rsidRDefault="00511567" w:rsidP="00CA14F7">
            <w:pPr>
              <w:pStyle w:val="TableColumnHeadingLeft"/>
              <w:keepNext/>
              <w:keepLines/>
            </w:pPr>
            <w:r w:rsidRPr="000042CB">
              <w:t xml:space="preserve">Scope 2 </w:t>
            </w:r>
            <w:r w:rsidRPr="000042CB">
              <w:br/>
              <w:t>t CO</w:t>
            </w:r>
            <w:r w:rsidRPr="000042CB">
              <w:rPr>
                <w:vertAlign w:val="subscript"/>
              </w:rPr>
              <w:t>2</w:t>
            </w:r>
            <w:r w:rsidRPr="000042CB">
              <w:t>-e</w:t>
            </w:r>
          </w:p>
        </w:tc>
        <w:tc>
          <w:tcPr>
            <w:tcW w:w="1276" w:type="dxa"/>
            <w:shd w:val="clear" w:color="auto" w:fill="E5E5E5"/>
            <w:vAlign w:val="bottom"/>
            <w:hideMark/>
          </w:tcPr>
          <w:p w14:paraId="0EADE28C" w14:textId="77777777" w:rsidR="00511567" w:rsidRPr="000042CB" w:rsidRDefault="00511567" w:rsidP="00CA14F7">
            <w:pPr>
              <w:pStyle w:val="TableColumnHeadingLeft"/>
              <w:keepNext/>
              <w:keepLines/>
            </w:pPr>
            <w:r w:rsidRPr="000042CB">
              <w:t xml:space="preserve">Scope 3 </w:t>
            </w:r>
            <w:r w:rsidRPr="000042CB">
              <w:br/>
              <w:t>t CO</w:t>
            </w:r>
            <w:r w:rsidRPr="000042CB">
              <w:rPr>
                <w:vertAlign w:val="subscript"/>
              </w:rPr>
              <w:t>2</w:t>
            </w:r>
            <w:r w:rsidRPr="000042CB">
              <w:t>-e</w:t>
            </w:r>
          </w:p>
        </w:tc>
        <w:tc>
          <w:tcPr>
            <w:tcW w:w="1276" w:type="dxa"/>
            <w:shd w:val="clear" w:color="auto" w:fill="E5E5E5"/>
            <w:vAlign w:val="bottom"/>
            <w:hideMark/>
          </w:tcPr>
          <w:p w14:paraId="3FD8DA9E" w14:textId="77777777" w:rsidR="00511567" w:rsidRPr="000042CB" w:rsidRDefault="00511567" w:rsidP="00CA14F7">
            <w:pPr>
              <w:pStyle w:val="TableColumnHeadingLeft"/>
              <w:keepNext/>
              <w:keepLines/>
            </w:pPr>
            <w:r w:rsidRPr="000042CB">
              <w:t xml:space="preserve">Total </w:t>
            </w:r>
            <w:r w:rsidRPr="000042CB">
              <w:br/>
              <w:t>t CO</w:t>
            </w:r>
            <w:r w:rsidRPr="000042CB">
              <w:rPr>
                <w:vertAlign w:val="subscript"/>
              </w:rPr>
              <w:t>2</w:t>
            </w:r>
            <w:r w:rsidRPr="000042CB">
              <w:t>-e</w:t>
            </w:r>
          </w:p>
        </w:tc>
      </w:tr>
      <w:tr w:rsidR="00511567" w:rsidRPr="000042CB" w14:paraId="7F1CCF10" w14:textId="77777777" w:rsidTr="00CA14F7">
        <w:tc>
          <w:tcPr>
            <w:tcW w:w="3544" w:type="dxa"/>
            <w:hideMark/>
          </w:tcPr>
          <w:p w14:paraId="443843B8" w14:textId="77777777" w:rsidR="00511567" w:rsidRPr="000042CB" w:rsidRDefault="00511567" w:rsidP="00CA14F7">
            <w:pPr>
              <w:pStyle w:val="TableTextLeft"/>
              <w:keepNext/>
              <w:keepLines/>
            </w:pPr>
            <w:r w:rsidRPr="000042CB">
              <w:t>Electricity (location-based approach)</w:t>
            </w:r>
          </w:p>
        </w:tc>
        <w:tc>
          <w:tcPr>
            <w:tcW w:w="1418" w:type="dxa"/>
          </w:tcPr>
          <w:p w14:paraId="3D8AC6D5" w14:textId="77777777" w:rsidR="00511567" w:rsidRPr="000042CB" w:rsidRDefault="00511567" w:rsidP="00CA14F7">
            <w:pPr>
              <w:pStyle w:val="TableTextLeft"/>
              <w:keepNext/>
              <w:keepLines/>
            </w:pPr>
            <w:r w:rsidRPr="000042CB">
              <w:t>n/a</w:t>
            </w:r>
          </w:p>
        </w:tc>
        <w:tc>
          <w:tcPr>
            <w:tcW w:w="1275" w:type="dxa"/>
          </w:tcPr>
          <w:p w14:paraId="0FFA9CD1" w14:textId="77777777" w:rsidR="00511567" w:rsidRPr="000042CB" w:rsidRDefault="00511567" w:rsidP="00CA14F7">
            <w:pPr>
              <w:pStyle w:val="TableTextLeft"/>
              <w:keepNext/>
              <w:keepLines/>
            </w:pPr>
            <w:r w:rsidRPr="000042CB">
              <w:t>263.29</w:t>
            </w:r>
          </w:p>
        </w:tc>
        <w:tc>
          <w:tcPr>
            <w:tcW w:w="1276" w:type="dxa"/>
          </w:tcPr>
          <w:p w14:paraId="1C5EC3B0" w14:textId="77777777" w:rsidR="00511567" w:rsidRPr="000042CB" w:rsidRDefault="00511567" w:rsidP="00CA14F7">
            <w:pPr>
              <w:pStyle w:val="TableTextLeft"/>
              <w:keepNext/>
              <w:keepLines/>
            </w:pPr>
            <w:r w:rsidRPr="000042CB">
              <w:t>16.22</w:t>
            </w:r>
          </w:p>
        </w:tc>
        <w:tc>
          <w:tcPr>
            <w:tcW w:w="1276" w:type="dxa"/>
            <w:shd w:val="clear" w:color="auto" w:fill="EBF0FA"/>
          </w:tcPr>
          <w:p w14:paraId="7A85EE88" w14:textId="77777777" w:rsidR="00511567" w:rsidRPr="003F29D6" w:rsidRDefault="00511567" w:rsidP="00CA14F7">
            <w:pPr>
              <w:pStyle w:val="TableTextLeft"/>
              <w:keepNext/>
              <w:keepLines/>
              <w:rPr>
                <w:rStyle w:val="Strong"/>
              </w:rPr>
            </w:pPr>
            <w:r w:rsidRPr="003F29D6">
              <w:rPr>
                <w:rStyle w:val="Strong"/>
              </w:rPr>
              <w:t>279.51</w:t>
            </w:r>
          </w:p>
        </w:tc>
      </w:tr>
      <w:tr w:rsidR="00511567" w:rsidRPr="000042CB" w14:paraId="58A85F25" w14:textId="77777777" w:rsidTr="00CA14F7">
        <w:tc>
          <w:tcPr>
            <w:tcW w:w="3544" w:type="dxa"/>
            <w:hideMark/>
          </w:tcPr>
          <w:p w14:paraId="0F409C2A" w14:textId="77777777" w:rsidR="00511567" w:rsidRPr="000042CB" w:rsidRDefault="00511567" w:rsidP="00CA14F7">
            <w:pPr>
              <w:pStyle w:val="TableTextLeft"/>
              <w:keepNext/>
              <w:keepLines/>
            </w:pPr>
            <w:r w:rsidRPr="000042CB">
              <w:t>Natural gas</w:t>
            </w:r>
          </w:p>
        </w:tc>
        <w:tc>
          <w:tcPr>
            <w:tcW w:w="1418" w:type="dxa"/>
          </w:tcPr>
          <w:p w14:paraId="3CB3BAC5" w14:textId="77777777" w:rsidR="00511567" w:rsidRPr="000042CB" w:rsidRDefault="00511567" w:rsidP="00CA14F7">
            <w:pPr>
              <w:pStyle w:val="TableTextLeft"/>
              <w:keepNext/>
              <w:keepLines/>
            </w:pPr>
            <w:r w:rsidRPr="000042CB">
              <w:t>0.00</w:t>
            </w:r>
          </w:p>
        </w:tc>
        <w:tc>
          <w:tcPr>
            <w:tcW w:w="1275" w:type="dxa"/>
          </w:tcPr>
          <w:p w14:paraId="5610E44B" w14:textId="77777777" w:rsidR="00511567" w:rsidRPr="000042CB" w:rsidRDefault="00511567" w:rsidP="00CA14F7">
            <w:pPr>
              <w:pStyle w:val="TableTextLeft"/>
              <w:keepNext/>
              <w:keepLines/>
            </w:pPr>
            <w:r w:rsidRPr="000042CB">
              <w:t>n/a</w:t>
            </w:r>
          </w:p>
        </w:tc>
        <w:tc>
          <w:tcPr>
            <w:tcW w:w="1276" w:type="dxa"/>
          </w:tcPr>
          <w:p w14:paraId="6112EB15" w14:textId="77777777" w:rsidR="00511567" w:rsidRPr="000042CB" w:rsidRDefault="00511567" w:rsidP="00CA14F7">
            <w:pPr>
              <w:pStyle w:val="TableTextLeft"/>
              <w:keepNext/>
              <w:keepLines/>
            </w:pPr>
            <w:r w:rsidRPr="000042CB">
              <w:t>0.00</w:t>
            </w:r>
          </w:p>
        </w:tc>
        <w:tc>
          <w:tcPr>
            <w:tcW w:w="1276" w:type="dxa"/>
            <w:shd w:val="clear" w:color="auto" w:fill="EBF0FA"/>
          </w:tcPr>
          <w:p w14:paraId="2DD17CAA" w14:textId="77777777" w:rsidR="00511567" w:rsidRPr="003F29D6" w:rsidRDefault="00511567" w:rsidP="00CA14F7">
            <w:pPr>
              <w:pStyle w:val="TableTextLeft"/>
              <w:keepNext/>
              <w:keepLines/>
              <w:rPr>
                <w:rStyle w:val="Strong"/>
              </w:rPr>
            </w:pPr>
            <w:r w:rsidRPr="003F29D6">
              <w:rPr>
                <w:rStyle w:val="Strong"/>
              </w:rPr>
              <w:t>0.00</w:t>
            </w:r>
          </w:p>
        </w:tc>
      </w:tr>
      <w:tr w:rsidR="00511567" w:rsidRPr="000042CB" w14:paraId="3280E0EA" w14:textId="77777777" w:rsidTr="00CA14F7">
        <w:tc>
          <w:tcPr>
            <w:tcW w:w="3544" w:type="dxa"/>
          </w:tcPr>
          <w:p w14:paraId="4E570307" w14:textId="77777777" w:rsidR="00511567" w:rsidRPr="000042CB" w:rsidRDefault="00511567" w:rsidP="00CA14F7">
            <w:pPr>
              <w:pStyle w:val="TableTextLeft"/>
              <w:keepNext/>
              <w:keepLines/>
            </w:pPr>
            <w:r w:rsidRPr="000042CB">
              <w:t>Solid waste</w:t>
            </w:r>
            <w:r w:rsidRPr="000042CB">
              <w:rPr>
                <w:vertAlign w:val="superscript"/>
              </w:rPr>
              <w:t>(a)(b)</w:t>
            </w:r>
          </w:p>
        </w:tc>
        <w:tc>
          <w:tcPr>
            <w:tcW w:w="1418" w:type="dxa"/>
          </w:tcPr>
          <w:p w14:paraId="7B1C15A8" w14:textId="77777777" w:rsidR="00511567" w:rsidRPr="000042CB" w:rsidRDefault="00511567" w:rsidP="00CA14F7">
            <w:pPr>
              <w:pStyle w:val="TableTextLeft"/>
              <w:keepNext/>
              <w:keepLines/>
            </w:pPr>
            <w:r w:rsidRPr="000042CB">
              <w:t>37.04</w:t>
            </w:r>
          </w:p>
        </w:tc>
        <w:tc>
          <w:tcPr>
            <w:tcW w:w="1275" w:type="dxa"/>
          </w:tcPr>
          <w:p w14:paraId="7F77C05E" w14:textId="77777777" w:rsidR="00511567" w:rsidRPr="000042CB" w:rsidRDefault="00511567" w:rsidP="00CA14F7">
            <w:pPr>
              <w:pStyle w:val="TableTextLeft"/>
              <w:keepNext/>
              <w:keepLines/>
            </w:pPr>
            <w:r w:rsidRPr="000042CB">
              <w:t>n/a</w:t>
            </w:r>
          </w:p>
        </w:tc>
        <w:tc>
          <w:tcPr>
            <w:tcW w:w="1276" w:type="dxa"/>
          </w:tcPr>
          <w:p w14:paraId="301BDD8C" w14:textId="77777777" w:rsidR="00511567" w:rsidRPr="000042CB" w:rsidRDefault="00511567" w:rsidP="00CA14F7">
            <w:pPr>
              <w:pStyle w:val="TableTextLeft"/>
              <w:keepNext/>
              <w:keepLines/>
            </w:pPr>
            <w:r w:rsidRPr="000042CB">
              <w:t>0.00</w:t>
            </w:r>
          </w:p>
        </w:tc>
        <w:tc>
          <w:tcPr>
            <w:tcW w:w="1276" w:type="dxa"/>
            <w:shd w:val="clear" w:color="auto" w:fill="EBF0FA"/>
          </w:tcPr>
          <w:p w14:paraId="380F0007" w14:textId="77777777" w:rsidR="00511567" w:rsidRPr="003F29D6" w:rsidRDefault="00511567" w:rsidP="00CA14F7">
            <w:pPr>
              <w:pStyle w:val="TableTextLeft"/>
              <w:keepNext/>
              <w:keepLines/>
              <w:rPr>
                <w:rStyle w:val="Strong"/>
              </w:rPr>
            </w:pPr>
            <w:r w:rsidRPr="003F29D6">
              <w:rPr>
                <w:rStyle w:val="Strong"/>
              </w:rPr>
              <w:t>37.04</w:t>
            </w:r>
          </w:p>
        </w:tc>
      </w:tr>
      <w:tr w:rsidR="00511567" w:rsidRPr="000042CB" w14:paraId="090AD4D8" w14:textId="77777777" w:rsidTr="00CA14F7">
        <w:tc>
          <w:tcPr>
            <w:tcW w:w="3544" w:type="dxa"/>
          </w:tcPr>
          <w:p w14:paraId="154138B8" w14:textId="77777777" w:rsidR="00511567" w:rsidRPr="000042CB" w:rsidRDefault="00511567" w:rsidP="00CA14F7">
            <w:pPr>
              <w:pStyle w:val="TableTextLeft"/>
              <w:keepNext/>
              <w:keepLines/>
            </w:pPr>
            <w:r w:rsidRPr="000042CB">
              <w:t>Refrigerants</w:t>
            </w:r>
          </w:p>
        </w:tc>
        <w:tc>
          <w:tcPr>
            <w:tcW w:w="1418" w:type="dxa"/>
          </w:tcPr>
          <w:p w14:paraId="022997CE" w14:textId="77777777" w:rsidR="00511567" w:rsidRPr="000042CB" w:rsidRDefault="00511567" w:rsidP="00CA14F7">
            <w:pPr>
              <w:pStyle w:val="TableTextLeft"/>
              <w:keepNext/>
              <w:keepLines/>
            </w:pPr>
            <w:r w:rsidRPr="000042CB">
              <w:t>0.00</w:t>
            </w:r>
          </w:p>
        </w:tc>
        <w:tc>
          <w:tcPr>
            <w:tcW w:w="1275" w:type="dxa"/>
          </w:tcPr>
          <w:p w14:paraId="10B16CB7" w14:textId="77777777" w:rsidR="00511567" w:rsidRPr="000042CB" w:rsidRDefault="00511567" w:rsidP="00CA14F7">
            <w:pPr>
              <w:pStyle w:val="TableTextLeft"/>
              <w:keepNext/>
              <w:keepLines/>
            </w:pPr>
            <w:r w:rsidRPr="000042CB">
              <w:t>n/a</w:t>
            </w:r>
          </w:p>
        </w:tc>
        <w:tc>
          <w:tcPr>
            <w:tcW w:w="1276" w:type="dxa"/>
          </w:tcPr>
          <w:p w14:paraId="01A468C7" w14:textId="77777777" w:rsidR="00511567" w:rsidRPr="000042CB" w:rsidRDefault="00511567" w:rsidP="00CA14F7">
            <w:pPr>
              <w:pStyle w:val="TableTextLeft"/>
              <w:keepNext/>
              <w:keepLines/>
            </w:pPr>
            <w:r w:rsidRPr="000042CB">
              <w:t>n/a</w:t>
            </w:r>
          </w:p>
        </w:tc>
        <w:tc>
          <w:tcPr>
            <w:tcW w:w="1276" w:type="dxa"/>
            <w:shd w:val="clear" w:color="auto" w:fill="EBF0FA"/>
          </w:tcPr>
          <w:p w14:paraId="1B543891" w14:textId="77777777" w:rsidR="00511567" w:rsidRPr="003F29D6" w:rsidRDefault="00511567" w:rsidP="00CA14F7">
            <w:pPr>
              <w:pStyle w:val="TableTextLeft"/>
              <w:keepNext/>
              <w:keepLines/>
              <w:rPr>
                <w:rStyle w:val="Strong"/>
              </w:rPr>
            </w:pPr>
            <w:r w:rsidRPr="003F29D6">
              <w:rPr>
                <w:rStyle w:val="Strong"/>
              </w:rPr>
              <w:t>0.00</w:t>
            </w:r>
          </w:p>
        </w:tc>
      </w:tr>
      <w:tr w:rsidR="00511567" w:rsidRPr="000042CB" w14:paraId="2D9030AA" w14:textId="77777777" w:rsidTr="00CA14F7">
        <w:tc>
          <w:tcPr>
            <w:tcW w:w="3544" w:type="dxa"/>
            <w:hideMark/>
          </w:tcPr>
          <w:p w14:paraId="7F9409FD" w14:textId="77777777" w:rsidR="00511567" w:rsidRPr="000042CB" w:rsidRDefault="00511567" w:rsidP="00CA14F7">
            <w:pPr>
              <w:pStyle w:val="TableTextLeft"/>
              <w:keepNext/>
              <w:keepLines/>
            </w:pPr>
            <w:r w:rsidRPr="000042CB">
              <w:t>Fleet and other vehicles</w:t>
            </w:r>
            <w:r w:rsidRPr="000042CB">
              <w:rPr>
                <w:vertAlign w:val="superscript"/>
              </w:rPr>
              <w:t>(c) (d)</w:t>
            </w:r>
          </w:p>
        </w:tc>
        <w:tc>
          <w:tcPr>
            <w:tcW w:w="1418" w:type="dxa"/>
          </w:tcPr>
          <w:p w14:paraId="6D503B36" w14:textId="77777777" w:rsidR="00511567" w:rsidRPr="000042CB" w:rsidRDefault="00511567" w:rsidP="00CA14F7">
            <w:pPr>
              <w:pStyle w:val="TableTextLeft"/>
              <w:keepNext/>
              <w:keepLines/>
            </w:pPr>
            <w:r w:rsidRPr="000042CB">
              <w:t>0.00</w:t>
            </w:r>
          </w:p>
        </w:tc>
        <w:tc>
          <w:tcPr>
            <w:tcW w:w="1275" w:type="dxa"/>
          </w:tcPr>
          <w:p w14:paraId="39FC786F" w14:textId="77777777" w:rsidR="00511567" w:rsidRPr="000042CB" w:rsidRDefault="00511567" w:rsidP="00CA14F7">
            <w:pPr>
              <w:pStyle w:val="TableTextLeft"/>
              <w:keepNext/>
              <w:keepLines/>
            </w:pPr>
            <w:r w:rsidRPr="000042CB">
              <w:t>n/a</w:t>
            </w:r>
          </w:p>
        </w:tc>
        <w:tc>
          <w:tcPr>
            <w:tcW w:w="1276" w:type="dxa"/>
          </w:tcPr>
          <w:p w14:paraId="25A510DE" w14:textId="77777777" w:rsidR="00511567" w:rsidRPr="000042CB" w:rsidRDefault="00511567" w:rsidP="00CA14F7">
            <w:pPr>
              <w:pStyle w:val="TableTextLeft"/>
              <w:keepNext/>
              <w:keepLines/>
            </w:pPr>
            <w:r w:rsidRPr="000042CB">
              <w:t>0.00</w:t>
            </w:r>
          </w:p>
        </w:tc>
        <w:tc>
          <w:tcPr>
            <w:tcW w:w="1276" w:type="dxa"/>
            <w:shd w:val="clear" w:color="auto" w:fill="EBF0FA"/>
          </w:tcPr>
          <w:p w14:paraId="4884E69F" w14:textId="77777777" w:rsidR="00511567" w:rsidRPr="003F29D6" w:rsidRDefault="00511567" w:rsidP="00CA14F7">
            <w:pPr>
              <w:pStyle w:val="TableTextLeft"/>
              <w:keepNext/>
              <w:keepLines/>
              <w:rPr>
                <w:rStyle w:val="Strong"/>
              </w:rPr>
            </w:pPr>
            <w:r w:rsidRPr="003F29D6">
              <w:rPr>
                <w:rStyle w:val="Strong"/>
              </w:rPr>
              <w:t>0.00</w:t>
            </w:r>
          </w:p>
        </w:tc>
      </w:tr>
      <w:tr w:rsidR="00511567" w:rsidRPr="000042CB" w14:paraId="4C8263BC" w14:textId="77777777" w:rsidTr="00CA14F7">
        <w:tc>
          <w:tcPr>
            <w:tcW w:w="3544" w:type="dxa"/>
            <w:hideMark/>
          </w:tcPr>
          <w:p w14:paraId="0FA7A781" w14:textId="77777777" w:rsidR="00511567" w:rsidRPr="000042CB" w:rsidRDefault="00511567" w:rsidP="00CA14F7">
            <w:pPr>
              <w:pStyle w:val="TableTextLeft"/>
              <w:keepNext/>
              <w:keepLines/>
            </w:pPr>
            <w:r w:rsidRPr="000042CB">
              <w:t>Domestic commercial flights</w:t>
            </w:r>
          </w:p>
        </w:tc>
        <w:tc>
          <w:tcPr>
            <w:tcW w:w="1418" w:type="dxa"/>
          </w:tcPr>
          <w:p w14:paraId="2DD1A6C1" w14:textId="77777777" w:rsidR="00511567" w:rsidRPr="000042CB" w:rsidRDefault="00511567" w:rsidP="00CA14F7">
            <w:pPr>
              <w:pStyle w:val="TableTextLeft"/>
              <w:keepNext/>
              <w:keepLines/>
            </w:pPr>
            <w:r w:rsidRPr="000042CB">
              <w:t>n/a</w:t>
            </w:r>
          </w:p>
        </w:tc>
        <w:tc>
          <w:tcPr>
            <w:tcW w:w="1275" w:type="dxa"/>
          </w:tcPr>
          <w:p w14:paraId="5EF6F801" w14:textId="77777777" w:rsidR="00511567" w:rsidRPr="000042CB" w:rsidRDefault="00511567" w:rsidP="00CA14F7">
            <w:pPr>
              <w:pStyle w:val="TableTextLeft"/>
              <w:keepNext/>
              <w:keepLines/>
            </w:pPr>
            <w:r w:rsidRPr="000042CB">
              <w:t>n/a</w:t>
            </w:r>
          </w:p>
        </w:tc>
        <w:tc>
          <w:tcPr>
            <w:tcW w:w="1276" w:type="dxa"/>
          </w:tcPr>
          <w:p w14:paraId="4395198D" w14:textId="77777777" w:rsidR="00511567" w:rsidRPr="000042CB" w:rsidRDefault="00511567" w:rsidP="00CA14F7">
            <w:pPr>
              <w:pStyle w:val="TableTextLeft"/>
              <w:keepNext/>
              <w:keepLines/>
            </w:pPr>
            <w:r w:rsidRPr="000042CB">
              <w:t>354.17</w:t>
            </w:r>
          </w:p>
        </w:tc>
        <w:tc>
          <w:tcPr>
            <w:tcW w:w="1276" w:type="dxa"/>
            <w:shd w:val="clear" w:color="auto" w:fill="EBF0FA"/>
          </w:tcPr>
          <w:p w14:paraId="4A02123C" w14:textId="77777777" w:rsidR="00511567" w:rsidRPr="003F29D6" w:rsidRDefault="00511567" w:rsidP="00CA14F7">
            <w:pPr>
              <w:pStyle w:val="TableTextLeft"/>
              <w:keepNext/>
              <w:keepLines/>
              <w:rPr>
                <w:rStyle w:val="Strong"/>
              </w:rPr>
            </w:pPr>
            <w:r w:rsidRPr="003F29D6">
              <w:rPr>
                <w:rStyle w:val="Strong"/>
              </w:rPr>
              <w:t>354.17</w:t>
            </w:r>
          </w:p>
        </w:tc>
      </w:tr>
      <w:tr w:rsidR="00511567" w:rsidRPr="000042CB" w14:paraId="27D7057D" w14:textId="77777777" w:rsidTr="00CA14F7">
        <w:tc>
          <w:tcPr>
            <w:tcW w:w="3544" w:type="dxa"/>
          </w:tcPr>
          <w:p w14:paraId="4138F844" w14:textId="77777777" w:rsidR="00511567" w:rsidRPr="000042CB" w:rsidRDefault="00511567" w:rsidP="00CA14F7">
            <w:pPr>
              <w:pStyle w:val="TableTextLeft"/>
              <w:keepNext/>
              <w:keepLines/>
            </w:pPr>
            <w:r w:rsidRPr="000042CB">
              <w:t>Domestic hire car</w:t>
            </w:r>
            <w:r w:rsidRPr="000042CB">
              <w:rPr>
                <w:vertAlign w:val="superscript"/>
              </w:rPr>
              <w:t>(e)</w:t>
            </w:r>
          </w:p>
        </w:tc>
        <w:tc>
          <w:tcPr>
            <w:tcW w:w="1418" w:type="dxa"/>
          </w:tcPr>
          <w:p w14:paraId="419921CB" w14:textId="77777777" w:rsidR="00511567" w:rsidRPr="000042CB" w:rsidRDefault="00511567" w:rsidP="00CA14F7">
            <w:pPr>
              <w:pStyle w:val="TableTextLeft"/>
              <w:keepNext/>
              <w:keepLines/>
            </w:pPr>
            <w:r w:rsidRPr="000042CB">
              <w:t>n/a</w:t>
            </w:r>
          </w:p>
        </w:tc>
        <w:tc>
          <w:tcPr>
            <w:tcW w:w="1275" w:type="dxa"/>
          </w:tcPr>
          <w:p w14:paraId="2AB24176" w14:textId="77777777" w:rsidR="00511567" w:rsidRPr="000042CB" w:rsidRDefault="00511567" w:rsidP="00CA14F7">
            <w:pPr>
              <w:pStyle w:val="TableTextLeft"/>
              <w:keepNext/>
              <w:keepLines/>
            </w:pPr>
            <w:r w:rsidRPr="000042CB">
              <w:t>n/a</w:t>
            </w:r>
          </w:p>
        </w:tc>
        <w:tc>
          <w:tcPr>
            <w:tcW w:w="1276" w:type="dxa"/>
          </w:tcPr>
          <w:p w14:paraId="1386281B" w14:textId="77777777" w:rsidR="00511567" w:rsidRPr="000042CB" w:rsidRDefault="00511567" w:rsidP="00CA14F7">
            <w:pPr>
              <w:pStyle w:val="TableTextLeft"/>
              <w:keepNext/>
              <w:keepLines/>
            </w:pPr>
            <w:r w:rsidRPr="000042CB">
              <w:t>2.36</w:t>
            </w:r>
          </w:p>
        </w:tc>
        <w:tc>
          <w:tcPr>
            <w:tcW w:w="1276" w:type="dxa"/>
            <w:shd w:val="clear" w:color="auto" w:fill="EBF0FA"/>
          </w:tcPr>
          <w:p w14:paraId="1CBD5E4A" w14:textId="77777777" w:rsidR="00511567" w:rsidRPr="003F29D6" w:rsidRDefault="00511567" w:rsidP="00CA14F7">
            <w:pPr>
              <w:pStyle w:val="TableTextLeft"/>
              <w:keepNext/>
              <w:keepLines/>
              <w:rPr>
                <w:rStyle w:val="Strong"/>
              </w:rPr>
            </w:pPr>
            <w:r w:rsidRPr="003F29D6">
              <w:rPr>
                <w:rStyle w:val="Strong"/>
              </w:rPr>
              <w:t>2.36</w:t>
            </w:r>
          </w:p>
        </w:tc>
      </w:tr>
      <w:tr w:rsidR="00511567" w:rsidRPr="000042CB" w14:paraId="7B0F3CFC" w14:textId="77777777" w:rsidTr="00CA14F7">
        <w:tc>
          <w:tcPr>
            <w:tcW w:w="3544" w:type="dxa"/>
          </w:tcPr>
          <w:p w14:paraId="7EFA669F" w14:textId="77777777" w:rsidR="00511567" w:rsidRPr="000042CB" w:rsidRDefault="00511567" w:rsidP="00CA14F7">
            <w:pPr>
              <w:pStyle w:val="TableTextLeft"/>
              <w:keepNext/>
              <w:keepLines/>
            </w:pPr>
            <w:r w:rsidRPr="000042CB">
              <w:t>Domestic travel accommodation</w:t>
            </w:r>
            <w:r w:rsidRPr="000042CB">
              <w:rPr>
                <w:vertAlign w:val="superscript"/>
              </w:rPr>
              <w:t>(e)</w:t>
            </w:r>
          </w:p>
        </w:tc>
        <w:tc>
          <w:tcPr>
            <w:tcW w:w="1418" w:type="dxa"/>
          </w:tcPr>
          <w:p w14:paraId="673FD646" w14:textId="77777777" w:rsidR="00511567" w:rsidRPr="000042CB" w:rsidRDefault="00511567" w:rsidP="00CA14F7">
            <w:pPr>
              <w:pStyle w:val="TableTextLeft"/>
              <w:keepNext/>
              <w:keepLines/>
            </w:pPr>
            <w:r w:rsidRPr="000042CB">
              <w:t>n/a</w:t>
            </w:r>
          </w:p>
        </w:tc>
        <w:tc>
          <w:tcPr>
            <w:tcW w:w="1275" w:type="dxa"/>
          </w:tcPr>
          <w:p w14:paraId="170C26A8" w14:textId="77777777" w:rsidR="00511567" w:rsidRPr="000042CB" w:rsidRDefault="00511567" w:rsidP="00CA14F7">
            <w:pPr>
              <w:pStyle w:val="TableTextLeft"/>
              <w:keepNext/>
              <w:keepLines/>
            </w:pPr>
            <w:r w:rsidRPr="000042CB">
              <w:t>n/a</w:t>
            </w:r>
          </w:p>
        </w:tc>
        <w:tc>
          <w:tcPr>
            <w:tcW w:w="1276" w:type="dxa"/>
          </w:tcPr>
          <w:p w14:paraId="4833ABBC" w14:textId="77777777" w:rsidR="00511567" w:rsidRPr="000042CB" w:rsidRDefault="00511567" w:rsidP="00CA14F7">
            <w:pPr>
              <w:pStyle w:val="TableTextLeft"/>
              <w:keepNext/>
              <w:keepLines/>
            </w:pPr>
            <w:r w:rsidRPr="000042CB">
              <w:t>114.98</w:t>
            </w:r>
          </w:p>
        </w:tc>
        <w:tc>
          <w:tcPr>
            <w:tcW w:w="1276" w:type="dxa"/>
            <w:shd w:val="clear" w:color="auto" w:fill="EBF0FA"/>
          </w:tcPr>
          <w:p w14:paraId="015027B0" w14:textId="77777777" w:rsidR="00511567" w:rsidRPr="003F29D6" w:rsidRDefault="00511567" w:rsidP="00CA14F7">
            <w:pPr>
              <w:pStyle w:val="TableTextLeft"/>
              <w:keepNext/>
              <w:keepLines/>
              <w:rPr>
                <w:rStyle w:val="Strong"/>
              </w:rPr>
            </w:pPr>
            <w:r w:rsidRPr="003F29D6">
              <w:rPr>
                <w:rStyle w:val="Strong"/>
              </w:rPr>
              <w:t>114.98</w:t>
            </w:r>
          </w:p>
        </w:tc>
      </w:tr>
      <w:tr w:rsidR="00511567" w:rsidRPr="000042CB" w14:paraId="58F06401" w14:textId="77777777" w:rsidTr="00CA14F7">
        <w:tc>
          <w:tcPr>
            <w:tcW w:w="3544" w:type="dxa"/>
            <w:hideMark/>
          </w:tcPr>
          <w:p w14:paraId="12A39CA4" w14:textId="77777777" w:rsidR="00511567" w:rsidRPr="000042CB" w:rsidRDefault="00511567" w:rsidP="00CA14F7">
            <w:pPr>
              <w:pStyle w:val="TableTextLeft"/>
              <w:keepNext/>
              <w:keepLines/>
            </w:pPr>
            <w:r w:rsidRPr="000042CB">
              <w:t>Other energy</w:t>
            </w:r>
          </w:p>
        </w:tc>
        <w:tc>
          <w:tcPr>
            <w:tcW w:w="1418" w:type="dxa"/>
          </w:tcPr>
          <w:p w14:paraId="29BCFFCB" w14:textId="77777777" w:rsidR="00511567" w:rsidRPr="000042CB" w:rsidRDefault="00511567" w:rsidP="00CA14F7">
            <w:pPr>
              <w:pStyle w:val="TableTextLeft"/>
              <w:keepNext/>
              <w:keepLines/>
            </w:pPr>
            <w:r w:rsidRPr="000042CB">
              <w:t>2.88</w:t>
            </w:r>
          </w:p>
        </w:tc>
        <w:tc>
          <w:tcPr>
            <w:tcW w:w="1275" w:type="dxa"/>
          </w:tcPr>
          <w:p w14:paraId="52ADDBC6" w14:textId="77777777" w:rsidR="00511567" w:rsidRPr="000042CB" w:rsidRDefault="00511567" w:rsidP="00CA14F7">
            <w:pPr>
              <w:pStyle w:val="TableTextLeft"/>
              <w:keepNext/>
              <w:keepLines/>
            </w:pPr>
            <w:r w:rsidRPr="000042CB">
              <w:t>n/a</w:t>
            </w:r>
          </w:p>
        </w:tc>
        <w:tc>
          <w:tcPr>
            <w:tcW w:w="1276" w:type="dxa"/>
          </w:tcPr>
          <w:p w14:paraId="72D50A47" w14:textId="77777777" w:rsidR="00511567" w:rsidRPr="000042CB" w:rsidRDefault="00511567" w:rsidP="00CA14F7">
            <w:pPr>
              <w:pStyle w:val="TableTextLeft"/>
              <w:keepNext/>
              <w:keepLines/>
            </w:pPr>
            <w:r w:rsidRPr="000042CB">
              <w:t>0.71</w:t>
            </w:r>
          </w:p>
        </w:tc>
        <w:tc>
          <w:tcPr>
            <w:tcW w:w="1276" w:type="dxa"/>
            <w:shd w:val="clear" w:color="auto" w:fill="EBF0FA"/>
          </w:tcPr>
          <w:p w14:paraId="71F82D57" w14:textId="77777777" w:rsidR="00511567" w:rsidRPr="003F29D6" w:rsidRDefault="00511567" w:rsidP="00CA14F7">
            <w:pPr>
              <w:pStyle w:val="TableTextLeft"/>
              <w:keepNext/>
              <w:keepLines/>
              <w:rPr>
                <w:rStyle w:val="Strong"/>
              </w:rPr>
            </w:pPr>
            <w:r w:rsidRPr="003F29D6">
              <w:rPr>
                <w:rStyle w:val="Strong"/>
              </w:rPr>
              <w:t>3.59</w:t>
            </w:r>
          </w:p>
        </w:tc>
      </w:tr>
      <w:tr w:rsidR="00511567" w:rsidRPr="000042CB" w14:paraId="6ED223D6" w14:textId="77777777" w:rsidTr="00CA14F7">
        <w:tc>
          <w:tcPr>
            <w:tcW w:w="3544" w:type="dxa"/>
            <w:shd w:val="clear" w:color="auto" w:fill="EBF0FA"/>
          </w:tcPr>
          <w:p w14:paraId="19396EE1" w14:textId="77777777" w:rsidR="00511567" w:rsidRPr="000042CB" w:rsidRDefault="00511567" w:rsidP="00CA14F7">
            <w:pPr>
              <w:pStyle w:val="TableTextLeft"/>
              <w:keepNext/>
              <w:keepLines/>
              <w:rPr>
                <w:rStyle w:val="Strong"/>
              </w:rPr>
            </w:pPr>
            <w:r w:rsidRPr="000042CB">
              <w:rPr>
                <w:rStyle w:val="Strong"/>
              </w:rPr>
              <w:t>Total t CO2-e</w:t>
            </w:r>
          </w:p>
        </w:tc>
        <w:tc>
          <w:tcPr>
            <w:tcW w:w="1418" w:type="dxa"/>
            <w:shd w:val="clear" w:color="auto" w:fill="EBF0FA"/>
          </w:tcPr>
          <w:p w14:paraId="4B5F7286" w14:textId="77777777" w:rsidR="00511567" w:rsidRPr="000042CB" w:rsidRDefault="00511567" w:rsidP="00CA14F7">
            <w:pPr>
              <w:pStyle w:val="TableTextLeft"/>
              <w:keepNext/>
              <w:keepLines/>
              <w:rPr>
                <w:rStyle w:val="Strong"/>
              </w:rPr>
            </w:pPr>
            <w:r w:rsidRPr="000042CB">
              <w:rPr>
                <w:rStyle w:val="Strong"/>
              </w:rPr>
              <w:t>39.92</w:t>
            </w:r>
          </w:p>
        </w:tc>
        <w:tc>
          <w:tcPr>
            <w:tcW w:w="1275" w:type="dxa"/>
            <w:shd w:val="clear" w:color="auto" w:fill="EBF0FA"/>
          </w:tcPr>
          <w:p w14:paraId="27B94EC8" w14:textId="77777777" w:rsidR="00511567" w:rsidRPr="000042CB" w:rsidRDefault="00511567" w:rsidP="00CA14F7">
            <w:pPr>
              <w:pStyle w:val="TableTextLeft"/>
              <w:keepNext/>
              <w:keepLines/>
              <w:rPr>
                <w:rStyle w:val="Strong"/>
              </w:rPr>
            </w:pPr>
            <w:r w:rsidRPr="000042CB">
              <w:rPr>
                <w:rStyle w:val="Strong"/>
              </w:rPr>
              <w:t>263.29</w:t>
            </w:r>
          </w:p>
        </w:tc>
        <w:tc>
          <w:tcPr>
            <w:tcW w:w="1276" w:type="dxa"/>
            <w:shd w:val="clear" w:color="auto" w:fill="EBF0FA"/>
          </w:tcPr>
          <w:p w14:paraId="0B1008CE" w14:textId="77777777" w:rsidR="00511567" w:rsidRPr="000042CB" w:rsidRDefault="00511567" w:rsidP="00CA14F7">
            <w:pPr>
              <w:pStyle w:val="TableTextLeft"/>
              <w:keepNext/>
              <w:keepLines/>
              <w:rPr>
                <w:rStyle w:val="Strong"/>
              </w:rPr>
            </w:pPr>
            <w:r w:rsidRPr="000042CB">
              <w:rPr>
                <w:rStyle w:val="Strong"/>
              </w:rPr>
              <w:t>488.44</w:t>
            </w:r>
          </w:p>
        </w:tc>
        <w:tc>
          <w:tcPr>
            <w:tcW w:w="1276" w:type="dxa"/>
            <w:shd w:val="clear" w:color="auto" w:fill="EBF0FA"/>
          </w:tcPr>
          <w:p w14:paraId="012E7884" w14:textId="77777777" w:rsidR="00511567" w:rsidRPr="000042CB" w:rsidRDefault="00511567" w:rsidP="00CA14F7">
            <w:pPr>
              <w:pStyle w:val="TableTextLeft"/>
              <w:keepNext/>
              <w:keepLines/>
              <w:rPr>
                <w:rStyle w:val="Strong"/>
              </w:rPr>
            </w:pPr>
            <w:r w:rsidRPr="000042CB">
              <w:rPr>
                <w:rStyle w:val="Strong"/>
              </w:rPr>
              <w:t>791.65</w:t>
            </w:r>
          </w:p>
        </w:tc>
      </w:tr>
    </w:tbl>
    <w:p w14:paraId="0EB5B851" w14:textId="77777777" w:rsidR="00511567" w:rsidRPr="00B143BD" w:rsidRDefault="00511567" w:rsidP="00511567">
      <w:pPr>
        <w:pStyle w:val="ChartorTableNote"/>
        <w:keepNext/>
        <w:keepLines/>
      </w:pPr>
      <w:r w:rsidRPr="00B143BD">
        <w:t>Note:</w:t>
      </w:r>
      <w:r w:rsidRPr="00B143BD">
        <w:tab/>
      </w:r>
      <w:bookmarkStart w:id="16" w:name="_Hlk176355819"/>
      <w:r w:rsidRPr="00B143BD">
        <w:t xml:space="preserve">The table above presents emissions related to electricity usage using the location-based accounting method. </w:t>
      </w:r>
    </w:p>
    <w:p w14:paraId="6C6CA5E8" w14:textId="77777777" w:rsidR="00511567" w:rsidRPr="00B143BD" w:rsidRDefault="00511567" w:rsidP="00511567">
      <w:pPr>
        <w:pStyle w:val="ChartorTableNote"/>
        <w:keepNext/>
        <w:keepLines/>
      </w:pPr>
      <w:r w:rsidRPr="00B143BD">
        <w:tab/>
        <w:t>CO</w:t>
      </w:r>
      <w:r w:rsidRPr="00B143BD">
        <w:rPr>
          <w:vertAlign w:val="subscript"/>
        </w:rPr>
        <w:t>2</w:t>
      </w:r>
      <w:r w:rsidRPr="00B143BD">
        <w:t>-e = carbon dioxide equivalent.</w:t>
      </w:r>
    </w:p>
    <w:p w14:paraId="1F25B51C" w14:textId="77777777" w:rsidR="00511567" w:rsidRPr="00B143BD" w:rsidRDefault="00511567" w:rsidP="00511567">
      <w:pPr>
        <w:pStyle w:val="ChartorTableNote"/>
        <w:keepNext/>
        <w:keepLines/>
        <w:ind w:left="720" w:hanging="720"/>
      </w:pPr>
      <w:r w:rsidRPr="00B143BD">
        <w:t>(a)</w:t>
      </w:r>
      <w:r w:rsidRPr="00B143BD">
        <w:tab/>
        <w:t>A portion of the National Capital Authority’s electricity and solid waste data might be included in the emissions reporting of the Treasury. Treasury will work with the National Capital Authority to report the emissions separately in future years.</w:t>
      </w:r>
    </w:p>
    <w:p w14:paraId="04A1C885" w14:textId="77777777" w:rsidR="00511567" w:rsidRPr="00B143BD" w:rsidRDefault="00511567" w:rsidP="00511567">
      <w:pPr>
        <w:pStyle w:val="ChartorTableNote"/>
        <w:keepNext/>
        <w:keepLines/>
      </w:pPr>
      <w:r w:rsidRPr="00B143BD">
        <w:t>(b)</w:t>
      </w:r>
      <w:r w:rsidRPr="00B143BD">
        <w:tab/>
        <w:t>A portion of electricity and solid waste data was unable to be sourced and has not been included.</w:t>
      </w:r>
    </w:p>
    <w:p w14:paraId="4D964585" w14:textId="77777777" w:rsidR="00511567" w:rsidRPr="00B143BD" w:rsidRDefault="00511567" w:rsidP="00511567">
      <w:pPr>
        <w:pStyle w:val="ChartorTableNote"/>
        <w:keepNext/>
        <w:keepLines/>
      </w:pPr>
      <w:r w:rsidRPr="00B143BD">
        <w:t>(c)</w:t>
      </w:r>
      <w:r w:rsidRPr="00B143BD">
        <w:tab/>
        <w:t>Emissions associated with electricity consumption from public charging stations has not been reported for 2025–26.</w:t>
      </w:r>
    </w:p>
    <w:p w14:paraId="18F5E9CB" w14:textId="77777777" w:rsidR="00511567" w:rsidRPr="00B143BD" w:rsidRDefault="00511567" w:rsidP="00511567">
      <w:pPr>
        <w:pStyle w:val="ChartorTableNote"/>
        <w:keepNext/>
        <w:keepLines/>
        <w:ind w:left="720" w:hanging="720"/>
      </w:pPr>
      <w:r w:rsidRPr="00B143BD">
        <w:t>(d)</w:t>
      </w:r>
      <w:r w:rsidRPr="00B143BD">
        <w:tab/>
        <w:t>Emissions from hire cars for 2025–26 is incomplete due to a lack of robust data. The quality of data is expected to improve over time as emissions reporting matures.</w:t>
      </w:r>
    </w:p>
    <w:p w14:paraId="2D16C87F" w14:textId="77777777" w:rsidR="00511567" w:rsidRPr="00B143BD" w:rsidRDefault="00511567" w:rsidP="00511567">
      <w:pPr>
        <w:pStyle w:val="ChartorTableNote"/>
        <w:keepNext/>
        <w:keepLines/>
        <w:ind w:left="720" w:hanging="720"/>
      </w:pPr>
      <w:bookmarkStart w:id="17" w:name="_Hlk207288783"/>
      <w:r w:rsidRPr="00B143BD">
        <w:t>(e)</w:t>
      </w:r>
      <w:bookmarkEnd w:id="17"/>
      <w:r w:rsidRPr="00B143BD">
        <w:tab/>
      </w:r>
      <w:bookmarkStart w:id="18" w:name="_Hlk207963117"/>
      <w:r w:rsidRPr="00B143BD">
        <w:t>Australian Reinsurance Pool Corporation and Inspector-General of Taxation domestic travel arrangements are managed through the Department of Treasury under a shared services agreement. It was not possible to separate flights, hire car and accommodation specific to Australian Reinsurance Pool Corporation or Inspector-General of Taxation for emissions reporting.</w:t>
      </w:r>
      <w:bookmarkEnd w:id="18"/>
    </w:p>
    <w:bookmarkEnd w:id="16"/>
    <w:p w14:paraId="5E166901" w14:textId="67571C35" w:rsidR="00511567" w:rsidRPr="00B143BD" w:rsidRDefault="00511567" w:rsidP="00511567">
      <w:r w:rsidRPr="00B143BD">
        <w:t xml:space="preserve">Table 5 shows the total emissions for electricity applying the market-based method. This accounts for factors such as </w:t>
      </w:r>
      <w:proofErr w:type="spellStart"/>
      <w:r w:rsidRPr="00B143BD">
        <w:t>GreenPower</w:t>
      </w:r>
      <w:proofErr w:type="spellEnd"/>
      <w:r w:rsidRPr="00B143BD">
        <w:t xml:space="preserve"> usage, purchased large-scale generation certificates, power purchasing agreements, the renewable power percentage and the jurisdictional renewable power percentage. </w:t>
      </w:r>
    </w:p>
    <w:p w14:paraId="1CC74666" w14:textId="77777777" w:rsidR="00511567" w:rsidRPr="00B143BD" w:rsidRDefault="00511567" w:rsidP="00511567">
      <w:r w:rsidRPr="00B143BD">
        <w:t>The difference in carbon dioxide equivalent in location versus market-based emissions is due to the Department of the Treasury having most of its operations within the ACT, which has a jurisdictional renewable power percentage.</w:t>
      </w:r>
    </w:p>
    <w:p w14:paraId="23E47446" w14:textId="77777777" w:rsidR="00511567" w:rsidRPr="00F34166" w:rsidRDefault="00511567" w:rsidP="00511567">
      <w:pPr>
        <w:pStyle w:val="TableMainHeading"/>
        <w:keepLines/>
      </w:pPr>
      <w:bookmarkStart w:id="19" w:name="_Ref174717635"/>
      <w:bookmarkStart w:id="20" w:name="_Toc238826595"/>
      <w:bookmarkStart w:id="21" w:name="_Toc176525180"/>
      <w:bookmarkStart w:id="22" w:name="_Toc208244804"/>
      <w:bookmarkStart w:id="23" w:name="_Toc220071459"/>
      <w:r w:rsidRPr="008A288B">
        <w:lastRenderedPageBreak/>
        <w:t xml:space="preserve">Table </w:t>
      </w:r>
      <w:bookmarkEnd w:id="19"/>
      <w:r w:rsidRPr="008A288B">
        <w:t>5: Treasury’s electricity greenhouse gas emissions 2025–26</w:t>
      </w:r>
      <w:bookmarkEnd w:id="20"/>
      <w:r w:rsidRPr="008A288B">
        <w:t xml:space="preserve"> </w:t>
      </w:r>
      <w:bookmarkEnd w:id="21"/>
      <w:bookmarkEnd w:id="22"/>
      <w:bookmarkEnd w:id="23"/>
    </w:p>
    <w:tbl>
      <w:tblPr>
        <w:tblW w:w="0" w:type="auto"/>
        <w:tblBorders>
          <w:top w:val="single" w:sz="6" w:space="0" w:color="D9D9D9" w:themeColor="background1" w:themeShade="D9"/>
          <w:bottom w:val="single" w:sz="6" w:space="0" w:color="D9D9D9" w:themeColor="background1" w:themeShade="D9"/>
          <w:insideH w:val="single" w:sz="6" w:space="0" w:color="D9D9D9" w:themeColor="background1" w:themeShade="D9"/>
        </w:tblBorders>
        <w:shd w:val="clear" w:color="auto" w:fill="FFFFFF"/>
        <w:tblLayout w:type="fixed"/>
        <w:tblCellMar>
          <w:top w:w="15" w:type="dxa"/>
          <w:left w:w="85" w:type="dxa"/>
          <w:bottom w:w="15" w:type="dxa"/>
          <w:right w:w="85" w:type="dxa"/>
        </w:tblCellMar>
        <w:tblLook w:val="04A0" w:firstRow="1" w:lastRow="0" w:firstColumn="1" w:lastColumn="0" w:noHBand="0" w:noVBand="1"/>
      </w:tblPr>
      <w:tblGrid>
        <w:gridCol w:w="3856"/>
        <w:gridCol w:w="1191"/>
        <w:gridCol w:w="1191"/>
        <w:gridCol w:w="1191"/>
        <w:gridCol w:w="1191"/>
      </w:tblGrid>
      <w:tr w:rsidR="00511567" w:rsidRPr="008A288B" w14:paraId="7CE1839A" w14:textId="77777777" w:rsidTr="00CA14F7">
        <w:trPr>
          <w:tblHeader/>
        </w:trPr>
        <w:tc>
          <w:tcPr>
            <w:tcW w:w="3856" w:type="dxa"/>
            <w:shd w:val="clear" w:color="auto" w:fill="E5E5E5"/>
            <w:vAlign w:val="bottom"/>
            <w:hideMark/>
          </w:tcPr>
          <w:p w14:paraId="0E4D6445" w14:textId="77777777" w:rsidR="00511567" w:rsidRPr="008A288B" w:rsidRDefault="00511567" w:rsidP="00CA14F7">
            <w:pPr>
              <w:pStyle w:val="TableColumnHeadingLeft"/>
              <w:keepNext/>
              <w:keepLines/>
            </w:pPr>
            <w:bookmarkStart w:id="24" w:name="_Hlk175930117"/>
            <w:r w:rsidRPr="008A288B">
              <w:t>Emission source</w:t>
            </w:r>
          </w:p>
        </w:tc>
        <w:tc>
          <w:tcPr>
            <w:tcW w:w="1191" w:type="dxa"/>
            <w:shd w:val="clear" w:color="auto" w:fill="E5E5E5"/>
            <w:vAlign w:val="bottom"/>
            <w:hideMark/>
          </w:tcPr>
          <w:p w14:paraId="4A0C5F71" w14:textId="77777777" w:rsidR="00511567" w:rsidRPr="008A288B" w:rsidRDefault="00511567" w:rsidP="00CA14F7">
            <w:pPr>
              <w:pStyle w:val="TableColumnHeadingLeft"/>
              <w:keepNext/>
              <w:keepLines/>
            </w:pPr>
            <w:r w:rsidRPr="008A288B">
              <w:t xml:space="preserve">Scope 2 </w:t>
            </w:r>
            <w:r w:rsidRPr="008A288B">
              <w:br/>
              <w:t>t CO</w:t>
            </w:r>
            <w:r w:rsidRPr="008A288B">
              <w:rPr>
                <w:vertAlign w:val="subscript"/>
              </w:rPr>
              <w:t>2</w:t>
            </w:r>
            <w:r w:rsidRPr="008A288B">
              <w:t>-e</w:t>
            </w:r>
          </w:p>
        </w:tc>
        <w:tc>
          <w:tcPr>
            <w:tcW w:w="1191" w:type="dxa"/>
            <w:shd w:val="clear" w:color="auto" w:fill="E5E5E5"/>
            <w:vAlign w:val="bottom"/>
            <w:hideMark/>
          </w:tcPr>
          <w:p w14:paraId="57B64A9D" w14:textId="77777777" w:rsidR="00511567" w:rsidRPr="008A288B" w:rsidRDefault="00511567" w:rsidP="00CA14F7">
            <w:pPr>
              <w:pStyle w:val="TableColumnHeadingLeft"/>
              <w:keepNext/>
              <w:keepLines/>
            </w:pPr>
            <w:r w:rsidRPr="008A288B">
              <w:t xml:space="preserve">Scope 3 </w:t>
            </w:r>
            <w:r w:rsidRPr="008A288B">
              <w:br/>
              <w:t>t CO</w:t>
            </w:r>
            <w:r w:rsidRPr="008A288B">
              <w:rPr>
                <w:vertAlign w:val="subscript"/>
              </w:rPr>
              <w:t>2</w:t>
            </w:r>
            <w:r w:rsidRPr="008A288B">
              <w:t>-e</w:t>
            </w:r>
          </w:p>
        </w:tc>
        <w:tc>
          <w:tcPr>
            <w:tcW w:w="1191" w:type="dxa"/>
            <w:shd w:val="clear" w:color="auto" w:fill="E5E5E5"/>
            <w:vAlign w:val="bottom"/>
            <w:hideMark/>
          </w:tcPr>
          <w:p w14:paraId="07595DB4" w14:textId="77777777" w:rsidR="00511567" w:rsidRPr="008A288B" w:rsidRDefault="00511567" w:rsidP="00CA14F7">
            <w:pPr>
              <w:pStyle w:val="TableColumnHeadingLeft"/>
              <w:keepNext/>
              <w:keepLines/>
            </w:pPr>
            <w:r w:rsidRPr="008A288B">
              <w:t xml:space="preserve">Total </w:t>
            </w:r>
            <w:r w:rsidRPr="008A288B">
              <w:br/>
              <w:t>t CO</w:t>
            </w:r>
            <w:r w:rsidRPr="008A288B">
              <w:rPr>
                <w:vertAlign w:val="subscript"/>
              </w:rPr>
              <w:t>2</w:t>
            </w:r>
            <w:r w:rsidRPr="008A288B">
              <w:t>-e</w:t>
            </w:r>
          </w:p>
        </w:tc>
        <w:tc>
          <w:tcPr>
            <w:tcW w:w="1191" w:type="dxa"/>
            <w:shd w:val="clear" w:color="auto" w:fill="E5E5E5"/>
            <w:vAlign w:val="bottom"/>
            <w:hideMark/>
          </w:tcPr>
          <w:p w14:paraId="0A6C6EC0" w14:textId="77777777" w:rsidR="00511567" w:rsidRPr="008A288B" w:rsidRDefault="00511567" w:rsidP="00CA14F7">
            <w:pPr>
              <w:pStyle w:val="TableColumnHeadingLeft"/>
              <w:keepNext/>
              <w:keepLines/>
            </w:pPr>
            <w:r w:rsidRPr="008A288B">
              <w:t>Electricity kWh</w:t>
            </w:r>
          </w:p>
        </w:tc>
      </w:tr>
      <w:tr w:rsidR="00511567" w:rsidRPr="008A288B" w14:paraId="5FF22DDC" w14:textId="77777777" w:rsidTr="00CA14F7">
        <w:tc>
          <w:tcPr>
            <w:tcW w:w="3856" w:type="dxa"/>
            <w:hideMark/>
          </w:tcPr>
          <w:p w14:paraId="7282B290" w14:textId="77777777" w:rsidR="00511567" w:rsidRPr="008A288B" w:rsidRDefault="00511567" w:rsidP="00CA14F7">
            <w:pPr>
              <w:pStyle w:val="TableTextLeft"/>
              <w:keepNext/>
              <w:keepLines/>
            </w:pPr>
            <w:r w:rsidRPr="008A288B">
              <w:t>Location-based electricity emissions</w:t>
            </w:r>
          </w:p>
        </w:tc>
        <w:tc>
          <w:tcPr>
            <w:tcW w:w="1191" w:type="dxa"/>
          </w:tcPr>
          <w:p w14:paraId="1B0935D3" w14:textId="77777777" w:rsidR="00511567" w:rsidRPr="008A288B" w:rsidRDefault="00511567" w:rsidP="00CA14F7">
            <w:pPr>
              <w:pStyle w:val="TableTextLeft"/>
              <w:keepNext/>
              <w:keepLines/>
            </w:pPr>
            <w:r w:rsidRPr="008A288B">
              <w:t>263.29</w:t>
            </w:r>
          </w:p>
        </w:tc>
        <w:tc>
          <w:tcPr>
            <w:tcW w:w="1191" w:type="dxa"/>
          </w:tcPr>
          <w:p w14:paraId="4B62AEB4" w14:textId="77777777" w:rsidR="00511567" w:rsidRPr="008A288B" w:rsidRDefault="00511567" w:rsidP="00CA14F7">
            <w:pPr>
              <w:pStyle w:val="TableTextLeft"/>
              <w:keepNext/>
              <w:keepLines/>
            </w:pPr>
            <w:r w:rsidRPr="008A288B">
              <w:t>16.22</w:t>
            </w:r>
          </w:p>
        </w:tc>
        <w:tc>
          <w:tcPr>
            <w:tcW w:w="1191" w:type="dxa"/>
          </w:tcPr>
          <w:p w14:paraId="23D4FB12" w14:textId="77777777" w:rsidR="00511567" w:rsidRPr="008A288B" w:rsidRDefault="00511567" w:rsidP="00CA14F7">
            <w:pPr>
              <w:pStyle w:val="TableTextLeft"/>
              <w:keepNext/>
              <w:keepLines/>
            </w:pPr>
            <w:r w:rsidRPr="008A288B">
              <w:t>279.51</w:t>
            </w:r>
          </w:p>
        </w:tc>
        <w:tc>
          <w:tcPr>
            <w:tcW w:w="1191" w:type="dxa"/>
          </w:tcPr>
          <w:p w14:paraId="3CB0A68C" w14:textId="77777777" w:rsidR="00511567" w:rsidRPr="008A288B" w:rsidRDefault="00511567" w:rsidP="00CA14F7">
            <w:pPr>
              <w:pStyle w:val="TableTextLeft"/>
              <w:keepNext/>
              <w:keepLines/>
            </w:pPr>
            <w:r w:rsidRPr="008A288B">
              <w:t>401315.73</w:t>
            </w:r>
          </w:p>
        </w:tc>
      </w:tr>
      <w:tr w:rsidR="00511567" w:rsidRPr="008A288B" w14:paraId="16C7DB35" w14:textId="77777777" w:rsidTr="00CA14F7">
        <w:tc>
          <w:tcPr>
            <w:tcW w:w="3856" w:type="dxa"/>
          </w:tcPr>
          <w:p w14:paraId="68D64B6D" w14:textId="77777777" w:rsidR="00511567" w:rsidRPr="008A288B" w:rsidRDefault="00511567" w:rsidP="00CA14F7">
            <w:pPr>
              <w:pStyle w:val="TableTextLeft"/>
              <w:keepNext/>
              <w:keepLines/>
            </w:pPr>
            <w:r w:rsidRPr="008A288B">
              <w:t>Market-based electricity emissions (residual emissions)</w:t>
            </w:r>
          </w:p>
        </w:tc>
        <w:tc>
          <w:tcPr>
            <w:tcW w:w="1191" w:type="dxa"/>
          </w:tcPr>
          <w:p w14:paraId="00189421" w14:textId="77777777" w:rsidR="00511567" w:rsidRPr="008A288B" w:rsidRDefault="00511567" w:rsidP="00CA14F7">
            <w:pPr>
              <w:pStyle w:val="TableTextLeft"/>
              <w:keepNext/>
              <w:keepLines/>
            </w:pPr>
            <w:r w:rsidRPr="008A288B">
              <w:t>141.9</w:t>
            </w:r>
          </w:p>
        </w:tc>
        <w:tc>
          <w:tcPr>
            <w:tcW w:w="1191" w:type="dxa"/>
          </w:tcPr>
          <w:p w14:paraId="49F76F4F" w14:textId="77777777" w:rsidR="00511567" w:rsidRPr="008A288B" w:rsidRDefault="00511567" w:rsidP="00CA14F7">
            <w:pPr>
              <w:pStyle w:val="TableTextLeft"/>
              <w:keepNext/>
              <w:keepLines/>
            </w:pPr>
            <w:r w:rsidRPr="008A288B">
              <w:t>19.27</w:t>
            </w:r>
          </w:p>
        </w:tc>
        <w:tc>
          <w:tcPr>
            <w:tcW w:w="1191" w:type="dxa"/>
          </w:tcPr>
          <w:p w14:paraId="347601D1" w14:textId="77777777" w:rsidR="00511567" w:rsidRPr="008A288B" w:rsidRDefault="00511567" w:rsidP="00CA14F7">
            <w:pPr>
              <w:pStyle w:val="TableTextLeft"/>
              <w:keepNext/>
              <w:keepLines/>
            </w:pPr>
            <w:r w:rsidRPr="008A288B">
              <w:t>161.17</w:t>
            </w:r>
          </w:p>
        </w:tc>
        <w:tc>
          <w:tcPr>
            <w:tcW w:w="1191" w:type="dxa"/>
          </w:tcPr>
          <w:p w14:paraId="2E30876B" w14:textId="77777777" w:rsidR="00511567" w:rsidRPr="008A288B" w:rsidRDefault="00511567" w:rsidP="00CA14F7">
            <w:pPr>
              <w:pStyle w:val="TableTextLeft"/>
              <w:keepNext/>
              <w:keepLines/>
            </w:pPr>
            <w:r w:rsidRPr="008A288B">
              <w:t>175183.81</w:t>
            </w:r>
          </w:p>
        </w:tc>
      </w:tr>
      <w:tr w:rsidR="00511567" w:rsidRPr="008A288B" w14:paraId="1D05B8DF" w14:textId="77777777" w:rsidTr="00CA14F7">
        <w:tc>
          <w:tcPr>
            <w:tcW w:w="3856" w:type="dxa"/>
            <w:shd w:val="clear" w:color="auto" w:fill="EBF0FA"/>
          </w:tcPr>
          <w:p w14:paraId="0C3130BC" w14:textId="77777777" w:rsidR="00511567" w:rsidRPr="008A288B" w:rsidRDefault="00511567" w:rsidP="00CA14F7">
            <w:pPr>
              <w:pStyle w:val="TableTextLeft"/>
              <w:keepNext/>
              <w:keepLines/>
              <w:rPr>
                <w:rStyle w:val="Strong"/>
              </w:rPr>
            </w:pPr>
            <w:r w:rsidRPr="008A288B">
              <w:rPr>
                <w:rStyle w:val="Strong"/>
              </w:rPr>
              <w:t>Total renewable electricity consumed</w:t>
            </w:r>
          </w:p>
        </w:tc>
        <w:tc>
          <w:tcPr>
            <w:tcW w:w="1191" w:type="dxa"/>
            <w:shd w:val="clear" w:color="auto" w:fill="EBF0FA"/>
          </w:tcPr>
          <w:p w14:paraId="562763C7" w14:textId="77777777" w:rsidR="00511567" w:rsidRPr="008A288B" w:rsidRDefault="00511567" w:rsidP="00CA14F7">
            <w:pPr>
              <w:pStyle w:val="TableTextLeft"/>
              <w:keepNext/>
              <w:keepLines/>
              <w:rPr>
                <w:rStyle w:val="Strong"/>
              </w:rPr>
            </w:pPr>
            <w:r w:rsidRPr="008A288B">
              <w:rPr>
                <w:rStyle w:val="Strong"/>
              </w:rPr>
              <w:t>n/a</w:t>
            </w:r>
          </w:p>
        </w:tc>
        <w:tc>
          <w:tcPr>
            <w:tcW w:w="1191" w:type="dxa"/>
            <w:shd w:val="clear" w:color="auto" w:fill="EBF0FA"/>
          </w:tcPr>
          <w:p w14:paraId="402BAE12" w14:textId="77777777" w:rsidR="00511567" w:rsidRPr="008A288B" w:rsidRDefault="00511567" w:rsidP="00CA14F7">
            <w:pPr>
              <w:pStyle w:val="TableTextLeft"/>
              <w:keepNext/>
              <w:keepLines/>
              <w:rPr>
                <w:rStyle w:val="Strong"/>
              </w:rPr>
            </w:pPr>
            <w:r w:rsidRPr="008A288B">
              <w:rPr>
                <w:rStyle w:val="Strong"/>
              </w:rPr>
              <w:t>n/a</w:t>
            </w:r>
          </w:p>
        </w:tc>
        <w:tc>
          <w:tcPr>
            <w:tcW w:w="1191" w:type="dxa"/>
            <w:shd w:val="clear" w:color="auto" w:fill="EBF0FA"/>
          </w:tcPr>
          <w:p w14:paraId="66C1CE24" w14:textId="77777777" w:rsidR="00511567" w:rsidRPr="008A288B" w:rsidRDefault="00511567" w:rsidP="00CA14F7">
            <w:pPr>
              <w:pStyle w:val="TableTextLeft"/>
              <w:keepNext/>
              <w:keepLines/>
              <w:rPr>
                <w:rStyle w:val="Strong"/>
              </w:rPr>
            </w:pPr>
            <w:r w:rsidRPr="008A288B">
              <w:rPr>
                <w:rStyle w:val="Strong"/>
              </w:rPr>
              <w:t>n/a</w:t>
            </w:r>
          </w:p>
        </w:tc>
        <w:tc>
          <w:tcPr>
            <w:tcW w:w="1191" w:type="dxa"/>
            <w:shd w:val="clear" w:color="auto" w:fill="EBF0FA"/>
          </w:tcPr>
          <w:p w14:paraId="340E209B" w14:textId="77777777" w:rsidR="00511567" w:rsidRPr="008A288B" w:rsidRDefault="00511567" w:rsidP="00CA14F7">
            <w:pPr>
              <w:pStyle w:val="TableTextLeft"/>
              <w:keepNext/>
              <w:keepLines/>
              <w:rPr>
                <w:rStyle w:val="Strong"/>
              </w:rPr>
            </w:pPr>
            <w:r w:rsidRPr="008A288B">
              <w:rPr>
                <w:rStyle w:val="Strong"/>
              </w:rPr>
              <w:t>226131.92</w:t>
            </w:r>
          </w:p>
        </w:tc>
      </w:tr>
      <w:tr w:rsidR="00511567" w:rsidRPr="008A288B" w14:paraId="4D9F896E" w14:textId="77777777" w:rsidTr="00CA14F7">
        <w:tc>
          <w:tcPr>
            <w:tcW w:w="3856" w:type="dxa"/>
          </w:tcPr>
          <w:p w14:paraId="7F91FF53" w14:textId="77777777" w:rsidR="00511567" w:rsidRPr="008A288B" w:rsidRDefault="00511567" w:rsidP="00CA14F7">
            <w:pPr>
              <w:pStyle w:val="TableTextLeft"/>
              <w:keepNext/>
              <w:keepLines/>
            </w:pPr>
            <w:r w:rsidRPr="008A288B">
              <w:t>Renewable Power Percentage</w:t>
            </w:r>
            <w:r w:rsidRPr="008A288B">
              <w:rPr>
                <w:vertAlign w:val="superscript"/>
              </w:rPr>
              <w:t>(a)</w:t>
            </w:r>
          </w:p>
        </w:tc>
        <w:tc>
          <w:tcPr>
            <w:tcW w:w="1191" w:type="dxa"/>
          </w:tcPr>
          <w:p w14:paraId="1EFD1BD3" w14:textId="77777777" w:rsidR="00511567" w:rsidRPr="008A288B" w:rsidRDefault="00511567" w:rsidP="00CA14F7">
            <w:pPr>
              <w:pStyle w:val="TableTextLeft"/>
              <w:keepNext/>
              <w:keepLines/>
            </w:pPr>
            <w:r w:rsidRPr="008A288B">
              <w:t>0.00</w:t>
            </w:r>
          </w:p>
        </w:tc>
        <w:tc>
          <w:tcPr>
            <w:tcW w:w="1191" w:type="dxa"/>
          </w:tcPr>
          <w:p w14:paraId="6F212D1D" w14:textId="77777777" w:rsidR="00511567" w:rsidRPr="008A288B" w:rsidRDefault="00511567" w:rsidP="00CA14F7">
            <w:pPr>
              <w:pStyle w:val="TableTextLeft"/>
              <w:keepNext/>
              <w:keepLines/>
            </w:pPr>
            <w:r w:rsidRPr="008A288B">
              <w:t>0.00</w:t>
            </w:r>
          </w:p>
        </w:tc>
        <w:tc>
          <w:tcPr>
            <w:tcW w:w="1191" w:type="dxa"/>
          </w:tcPr>
          <w:p w14:paraId="66CCABF7" w14:textId="77777777" w:rsidR="00511567" w:rsidRPr="008A288B" w:rsidRDefault="00511567" w:rsidP="00CA14F7">
            <w:pPr>
              <w:pStyle w:val="TableTextLeft"/>
              <w:keepNext/>
              <w:keepLines/>
            </w:pPr>
            <w:r w:rsidRPr="008A288B">
              <w:t>0.00</w:t>
            </w:r>
          </w:p>
        </w:tc>
        <w:tc>
          <w:tcPr>
            <w:tcW w:w="1191" w:type="dxa"/>
          </w:tcPr>
          <w:p w14:paraId="54EE1B70" w14:textId="77777777" w:rsidR="00511567" w:rsidRPr="008A288B" w:rsidRDefault="00511567" w:rsidP="00CA14F7">
            <w:pPr>
              <w:pStyle w:val="TableTextLeft"/>
              <w:keepNext/>
              <w:keepLines/>
            </w:pPr>
            <w:r w:rsidRPr="008A288B">
              <w:t>69387.49</w:t>
            </w:r>
          </w:p>
        </w:tc>
      </w:tr>
      <w:tr w:rsidR="00511567" w:rsidRPr="008A288B" w14:paraId="3AA6FF71" w14:textId="77777777" w:rsidTr="00CA14F7">
        <w:tc>
          <w:tcPr>
            <w:tcW w:w="3856" w:type="dxa"/>
          </w:tcPr>
          <w:p w14:paraId="7C681075" w14:textId="77777777" w:rsidR="00511567" w:rsidRPr="008A288B" w:rsidRDefault="00511567" w:rsidP="00CA14F7">
            <w:pPr>
              <w:pStyle w:val="TableTextLeft"/>
              <w:keepNext/>
              <w:keepLines/>
            </w:pPr>
            <w:r w:rsidRPr="008A288B">
              <w:t>Jurisdictional Renewable Power Percentage</w:t>
            </w:r>
            <w:r w:rsidRPr="008A288B">
              <w:rPr>
                <w:vertAlign w:val="superscript"/>
              </w:rPr>
              <w:t>(b) (c)</w:t>
            </w:r>
          </w:p>
        </w:tc>
        <w:tc>
          <w:tcPr>
            <w:tcW w:w="1191" w:type="dxa"/>
          </w:tcPr>
          <w:p w14:paraId="3F4C4DFE" w14:textId="77777777" w:rsidR="00511567" w:rsidRPr="008A288B" w:rsidRDefault="00511567" w:rsidP="00CA14F7">
            <w:pPr>
              <w:pStyle w:val="TableTextLeft"/>
              <w:keepNext/>
              <w:keepLines/>
            </w:pPr>
            <w:r w:rsidRPr="008A288B">
              <w:t>0.00</w:t>
            </w:r>
          </w:p>
        </w:tc>
        <w:tc>
          <w:tcPr>
            <w:tcW w:w="1191" w:type="dxa"/>
          </w:tcPr>
          <w:p w14:paraId="6D58DBEB" w14:textId="77777777" w:rsidR="00511567" w:rsidRPr="008A288B" w:rsidRDefault="00511567" w:rsidP="00CA14F7">
            <w:pPr>
              <w:pStyle w:val="TableTextLeft"/>
              <w:keepNext/>
              <w:keepLines/>
            </w:pPr>
            <w:r w:rsidRPr="008A288B">
              <w:t>0.00</w:t>
            </w:r>
          </w:p>
        </w:tc>
        <w:tc>
          <w:tcPr>
            <w:tcW w:w="1191" w:type="dxa"/>
          </w:tcPr>
          <w:p w14:paraId="04F9ADA0" w14:textId="77777777" w:rsidR="00511567" w:rsidRPr="008A288B" w:rsidRDefault="00511567" w:rsidP="00CA14F7">
            <w:pPr>
              <w:pStyle w:val="TableTextLeft"/>
              <w:keepNext/>
              <w:keepLines/>
            </w:pPr>
            <w:r w:rsidRPr="008A288B">
              <w:t>0.00</w:t>
            </w:r>
          </w:p>
        </w:tc>
        <w:tc>
          <w:tcPr>
            <w:tcW w:w="1191" w:type="dxa"/>
          </w:tcPr>
          <w:p w14:paraId="79869249" w14:textId="77777777" w:rsidR="00511567" w:rsidRPr="008A288B" w:rsidRDefault="00511567" w:rsidP="00CA14F7">
            <w:pPr>
              <w:pStyle w:val="TableTextLeft"/>
              <w:keepNext/>
              <w:keepLines/>
            </w:pPr>
            <w:r w:rsidRPr="008A288B">
              <w:t>156744.43</w:t>
            </w:r>
          </w:p>
        </w:tc>
      </w:tr>
      <w:tr w:rsidR="00511567" w:rsidRPr="008A288B" w14:paraId="0925ED9F" w14:textId="77777777" w:rsidTr="00CA14F7">
        <w:trPr>
          <w:trHeight w:val="85"/>
        </w:trPr>
        <w:tc>
          <w:tcPr>
            <w:tcW w:w="3856" w:type="dxa"/>
          </w:tcPr>
          <w:p w14:paraId="33A274E2" w14:textId="77777777" w:rsidR="00511567" w:rsidRPr="008A288B" w:rsidRDefault="00511567" w:rsidP="00CA14F7">
            <w:pPr>
              <w:pStyle w:val="TableTextLeft"/>
              <w:keepNext/>
              <w:keepLines/>
            </w:pPr>
            <w:proofErr w:type="spellStart"/>
            <w:r w:rsidRPr="008A288B">
              <w:t>GreenPower</w:t>
            </w:r>
            <w:proofErr w:type="spellEnd"/>
            <w:r w:rsidRPr="008A288B">
              <w:rPr>
                <w:vertAlign w:val="superscript"/>
              </w:rPr>
              <w:t>(b)</w:t>
            </w:r>
          </w:p>
        </w:tc>
        <w:tc>
          <w:tcPr>
            <w:tcW w:w="1191" w:type="dxa"/>
          </w:tcPr>
          <w:p w14:paraId="7A6ACBFA" w14:textId="77777777" w:rsidR="00511567" w:rsidRPr="008A288B" w:rsidRDefault="00511567" w:rsidP="00CA14F7">
            <w:pPr>
              <w:pStyle w:val="TableTextLeft"/>
              <w:keepNext/>
              <w:keepLines/>
            </w:pPr>
            <w:r w:rsidRPr="008A288B">
              <w:t>n/a</w:t>
            </w:r>
          </w:p>
        </w:tc>
        <w:tc>
          <w:tcPr>
            <w:tcW w:w="1191" w:type="dxa"/>
          </w:tcPr>
          <w:p w14:paraId="6E2039C4" w14:textId="77777777" w:rsidR="00511567" w:rsidRPr="008A288B" w:rsidRDefault="00511567" w:rsidP="00CA14F7">
            <w:pPr>
              <w:pStyle w:val="TableTextLeft"/>
              <w:keepNext/>
              <w:keepLines/>
            </w:pPr>
            <w:r w:rsidRPr="008A288B">
              <w:t>n/a</w:t>
            </w:r>
          </w:p>
        </w:tc>
        <w:tc>
          <w:tcPr>
            <w:tcW w:w="1191" w:type="dxa"/>
          </w:tcPr>
          <w:p w14:paraId="65550F75" w14:textId="77777777" w:rsidR="00511567" w:rsidRPr="008A288B" w:rsidRDefault="00511567" w:rsidP="00CA14F7">
            <w:pPr>
              <w:pStyle w:val="TableTextLeft"/>
              <w:keepNext/>
              <w:keepLines/>
            </w:pPr>
            <w:r w:rsidRPr="008A288B">
              <w:t>n/a</w:t>
            </w:r>
          </w:p>
        </w:tc>
        <w:tc>
          <w:tcPr>
            <w:tcW w:w="1191" w:type="dxa"/>
          </w:tcPr>
          <w:p w14:paraId="0B3EF411" w14:textId="77777777" w:rsidR="00511567" w:rsidRPr="008A288B" w:rsidRDefault="00511567" w:rsidP="00CA14F7">
            <w:pPr>
              <w:pStyle w:val="TableTextLeft"/>
              <w:keepNext/>
              <w:keepLines/>
            </w:pPr>
            <w:r w:rsidRPr="008A288B">
              <w:t>n/a</w:t>
            </w:r>
          </w:p>
        </w:tc>
      </w:tr>
      <w:tr w:rsidR="00511567" w:rsidRPr="008A288B" w14:paraId="2508C819" w14:textId="77777777" w:rsidTr="00CA14F7">
        <w:trPr>
          <w:trHeight w:val="275"/>
        </w:trPr>
        <w:tc>
          <w:tcPr>
            <w:tcW w:w="3856" w:type="dxa"/>
          </w:tcPr>
          <w:p w14:paraId="0F199E25" w14:textId="77777777" w:rsidR="00511567" w:rsidRPr="008A288B" w:rsidRDefault="00511567" w:rsidP="00CA14F7">
            <w:pPr>
              <w:pStyle w:val="TableTextLeft"/>
              <w:keepNext/>
              <w:keepLines/>
            </w:pPr>
            <w:r w:rsidRPr="008A288B">
              <w:t>Large-scale generation certificates</w:t>
            </w:r>
            <w:r w:rsidRPr="008A288B">
              <w:rPr>
                <w:vertAlign w:val="superscript"/>
              </w:rPr>
              <w:t>(b)</w:t>
            </w:r>
          </w:p>
        </w:tc>
        <w:tc>
          <w:tcPr>
            <w:tcW w:w="1191" w:type="dxa"/>
          </w:tcPr>
          <w:p w14:paraId="64D49974" w14:textId="77777777" w:rsidR="00511567" w:rsidRPr="008A288B" w:rsidRDefault="00511567" w:rsidP="00CA14F7">
            <w:pPr>
              <w:pStyle w:val="TableTextLeft"/>
              <w:keepNext/>
              <w:keepLines/>
            </w:pPr>
            <w:r w:rsidRPr="008A288B">
              <w:t>n/a</w:t>
            </w:r>
          </w:p>
        </w:tc>
        <w:tc>
          <w:tcPr>
            <w:tcW w:w="1191" w:type="dxa"/>
          </w:tcPr>
          <w:p w14:paraId="4B0FD0D4" w14:textId="77777777" w:rsidR="00511567" w:rsidRPr="008A288B" w:rsidRDefault="00511567" w:rsidP="00CA14F7">
            <w:pPr>
              <w:pStyle w:val="TableTextLeft"/>
              <w:keepNext/>
              <w:keepLines/>
            </w:pPr>
            <w:r w:rsidRPr="008A288B">
              <w:t>n/a</w:t>
            </w:r>
          </w:p>
        </w:tc>
        <w:tc>
          <w:tcPr>
            <w:tcW w:w="1191" w:type="dxa"/>
          </w:tcPr>
          <w:p w14:paraId="38CB3F1D" w14:textId="77777777" w:rsidR="00511567" w:rsidRPr="008A288B" w:rsidRDefault="00511567" w:rsidP="00CA14F7">
            <w:pPr>
              <w:pStyle w:val="TableTextLeft"/>
              <w:keepNext/>
              <w:keepLines/>
            </w:pPr>
            <w:r w:rsidRPr="008A288B">
              <w:t>n/a</w:t>
            </w:r>
          </w:p>
        </w:tc>
        <w:tc>
          <w:tcPr>
            <w:tcW w:w="1191" w:type="dxa"/>
          </w:tcPr>
          <w:p w14:paraId="68411D2A" w14:textId="77777777" w:rsidR="00511567" w:rsidRPr="008A288B" w:rsidRDefault="00511567" w:rsidP="00CA14F7">
            <w:pPr>
              <w:pStyle w:val="TableTextLeft"/>
              <w:keepNext/>
              <w:keepLines/>
            </w:pPr>
            <w:r w:rsidRPr="008A288B">
              <w:t>n/a</w:t>
            </w:r>
          </w:p>
        </w:tc>
      </w:tr>
      <w:tr w:rsidR="00511567" w:rsidRPr="008A288B" w14:paraId="0B438E1A" w14:textId="77777777" w:rsidTr="00CA14F7">
        <w:trPr>
          <w:trHeight w:val="195"/>
        </w:trPr>
        <w:tc>
          <w:tcPr>
            <w:tcW w:w="3856" w:type="dxa"/>
          </w:tcPr>
          <w:p w14:paraId="5CF139E0" w14:textId="77777777" w:rsidR="00511567" w:rsidRPr="008A288B" w:rsidRDefault="00511567" w:rsidP="00CA14F7">
            <w:pPr>
              <w:pStyle w:val="TableTextLeft"/>
              <w:keepNext/>
              <w:keepLines/>
            </w:pPr>
            <w:r w:rsidRPr="008A288B">
              <w:t>Behind the meter solar</w:t>
            </w:r>
            <w:r w:rsidRPr="008A288B">
              <w:rPr>
                <w:vertAlign w:val="superscript"/>
              </w:rPr>
              <w:t>(d)</w:t>
            </w:r>
          </w:p>
        </w:tc>
        <w:tc>
          <w:tcPr>
            <w:tcW w:w="1191" w:type="dxa"/>
          </w:tcPr>
          <w:p w14:paraId="2D463B90" w14:textId="77777777" w:rsidR="00511567" w:rsidRPr="008A288B" w:rsidRDefault="00511567" w:rsidP="00CA14F7">
            <w:pPr>
              <w:pStyle w:val="TableTextLeft"/>
              <w:keepNext/>
              <w:keepLines/>
            </w:pPr>
            <w:r w:rsidRPr="008A288B">
              <w:t>n/a</w:t>
            </w:r>
          </w:p>
        </w:tc>
        <w:tc>
          <w:tcPr>
            <w:tcW w:w="1191" w:type="dxa"/>
          </w:tcPr>
          <w:p w14:paraId="7A67E072" w14:textId="77777777" w:rsidR="00511567" w:rsidRPr="008A288B" w:rsidRDefault="00511567" w:rsidP="00CA14F7">
            <w:pPr>
              <w:pStyle w:val="TableTextLeft"/>
              <w:keepNext/>
              <w:keepLines/>
            </w:pPr>
            <w:r w:rsidRPr="008A288B">
              <w:t>n/a</w:t>
            </w:r>
          </w:p>
        </w:tc>
        <w:tc>
          <w:tcPr>
            <w:tcW w:w="1191" w:type="dxa"/>
          </w:tcPr>
          <w:p w14:paraId="7E1A6D25" w14:textId="77777777" w:rsidR="00511567" w:rsidRPr="008A288B" w:rsidRDefault="00511567" w:rsidP="00CA14F7">
            <w:pPr>
              <w:pStyle w:val="TableTextLeft"/>
              <w:keepNext/>
              <w:keepLines/>
            </w:pPr>
            <w:r w:rsidRPr="008A288B">
              <w:t>n/a</w:t>
            </w:r>
          </w:p>
        </w:tc>
        <w:tc>
          <w:tcPr>
            <w:tcW w:w="1191" w:type="dxa"/>
          </w:tcPr>
          <w:p w14:paraId="56DA2ED5" w14:textId="77777777" w:rsidR="00511567" w:rsidRPr="008A288B" w:rsidRDefault="00511567" w:rsidP="00CA14F7">
            <w:pPr>
              <w:pStyle w:val="TableTextLeft"/>
              <w:keepNext/>
              <w:keepLines/>
            </w:pPr>
            <w:r w:rsidRPr="008A288B">
              <w:t>n/a</w:t>
            </w:r>
          </w:p>
        </w:tc>
      </w:tr>
      <w:tr w:rsidR="00511567" w:rsidRPr="008A288B" w14:paraId="660CB7A3" w14:textId="77777777" w:rsidTr="00CA14F7">
        <w:tc>
          <w:tcPr>
            <w:tcW w:w="3856" w:type="dxa"/>
            <w:shd w:val="clear" w:color="auto" w:fill="EBF0FA"/>
          </w:tcPr>
          <w:p w14:paraId="39AF446D" w14:textId="77777777" w:rsidR="00511567" w:rsidRPr="008A288B" w:rsidRDefault="00511567" w:rsidP="00CA14F7">
            <w:pPr>
              <w:pStyle w:val="TableTextLeft"/>
              <w:keepNext/>
              <w:keepLines/>
              <w:rPr>
                <w:rStyle w:val="Strong"/>
              </w:rPr>
            </w:pPr>
            <w:r w:rsidRPr="008A288B">
              <w:rPr>
                <w:rStyle w:val="Strong"/>
              </w:rPr>
              <w:t>Total renewable electricity produced</w:t>
            </w:r>
          </w:p>
        </w:tc>
        <w:tc>
          <w:tcPr>
            <w:tcW w:w="1191" w:type="dxa"/>
            <w:shd w:val="clear" w:color="auto" w:fill="EBF0FA"/>
          </w:tcPr>
          <w:p w14:paraId="13E0E04B" w14:textId="77777777" w:rsidR="00511567" w:rsidRPr="008A288B" w:rsidRDefault="00511567" w:rsidP="00CA14F7">
            <w:pPr>
              <w:pStyle w:val="TableTextLeft"/>
              <w:keepNext/>
              <w:keepLines/>
              <w:rPr>
                <w:rStyle w:val="Strong"/>
              </w:rPr>
            </w:pPr>
            <w:r w:rsidRPr="008A288B">
              <w:rPr>
                <w:rStyle w:val="Strong"/>
              </w:rPr>
              <w:t>n/a</w:t>
            </w:r>
          </w:p>
        </w:tc>
        <w:tc>
          <w:tcPr>
            <w:tcW w:w="1191" w:type="dxa"/>
            <w:shd w:val="clear" w:color="auto" w:fill="EBF0FA"/>
          </w:tcPr>
          <w:p w14:paraId="350956CB" w14:textId="77777777" w:rsidR="00511567" w:rsidRPr="008A288B" w:rsidRDefault="00511567" w:rsidP="00CA14F7">
            <w:pPr>
              <w:pStyle w:val="TableTextLeft"/>
              <w:keepNext/>
              <w:keepLines/>
              <w:rPr>
                <w:rStyle w:val="Strong"/>
              </w:rPr>
            </w:pPr>
            <w:r w:rsidRPr="008A288B">
              <w:rPr>
                <w:rStyle w:val="Strong"/>
              </w:rPr>
              <w:t>n/a</w:t>
            </w:r>
          </w:p>
        </w:tc>
        <w:tc>
          <w:tcPr>
            <w:tcW w:w="1191" w:type="dxa"/>
            <w:shd w:val="clear" w:color="auto" w:fill="EBF0FA"/>
          </w:tcPr>
          <w:p w14:paraId="42537067" w14:textId="77777777" w:rsidR="00511567" w:rsidRPr="008A288B" w:rsidRDefault="00511567" w:rsidP="00CA14F7">
            <w:pPr>
              <w:pStyle w:val="TableTextLeft"/>
              <w:keepNext/>
              <w:keepLines/>
              <w:rPr>
                <w:rStyle w:val="Strong"/>
              </w:rPr>
            </w:pPr>
            <w:r w:rsidRPr="008A288B">
              <w:rPr>
                <w:rStyle w:val="Strong"/>
              </w:rPr>
              <w:t>n/a</w:t>
            </w:r>
          </w:p>
        </w:tc>
        <w:tc>
          <w:tcPr>
            <w:tcW w:w="1191" w:type="dxa"/>
            <w:shd w:val="clear" w:color="auto" w:fill="EBF0FA"/>
          </w:tcPr>
          <w:p w14:paraId="160C0446" w14:textId="77777777" w:rsidR="00511567" w:rsidRPr="008A288B" w:rsidRDefault="00511567" w:rsidP="00CA14F7">
            <w:pPr>
              <w:pStyle w:val="TableTextLeft"/>
              <w:keepNext/>
              <w:keepLines/>
              <w:rPr>
                <w:rStyle w:val="Strong"/>
              </w:rPr>
            </w:pPr>
            <w:r w:rsidRPr="008A288B">
              <w:rPr>
                <w:rStyle w:val="Strong"/>
              </w:rPr>
              <w:t>n/a</w:t>
            </w:r>
          </w:p>
        </w:tc>
      </w:tr>
      <w:tr w:rsidR="00511567" w:rsidRPr="008A288B" w14:paraId="27D74985" w14:textId="77777777" w:rsidTr="00CA14F7">
        <w:tc>
          <w:tcPr>
            <w:tcW w:w="3856" w:type="dxa"/>
          </w:tcPr>
          <w:p w14:paraId="10EDC9A0" w14:textId="77777777" w:rsidR="00511567" w:rsidRPr="008A288B" w:rsidRDefault="00511567" w:rsidP="00CA14F7">
            <w:pPr>
              <w:pStyle w:val="TableTextLeft"/>
              <w:keepNext/>
              <w:keepLines/>
              <w:rPr>
                <w:i/>
                <w:iCs/>
              </w:rPr>
            </w:pPr>
            <w:r w:rsidRPr="008A288B">
              <w:t>Large-scale generation certificates</w:t>
            </w:r>
            <w:r w:rsidRPr="008A288B">
              <w:rPr>
                <w:vertAlign w:val="superscript"/>
              </w:rPr>
              <w:t>(b)</w:t>
            </w:r>
          </w:p>
        </w:tc>
        <w:tc>
          <w:tcPr>
            <w:tcW w:w="1191" w:type="dxa"/>
          </w:tcPr>
          <w:p w14:paraId="0D5CB7B3" w14:textId="77777777" w:rsidR="00511567" w:rsidRPr="008A288B" w:rsidRDefault="00511567" w:rsidP="00CA14F7">
            <w:pPr>
              <w:pStyle w:val="TableTextLeft"/>
              <w:keepNext/>
              <w:keepLines/>
            </w:pPr>
            <w:r w:rsidRPr="008A288B">
              <w:t>n/a</w:t>
            </w:r>
          </w:p>
        </w:tc>
        <w:tc>
          <w:tcPr>
            <w:tcW w:w="1191" w:type="dxa"/>
          </w:tcPr>
          <w:p w14:paraId="390006D3" w14:textId="77777777" w:rsidR="00511567" w:rsidRPr="008A288B" w:rsidRDefault="00511567" w:rsidP="00CA14F7">
            <w:pPr>
              <w:pStyle w:val="TableTextLeft"/>
              <w:keepNext/>
              <w:keepLines/>
            </w:pPr>
            <w:r w:rsidRPr="008A288B">
              <w:t>n/a</w:t>
            </w:r>
          </w:p>
        </w:tc>
        <w:tc>
          <w:tcPr>
            <w:tcW w:w="1191" w:type="dxa"/>
          </w:tcPr>
          <w:p w14:paraId="51129A5A" w14:textId="77777777" w:rsidR="00511567" w:rsidRPr="008A288B" w:rsidRDefault="00511567" w:rsidP="00CA14F7">
            <w:pPr>
              <w:pStyle w:val="TableTextLeft"/>
              <w:keepNext/>
              <w:keepLines/>
            </w:pPr>
            <w:r w:rsidRPr="008A288B">
              <w:t>n/a</w:t>
            </w:r>
          </w:p>
        </w:tc>
        <w:tc>
          <w:tcPr>
            <w:tcW w:w="1191" w:type="dxa"/>
          </w:tcPr>
          <w:p w14:paraId="51B85665" w14:textId="77777777" w:rsidR="00511567" w:rsidRPr="008A288B" w:rsidRDefault="00511567" w:rsidP="00CA14F7">
            <w:pPr>
              <w:pStyle w:val="TableTextLeft"/>
              <w:keepNext/>
              <w:keepLines/>
            </w:pPr>
            <w:r w:rsidRPr="008A288B">
              <w:t>n/a</w:t>
            </w:r>
          </w:p>
        </w:tc>
      </w:tr>
      <w:tr w:rsidR="00511567" w:rsidRPr="008A288B" w14:paraId="60473E4A" w14:textId="77777777" w:rsidTr="00CA14F7">
        <w:tc>
          <w:tcPr>
            <w:tcW w:w="3856" w:type="dxa"/>
          </w:tcPr>
          <w:p w14:paraId="092C2B37" w14:textId="77777777" w:rsidR="00511567" w:rsidRPr="008A288B" w:rsidRDefault="00511567" w:rsidP="00CA14F7">
            <w:pPr>
              <w:pStyle w:val="TableTextLeft"/>
              <w:keepNext/>
              <w:keepLines/>
              <w:rPr>
                <w:i/>
                <w:iCs/>
              </w:rPr>
            </w:pPr>
            <w:r w:rsidRPr="008A288B">
              <w:t>Behind the meter solar</w:t>
            </w:r>
            <w:r w:rsidRPr="008A288B">
              <w:rPr>
                <w:vertAlign w:val="superscript"/>
              </w:rPr>
              <w:t>(d)</w:t>
            </w:r>
          </w:p>
        </w:tc>
        <w:tc>
          <w:tcPr>
            <w:tcW w:w="1191" w:type="dxa"/>
          </w:tcPr>
          <w:p w14:paraId="7E82A3C9" w14:textId="77777777" w:rsidR="00511567" w:rsidRPr="008A288B" w:rsidRDefault="00511567" w:rsidP="00CA14F7">
            <w:pPr>
              <w:pStyle w:val="TableTextLeft"/>
              <w:keepNext/>
              <w:keepLines/>
            </w:pPr>
            <w:r w:rsidRPr="008A288B">
              <w:t>n/a</w:t>
            </w:r>
          </w:p>
        </w:tc>
        <w:tc>
          <w:tcPr>
            <w:tcW w:w="1191" w:type="dxa"/>
          </w:tcPr>
          <w:p w14:paraId="74D248CF" w14:textId="77777777" w:rsidR="00511567" w:rsidRPr="008A288B" w:rsidRDefault="00511567" w:rsidP="00CA14F7">
            <w:pPr>
              <w:pStyle w:val="TableTextLeft"/>
              <w:keepNext/>
              <w:keepLines/>
            </w:pPr>
            <w:r w:rsidRPr="008A288B">
              <w:t>n/a</w:t>
            </w:r>
          </w:p>
        </w:tc>
        <w:tc>
          <w:tcPr>
            <w:tcW w:w="1191" w:type="dxa"/>
          </w:tcPr>
          <w:p w14:paraId="42401187" w14:textId="77777777" w:rsidR="00511567" w:rsidRPr="008A288B" w:rsidRDefault="00511567" w:rsidP="00CA14F7">
            <w:pPr>
              <w:pStyle w:val="TableTextLeft"/>
              <w:keepNext/>
              <w:keepLines/>
            </w:pPr>
            <w:r w:rsidRPr="008A288B">
              <w:t>n/a</w:t>
            </w:r>
          </w:p>
        </w:tc>
        <w:tc>
          <w:tcPr>
            <w:tcW w:w="1191" w:type="dxa"/>
          </w:tcPr>
          <w:p w14:paraId="2EED4A46" w14:textId="77777777" w:rsidR="00511567" w:rsidRPr="008A288B" w:rsidRDefault="00511567" w:rsidP="00CA14F7">
            <w:pPr>
              <w:pStyle w:val="TableTextLeft"/>
              <w:keepNext/>
              <w:keepLines/>
            </w:pPr>
            <w:r w:rsidRPr="008A288B">
              <w:t>n/a</w:t>
            </w:r>
          </w:p>
        </w:tc>
      </w:tr>
    </w:tbl>
    <w:bookmarkEnd w:id="24"/>
    <w:p w14:paraId="282D7513" w14:textId="77777777" w:rsidR="00511567" w:rsidRPr="008A288B" w:rsidRDefault="00511567" w:rsidP="00511567">
      <w:pPr>
        <w:pStyle w:val="ChartorTableNote"/>
        <w:keepNext/>
        <w:keepLines/>
      </w:pPr>
      <w:r w:rsidRPr="008A288B">
        <w:t>Note:</w:t>
      </w:r>
      <w:r w:rsidRPr="008A288B">
        <w:tab/>
        <w:t xml:space="preserve">The table above presents emissions related to electricity usage using both the location-based and the market-based accounting methods. </w:t>
      </w:r>
    </w:p>
    <w:p w14:paraId="72F12BB9" w14:textId="77777777" w:rsidR="00511567" w:rsidRPr="008A288B" w:rsidRDefault="00511567" w:rsidP="00511567">
      <w:pPr>
        <w:pStyle w:val="ChartorTableNote"/>
        <w:keepNext/>
        <w:keepLines/>
      </w:pPr>
      <w:r w:rsidRPr="008A288B">
        <w:tab/>
        <w:t>CO</w:t>
      </w:r>
      <w:r w:rsidRPr="008A288B">
        <w:rPr>
          <w:vertAlign w:val="subscript"/>
        </w:rPr>
        <w:t>2</w:t>
      </w:r>
      <w:r w:rsidRPr="008A288B">
        <w:t>-e = carbon dioxide equivalent.</w:t>
      </w:r>
    </w:p>
    <w:p w14:paraId="29273F89" w14:textId="77777777" w:rsidR="00511567" w:rsidRPr="008A288B" w:rsidRDefault="00511567" w:rsidP="00511567">
      <w:pPr>
        <w:pStyle w:val="ChartorTableNote"/>
        <w:keepNext/>
        <w:keepLines/>
      </w:pPr>
      <w:r w:rsidRPr="008A288B">
        <w:tab/>
        <w:t>Electricity usage is measured in kilowatt hours (kWh).</w:t>
      </w:r>
    </w:p>
    <w:p w14:paraId="61BD30D3" w14:textId="77777777" w:rsidR="00511567" w:rsidRPr="008A288B" w:rsidRDefault="00511567" w:rsidP="00511567">
      <w:pPr>
        <w:pStyle w:val="ChartorTableNote"/>
        <w:keepNext/>
        <w:keepLines/>
        <w:ind w:left="720" w:hanging="720"/>
      </w:pPr>
      <w:r w:rsidRPr="008A288B">
        <w:t>(a)</w:t>
      </w:r>
      <w:r w:rsidRPr="008A288B">
        <w:tab/>
        <w:t>Listed as Mandatory renewables in 2025–26 Annual Reports. The renewable power percentage accounts for the portion of electricity used, from the grid, that falls within the Renewable Energy Target.</w:t>
      </w:r>
    </w:p>
    <w:p w14:paraId="3207087D" w14:textId="77777777" w:rsidR="00511567" w:rsidRPr="008A288B" w:rsidRDefault="00511567" w:rsidP="00511567">
      <w:pPr>
        <w:pStyle w:val="ChartorTableNote"/>
        <w:keepNext/>
        <w:keepLines/>
      </w:pPr>
      <w:r w:rsidRPr="008A288B">
        <w:t>(b)</w:t>
      </w:r>
      <w:r w:rsidRPr="008A288B">
        <w:tab/>
        <w:t xml:space="preserve">Listed as Voluntary renewables in 2025–26 Annual Reports. </w:t>
      </w:r>
    </w:p>
    <w:p w14:paraId="52DD6439" w14:textId="77777777" w:rsidR="00511567" w:rsidRPr="008A288B" w:rsidRDefault="00511567" w:rsidP="00511567">
      <w:pPr>
        <w:pStyle w:val="ChartorTableNote"/>
        <w:keepNext/>
        <w:keepLines/>
        <w:ind w:left="720" w:hanging="720"/>
      </w:pPr>
      <w:r w:rsidRPr="008A288B">
        <w:t>(c)</w:t>
      </w:r>
      <w:r w:rsidRPr="008A288B">
        <w:tab/>
        <w:t>The Australian Capital Territory is currently the only state/ territory with a jurisdictional renewable power percentage.</w:t>
      </w:r>
    </w:p>
    <w:p w14:paraId="125ABD1F" w14:textId="77777777" w:rsidR="00511567" w:rsidRPr="008A288B" w:rsidRDefault="00511567" w:rsidP="00511567">
      <w:pPr>
        <w:pStyle w:val="ChartorTableNote"/>
        <w:keepNext/>
        <w:keepLines/>
        <w:ind w:left="720" w:hanging="720"/>
      </w:pPr>
      <w:r w:rsidRPr="008A288B">
        <w:t>(d)</w:t>
      </w:r>
      <w:r w:rsidRPr="008A288B">
        <w:tab/>
        <w:t xml:space="preserve">Reporting behind the meter solar consumption and/or production is optional. The quality of data is expected to improve over time as emissions reporting matures. </w:t>
      </w:r>
    </w:p>
    <w:p w14:paraId="3E15FCA5" w14:textId="77777777" w:rsidR="00511567" w:rsidRPr="00F34166" w:rsidRDefault="00511567" w:rsidP="00511567">
      <w:pPr>
        <w:pStyle w:val="Heading2"/>
      </w:pPr>
      <w:bookmarkStart w:id="25" w:name="_Toc238826596"/>
      <w:r w:rsidRPr="00F34166">
        <w:t>Climate-related targets</w:t>
      </w:r>
      <w:bookmarkEnd w:id="25"/>
    </w:p>
    <w:p w14:paraId="6C8A0A20" w14:textId="2F663096" w:rsidR="00511567" w:rsidRPr="00F34166" w:rsidRDefault="00511567" w:rsidP="00511567">
      <w:r w:rsidRPr="00F34166">
        <w:t xml:space="preserve">The department is following the </w:t>
      </w:r>
      <w:hyperlink r:id="rId39">
        <w:r w:rsidRPr="00F34166">
          <w:rPr>
            <w:rStyle w:val="Hyperlink"/>
          </w:rPr>
          <w:t>APS Net Zero by 2030</w:t>
        </w:r>
      </w:hyperlink>
      <w:r w:rsidRPr="00F34166">
        <w:t xml:space="preserve"> target, as per the </w:t>
      </w:r>
      <w:hyperlink r:id="rId40" w:history="1">
        <w:r w:rsidRPr="00F34166">
          <w:rPr>
            <w:rStyle w:val="Hyperlink"/>
          </w:rPr>
          <w:t>Net Zero in Government Operations Strategy</w:t>
        </w:r>
      </w:hyperlink>
      <w:r w:rsidRPr="00F34166">
        <w:t xml:space="preserve">. The </w:t>
      </w:r>
      <w:hyperlink r:id="rId41" w:history="1">
        <w:r w:rsidRPr="00F34166">
          <w:rPr>
            <w:rStyle w:val="Hyperlink"/>
          </w:rPr>
          <w:t>APS Net Zero 2030 Target Factsheet</w:t>
        </w:r>
      </w:hyperlink>
      <w:r w:rsidRPr="00F34166">
        <w:t xml:space="preserve"> has more details about the 2030 target.</w:t>
      </w:r>
    </w:p>
    <w:p w14:paraId="06B352B5" w14:textId="77777777" w:rsidR="00511567" w:rsidRPr="00F34166" w:rsidRDefault="00511567" w:rsidP="00511567">
      <w:r w:rsidRPr="00F34166">
        <w:t xml:space="preserve">Treasury published its first </w:t>
      </w:r>
      <w:hyperlink r:id="rId42">
        <w:r w:rsidRPr="00F34166">
          <w:rPr>
            <w:rStyle w:val="Hyperlink"/>
          </w:rPr>
          <w:t>Emissions Reduction Plan</w:t>
        </w:r>
      </w:hyperlink>
      <w:r w:rsidRPr="00F34166">
        <w:t xml:space="preserve"> in August 2024. The Emissions Reduction Plan sets out Treasury’s approach and commitment to reduce emissions to net zero by 2030 and includes planned and new emissions-reduction initiatives. The Executive Board signs off initiatives within the Emissions Reduction Plan. </w:t>
      </w:r>
    </w:p>
    <w:p w14:paraId="28789E95" w14:textId="61214ABF" w:rsidR="00511567" w:rsidRPr="00F34166" w:rsidRDefault="00511567" w:rsidP="00511567">
      <w:r w:rsidRPr="00F34166">
        <w:t xml:space="preserve">Table 6 shows Treasury’s progress towards the target between 2022–23 and 2025–26. </w:t>
      </w:r>
    </w:p>
    <w:p w14:paraId="36686FC7" w14:textId="77777777" w:rsidR="00511567" w:rsidRPr="00F34166" w:rsidRDefault="00511567" w:rsidP="00511567">
      <w:r w:rsidRPr="00F34166">
        <w:t xml:space="preserve">As Treasury fleet transitioned to electric vehicles, emissions from fleet and other vehicles reduced by 100 per cent. </w:t>
      </w:r>
    </w:p>
    <w:p w14:paraId="56FB5E0E" w14:textId="77777777" w:rsidR="00840A05" w:rsidRDefault="00840A05" w:rsidP="00840A05">
      <w:pPr>
        <w:rPr>
          <w:rFonts w:ascii="Aptos" w:hAnsi="Aptos"/>
          <w:color w:val="000000"/>
          <w:szCs w:val="22"/>
        </w:rPr>
      </w:pPr>
      <w:r>
        <w:rPr>
          <w:color w:val="000000"/>
          <w:szCs w:val="22"/>
        </w:rPr>
        <w:t>Electricity emissions, which represent the largest emissions source, have fallen by 29.15% since the 2022-23 baseline, indicating ongoing benefits from electricity procurement strategies, efficiency initiatives, and operational optimisation.</w:t>
      </w:r>
    </w:p>
    <w:p w14:paraId="725D0966" w14:textId="77777777" w:rsidR="00511567" w:rsidRPr="003F29D6" w:rsidRDefault="00511567" w:rsidP="00511567">
      <w:pPr>
        <w:pStyle w:val="TableMainHeading"/>
      </w:pPr>
      <w:bookmarkStart w:id="26" w:name="_Ref207796103"/>
      <w:bookmarkStart w:id="27" w:name="_Toc208244805"/>
      <w:bookmarkStart w:id="28" w:name="_Toc220071460"/>
      <w:bookmarkStart w:id="29" w:name="_Toc238826597"/>
      <w:r w:rsidRPr="00035DA8">
        <w:lastRenderedPageBreak/>
        <w:t xml:space="preserve">Table </w:t>
      </w:r>
      <w:bookmarkEnd w:id="26"/>
      <w:r w:rsidRPr="00035DA8">
        <w:t>6: Treasury’s progress towards the APS Net Zero 2030 target</w:t>
      </w:r>
      <w:bookmarkEnd w:id="27"/>
      <w:bookmarkEnd w:id="28"/>
      <w:bookmarkEnd w:id="29"/>
      <w:r w:rsidRPr="00035DA8">
        <w:t xml:space="preserve"> </w:t>
      </w:r>
    </w:p>
    <w:tbl>
      <w:tblPr>
        <w:tblStyle w:val="GridTable4-Accent2"/>
        <w:tblW w:w="8206" w:type="dxa"/>
        <w:tblInd w:w="5" w:type="dxa"/>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none" w:sz="0" w:space="0" w:color="auto"/>
        </w:tblBorders>
        <w:tblLook w:val="0620" w:firstRow="1" w:lastRow="0" w:firstColumn="0" w:lastColumn="0" w:noHBand="1" w:noVBand="1"/>
      </w:tblPr>
      <w:tblGrid>
        <w:gridCol w:w="4311"/>
        <w:gridCol w:w="1071"/>
        <w:gridCol w:w="1134"/>
        <w:gridCol w:w="1690"/>
      </w:tblGrid>
      <w:tr w:rsidR="00511567" w:rsidRPr="00035DA8" w14:paraId="0C06256D" w14:textId="77777777" w:rsidTr="00CA14F7">
        <w:trPr>
          <w:cnfStyle w:val="100000000000" w:firstRow="1" w:lastRow="0" w:firstColumn="0" w:lastColumn="0" w:oddVBand="0" w:evenVBand="0" w:oddHBand="0" w:evenHBand="0" w:firstRowFirstColumn="0" w:firstRowLastColumn="0" w:lastRowFirstColumn="0" w:lastRowLastColumn="0"/>
          <w:trHeight w:val="750"/>
        </w:trPr>
        <w:tc>
          <w:tcPr>
            <w:tcW w:w="4311" w:type="dxa"/>
            <w:tcBorders>
              <w:top w:val="none" w:sz="0" w:space="0" w:color="auto"/>
              <w:left w:val="none" w:sz="0" w:space="0" w:color="auto"/>
              <w:bottom w:val="none" w:sz="0" w:space="0" w:color="auto"/>
              <w:right w:val="none" w:sz="0" w:space="0" w:color="auto"/>
            </w:tcBorders>
            <w:shd w:val="clear" w:color="auto" w:fill="E5E5E5"/>
            <w:vAlign w:val="bottom"/>
          </w:tcPr>
          <w:p w14:paraId="763E8D81" w14:textId="77777777" w:rsidR="00511567" w:rsidRPr="00035DA8" w:rsidRDefault="00511567" w:rsidP="00CA14F7">
            <w:pPr>
              <w:pStyle w:val="TableColumnHeadingLeft"/>
              <w:rPr>
                <w:b/>
                <w:bCs w:val="0"/>
              </w:rPr>
            </w:pPr>
            <w:bookmarkStart w:id="30" w:name="_Hlk207963247"/>
            <w:r w:rsidRPr="00035DA8">
              <w:rPr>
                <w:b/>
                <w:bCs w:val="0"/>
              </w:rPr>
              <w:t>APS Net Zero 2030 target emission sources</w:t>
            </w:r>
          </w:p>
        </w:tc>
        <w:tc>
          <w:tcPr>
            <w:tcW w:w="1071" w:type="dxa"/>
            <w:tcBorders>
              <w:top w:val="none" w:sz="0" w:space="0" w:color="auto"/>
              <w:left w:val="none" w:sz="0" w:space="0" w:color="auto"/>
              <w:bottom w:val="none" w:sz="0" w:space="0" w:color="auto"/>
              <w:right w:val="none" w:sz="0" w:space="0" w:color="auto"/>
            </w:tcBorders>
            <w:shd w:val="clear" w:color="auto" w:fill="E5E5E5"/>
            <w:vAlign w:val="bottom"/>
          </w:tcPr>
          <w:p w14:paraId="58C78D04" w14:textId="77777777" w:rsidR="00511567" w:rsidRPr="00035DA8" w:rsidRDefault="00511567" w:rsidP="00CA14F7">
            <w:pPr>
              <w:pStyle w:val="TableColumnHeadingLeft"/>
              <w:rPr>
                <w:b/>
                <w:bCs w:val="0"/>
              </w:rPr>
            </w:pPr>
            <w:r w:rsidRPr="00035DA8">
              <w:rPr>
                <w:b/>
                <w:bCs w:val="0"/>
              </w:rPr>
              <w:t>2022–23</w:t>
            </w:r>
            <w:r w:rsidRPr="00035DA8">
              <w:rPr>
                <w:b/>
                <w:bCs w:val="0"/>
                <w:vertAlign w:val="superscript"/>
              </w:rPr>
              <w:t>(a)</w:t>
            </w:r>
          </w:p>
          <w:p w14:paraId="7A79B5BB" w14:textId="77777777" w:rsidR="00511567" w:rsidRPr="00035DA8" w:rsidRDefault="00511567" w:rsidP="00CA14F7">
            <w:pPr>
              <w:pStyle w:val="TableColumnHeadingLeft"/>
              <w:rPr>
                <w:b/>
                <w:bCs w:val="0"/>
              </w:rPr>
            </w:pPr>
            <w:r w:rsidRPr="00035DA8">
              <w:rPr>
                <w:b/>
                <w:bCs w:val="0"/>
              </w:rPr>
              <w:t>t CO2-e</w:t>
            </w:r>
          </w:p>
        </w:tc>
        <w:tc>
          <w:tcPr>
            <w:tcW w:w="1134" w:type="dxa"/>
            <w:tcBorders>
              <w:top w:val="none" w:sz="0" w:space="0" w:color="auto"/>
              <w:left w:val="none" w:sz="0" w:space="0" w:color="auto"/>
              <w:bottom w:val="none" w:sz="0" w:space="0" w:color="auto"/>
              <w:right w:val="none" w:sz="0" w:space="0" w:color="auto"/>
            </w:tcBorders>
            <w:shd w:val="clear" w:color="auto" w:fill="E5E5E5"/>
            <w:vAlign w:val="bottom"/>
          </w:tcPr>
          <w:p w14:paraId="2A3DBAA0" w14:textId="77777777" w:rsidR="00511567" w:rsidRPr="00035DA8" w:rsidRDefault="00511567" w:rsidP="00CA14F7">
            <w:pPr>
              <w:pStyle w:val="TableColumnHeadingLeft"/>
              <w:rPr>
                <w:b/>
                <w:bCs w:val="0"/>
              </w:rPr>
            </w:pPr>
            <w:r w:rsidRPr="00035DA8">
              <w:rPr>
                <w:b/>
                <w:bCs w:val="0"/>
              </w:rPr>
              <w:t>2025–26</w:t>
            </w:r>
            <w:r w:rsidRPr="00035DA8">
              <w:rPr>
                <w:b/>
                <w:bCs w:val="0"/>
                <w:vertAlign w:val="superscript"/>
              </w:rPr>
              <w:t>(a)</w:t>
            </w:r>
          </w:p>
          <w:p w14:paraId="1D2D50FD" w14:textId="77777777" w:rsidR="00511567" w:rsidRPr="00035DA8" w:rsidRDefault="00511567" w:rsidP="00CA14F7">
            <w:pPr>
              <w:pStyle w:val="TableColumnHeadingLeft"/>
              <w:rPr>
                <w:b/>
                <w:bCs w:val="0"/>
              </w:rPr>
            </w:pPr>
            <w:r w:rsidRPr="00035DA8">
              <w:rPr>
                <w:b/>
                <w:bCs w:val="0"/>
              </w:rPr>
              <w:t>t CO2-e</w:t>
            </w:r>
          </w:p>
        </w:tc>
        <w:tc>
          <w:tcPr>
            <w:tcW w:w="1690" w:type="dxa"/>
            <w:tcBorders>
              <w:top w:val="none" w:sz="0" w:space="0" w:color="auto"/>
              <w:left w:val="none" w:sz="0" w:space="0" w:color="auto"/>
              <w:bottom w:val="none" w:sz="0" w:space="0" w:color="auto"/>
              <w:right w:val="none" w:sz="0" w:space="0" w:color="auto"/>
            </w:tcBorders>
            <w:shd w:val="clear" w:color="auto" w:fill="E5E5E5"/>
            <w:vAlign w:val="bottom"/>
          </w:tcPr>
          <w:p w14:paraId="6E88AA9C" w14:textId="77777777" w:rsidR="00511567" w:rsidRPr="00035DA8" w:rsidRDefault="00511567" w:rsidP="00CA14F7">
            <w:pPr>
              <w:pStyle w:val="TableColumnHeadingLeft"/>
              <w:rPr>
                <w:b/>
                <w:bCs w:val="0"/>
              </w:rPr>
            </w:pPr>
            <w:r w:rsidRPr="00035DA8">
              <w:rPr>
                <w:b/>
                <w:bCs w:val="0"/>
              </w:rPr>
              <w:t>Percentage change since 2022–23</w:t>
            </w:r>
          </w:p>
        </w:tc>
      </w:tr>
      <w:tr w:rsidR="00511567" w:rsidRPr="00035DA8" w14:paraId="391C78B8" w14:textId="77777777" w:rsidTr="00CA14F7">
        <w:trPr>
          <w:trHeight w:val="291"/>
        </w:trPr>
        <w:tc>
          <w:tcPr>
            <w:tcW w:w="4311" w:type="dxa"/>
            <w:vAlign w:val="center"/>
          </w:tcPr>
          <w:p w14:paraId="62D678B9" w14:textId="77777777" w:rsidR="00511567" w:rsidRPr="00035DA8" w:rsidRDefault="00511567" w:rsidP="00CA14F7">
            <w:pPr>
              <w:pStyle w:val="TableTextLeft"/>
            </w:pPr>
            <w:r w:rsidRPr="00035DA8">
              <w:t>Total Scope 1</w:t>
            </w:r>
          </w:p>
        </w:tc>
        <w:tc>
          <w:tcPr>
            <w:tcW w:w="1071" w:type="dxa"/>
          </w:tcPr>
          <w:p w14:paraId="58E23EE7" w14:textId="77777777" w:rsidR="00511567" w:rsidRPr="00035DA8" w:rsidRDefault="00511567" w:rsidP="00CA14F7">
            <w:pPr>
              <w:pStyle w:val="TableTextLeft"/>
            </w:pPr>
          </w:p>
        </w:tc>
        <w:tc>
          <w:tcPr>
            <w:tcW w:w="1134" w:type="dxa"/>
          </w:tcPr>
          <w:p w14:paraId="7A93FAC2" w14:textId="77777777" w:rsidR="00511567" w:rsidRPr="00035DA8" w:rsidRDefault="00511567" w:rsidP="00CA14F7">
            <w:pPr>
              <w:pStyle w:val="TableTextLeft"/>
            </w:pPr>
          </w:p>
        </w:tc>
        <w:tc>
          <w:tcPr>
            <w:tcW w:w="1690" w:type="dxa"/>
          </w:tcPr>
          <w:p w14:paraId="1A07D253" w14:textId="77777777" w:rsidR="00511567" w:rsidRPr="00035DA8" w:rsidRDefault="00511567" w:rsidP="00CA14F7">
            <w:pPr>
              <w:pStyle w:val="TableTextLeft"/>
            </w:pPr>
          </w:p>
        </w:tc>
      </w:tr>
      <w:tr w:rsidR="00511567" w:rsidRPr="00035DA8" w14:paraId="5CBC5D48" w14:textId="77777777" w:rsidTr="00CA14F7">
        <w:trPr>
          <w:trHeight w:val="325"/>
        </w:trPr>
        <w:tc>
          <w:tcPr>
            <w:tcW w:w="4311" w:type="dxa"/>
            <w:vAlign w:val="center"/>
          </w:tcPr>
          <w:p w14:paraId="144FF806" w14:textId="77777777" w:rsidR="00511567" w:rsidRPr="00035DA8" w:rsidRDefault="00511567" w:rsidP="00CA14F7">
            <w:pPr>
              <w:pStyle w:val="TableTextLeft"/>
            </w:pPr>
            <w:r w:rsidRPr="00035DA8">
              <w:t>Natural gas</w:t>
            </w:r>
          </w:p>
        </w:tc>
        <w:tc>
          <w:tcPr>
            <w:tcW w:w="1071" w:type="dxa"/>
          </w:tcPr>
          <w:p w14:paraId="5AEAB51A" w14:textId="77777777" w:rsidR="00511567" w:rsidRPr="00035DA8" w:rsidRDefault="00511567" w:rsidP="00CA14F7">
            <w:pPr>
              <w:pStyle w:val="TableTextLeft"/>
            </w:pPr>
            <w:r w:rsidRPr="00035DA8">
              <w:t>0.000</w:t>
            </w:r>
          </w:p>
        </w:tc>
        <w:tc>
          <w:tcPr>
            <w:tcW w:w="1134" w:type="dxa"/>
          </w:tcPr>
          <w:p w14:paraId="793285C0" w14:textId="77777777" w:rsidR="00511567" w:rsidRPr="00035DA8" w:rsidRDefault="00511567" w:rsidP="00CA14F7">
            <w:pPr>
              <w:pStyle w:val="TableTextLeft"/>
            </w:pPr>
            <w:r w:rsidRPr="00035DA8">
              <w:t>0.000</w:t>
            </w:r>
          </w:p>
        </w:tc>
        <w:tc>
          <w:tcPr>
            <w:tcW w:w="1690" w:type="dxa"/>
          </w:tcPr>
          <w:p w14:paraId="224218C1" w14:textId="77777777" w:rsidR="00511567" w:rsidRPr="00035DA8" w:rsidRDefault="00511567" w:rsidP="00CA14F7">
            <w:pPr>
              <w:pStyle w:val="TableTextLeft"/>
            </w:pPr>
            <w:r w:rsidRPr="00035DA8">
              <w:t>n/a</w:t>
            </w:r>
          </w:p>
        </w:tc>
      </w:tr>
      <w:tr w:rsidR="00511567" w:rsidRPr="00035DA8" w14:paraId="6609CCAF" w14:textId="77777777" w:rsidTr="00CA14F7">
        <w:trPr>
          <w:trHeight w:val="175"/>
        </w:trPr>
        <w:tc>
          <w:tcPr>
            <w:tcW w:w="4311" w:type="dxa"/>
            <w:vAlign w:val="center"/>
          </w:tcPr>
          <w:p w14:paraId="415383B3" w14:textId="77777777" w:rsidR="00511567" w:rsidRPr="00035DA8" w:rsidRDefault="00511567" w:rsidP="00CA14F7">
            <w:pPr>
              <w:pStyle w:val="TableTextLeft"/>
            </w:pPr>
            <w:r w:rsidRPr="00035DA8">
              <w:t>Fleet and other vehicles</w:t>
            </w:r>
          </w:p>
        </w:tc>
        <w:tc>
          <w:tcPr>
            <w:tcW w:w="1071" w:type="dxa"/>
          </w:tcPr>
          <w:p w14:paraId="3BF03D20" w14:textId="77777777" w:rsidR="00511567" w:rsidRPr="00035DA8" w:rsidRDefault="00511567" w:rsidP="00CA14F7">
            <w:pPr>
              <w:pStyle w:val="TableTextLeft"/>
            </w:pPr>
            <w:r w:rsidRPr="00035DA8">
              <w:t>2.194</w:t>
            </w:r>
          </w:p>
        </w:tc>
        <w:tc>
          <w:tcPr>
            <w:tcW w:w="1134" w:type="dxa"/>
          </w:tcPr>
          <w:p w14:paraId="0A65B8F7" w14:textId="77777777" w:rsidR="00511567" w:rsidRPr="00035DA8" w:rsidRDefault="00511567" w:rsidP="00CA14F7">
            <w:pPr>
              <w:pStyle w:val="TableTextLeft"/>
            </w:pPr>
            <w:r w:rsidRPr="00035DA8">
              <w:t>0.000</w:t>
            </w:r>
          </w:p>
        </w:tc>
        <w:tc>
          <w:tcPr>
            <w:tcW w:w="1690" w:type="dxa"/>
          </w:tcPr>
          <w:p w14:paraId="7B758204" w14:textId="77777777" w:rsidR="00511567" w:rsidRPr="00035DA8" w:rsidRDefault="00511567" w:rsidP="00CA14F7">
            <w:pPr>
              <w:pStyle w:val="TableTextLeft"/>
            </w:pPr>
            <w:r w:rsidRPr="00035DA8">
              <w:t>-100%</w:t>
            </w:r>
          </w:p>
        </w:tc>
      </w:tr>
      <w:tr w:rsidR="00511567" w:rsidRPr="00035DA8" w14:paraId="502FA7F9" w14:textId="77777777" w:rsidTr="00CA14F7">
        <w:trPr>
          <w:trHeight w:val="237"/>
        </w:trPr>
        <w:tc>
          <w:tcPr>
            <w:tcW w:w="4311" w:type="dxa"/>
            <w:vAlign w:val="center"/>
          </w:tcPr>
          <w:p w14:paraId="20FE51E2" w14:textId="77777777" w:rsidR="00511567" w:rsidRPr="00035DA8" w:rsidRDefault="00511567" w:rsidP="00CA14F7">
            <w:pPr>
              <w:pStyle w:val="TableTextLeft"/>
            </w:pPr>
            <w:r w:rsidRPr="00035DA8">
              <w:t>Refrigerants</w:t>
            </w:r>
          </w:p>
        </w:tc>
        <w:tc>
          <w:tcPr>
            <w:tcW w:w="1071" w:type="dxa"/>
          </w:tcPr>
          <w:p w14:paraId="57980BB0" w14:textId="77777777" w:rsidR="00511567" w:rsidRPr="00035DA8" w:rsidRDefault="00511567" w:rsidP="00CA14F7">
            <w:pPr>
              <w:pStyle w:val="TableTextLeft"/>
            </w:pPr>
            <w:r w:rsidRPr="00035DA8">
              <w:t>n/a</w:t>
            </w:r>
          </w:p>
        </w:tc>
        <w:tc>
          <w:tcPr>
            <w:tcW w:w="1134" w:type="dxa"/>
          </w:tcPr>
          <w:p w14:paraId="7F054ECD" w14:textId="77777777" w:rsidR="00511567" w:rsidRPr="00035DA8" w:rsidRDefault="00511567" w:rsidP="00CA14F7">
            <w:pPr>
              <w:pStyle w:val="TableTextLeft"/>
            </w:pPr>
            <w:r w:rsidRPr="00035DA8">
              <w:t>0.000</w:t>
            </w:r>
          </w:p>
        </w:tc>
        <w:tc>
          <w:tcPr>
            <w:tcW w:w="1690" w:type="dxa"/>
          </w:tcPr>
          <w:p w14:paraId="09AD15F2" w14:textId="77777777" w:rsidR="00511567" w:rsidRPr="00035DA8" w:rsidRDefault="00511567" w:rsidP="00CA14F7">
            <w:pPr>
              <w:pStyle w:val="TableTextLeft"/>
            </w:pPr>
            <w:r w:rsidRPr="00035DA8">
              <w:t>n/a</w:t>
            </w:r>
          </w:p>
        </w:tc>
      </w:tr>
      <w:tr w:rsidR="00511567" w:rsidRPr="00035DA8" w14:paraId="5863D61F" w14:textId="77777777" w:rsidTr="00CA14F7">
        <w:trPr>
          <w:trHeight w:val="173"/>
        </w:trPr>
        <w:tc>
          <w:tcPr>
            <w:tcW w:w="4311" w:type="dxa"/>
            <w:vAlign w:val="center"/>
          </w:tcPr>
          <w:p w14:paraId="4F4BEB19" w14:textId="77777777" w:rsidR="00511567" w:rsidRPr="00035DA8" w:rsidRDefault="00511567" w:rsidP="00CA14F7">
            <w:pPr>
              <w:pStyle w:val="TableTextLeft"/>
            </w:pPr>
            <w:r w:rsidRPr="00035DA8">
              <w:t>Other energy</w:t>
            </w:r>
          </w:p>
        </w:tc>
        <w:tc>
          <w:tcPr>
            <w:tcW w:w="1071" w:type="dxa"/>
          </w:tcPr>
          <w:p w14:paraId="2E8710A6" w14:textId="77777777" w:rsidR="00511567" w:rsidRPr="00035DA8" w:rsidRDefault="00511567" w:rsidP="00CA14F7">
            <w:pPr>
              <w:pStyle w:val="TableTextLeft"/>
            </w:pPr>
            <w:r w:rsidRPr="00035DA8">
              <w:t>0.000</w:t>
            </w:r>
          </w:p>
        </w:tc>
        <w:tc>
          <w:tcPr>
            <w:tcW w:w="1134" w:type="dxa"/>
          </w:tcPr>
          <w:p w14:paraId="0E967FBB" w14:textId="77777777" w:rsidR="00511567" w:rsidRPr="00035DA8" w:rsidRDefault="00511567" w:rsidP="00CA14F7">
            <w:pPr>
              <w:pStyle w:val="TableTextLeft"/>
            </w:pPr>
            <w:r w:rsidRPr="00035DA8">
              <w:t>3.59</w:t>
            </w:r>
          </w:p>
        </w:tc>
        <w:tc>
          <w:tcPr>
            <w:tcW w:w="1690" w:type="dxa"/>
          </w:tcPr>
          <w:p w14:paraId="3EAEF117" w14:textId="77777777" w:rsidR="00511567" w:rsidRPr="00035DA8" w:rsidRDefault="00511567" w:rsidP="00CA14F7">
            <w:pPr>
              <w:pStyle w:val="TableTextLeft"/>
            </w:pPr>
            <w:r w:rsidRPr="00035DA8">
              <w:t>n/a</w:t>
            </w:r>
          </w:p>
        </w:tc>
      </w:tr>
      <w:tr w:rsidR="00511567" w:rsidRPr="00035DA8" w14:paraId="3EE80921" w14:textId="77777777" w:rsidTr="00CA14F7">
        <w:trPr>
          <w:trHeight w:val="179"/>
        </w:trPr>
        <w:tc>
          <w:tcPr>
            <w:tcW w:w="4311" w:type="dxa"/>
            <w:vAlign w:val="center"/>
          </w:tcPr>
          <w:p w14:paraId="091A4A24" w14:textId="77777777" w:rsidR="00511567" w:rsidRPr="00035DA8" w:rsidRDefault="00511567" w:rsidP="00CA14F7">
            <w:pPr>
              <w:pStyle w:val="TableTextLeft"/>
            </w:pPr>
            <w:r w:rsidRPr="00035DA8">
              <w:t>Total Scope 2</w:t>
            </w:r>
          </w:p>
        </w:tc>
        <w:tc>
          <w:tcPr>
            <w:tcW w:w="1071" w:type="dxa"/>
          </w:tcPr>
          <w:p w14:paraId="509B099D" w14:textId="77777777" w:rsidR="00511567" w:rsidRPr="00035DA8" w:rsidRDefault="00511567" w:rsidP="00CA14F7">
            <w:pPr>
              <w:pStyle w:val="TableTextLeft"/>
            </w:pPr>
          </w:p>
        </w:tc>
        <w:tc>
          <w:tcPr>
            <w:tcW w:w="1134" w:type="dxa"/>
          </w:tcPr>
          <w:p w14:paraId="66CCB143" w14:textId="77777777" w:rsidR="00511567" w:rsidRPr="00035DA8" w:rsidRDefault="00511567" w:rsidP="00CA14F7">
            <w:pPr>
              <w:pStyle w:val="TableTextLeft"/>
            </w:pPr>
          </w:p>
        </w:tc>
        <w:tc>
          <w:tcPr>
            <w:tcW w:w="1690" w:type="dxa"/>
          </w:tcPr>
          <w:p w14:paraId="55B94063" w14:textId="77777777" w:rsidR="00511567" w:rsidRPr="00035DA8" w:rsidRDefault="00511567" w:rsidP="00CA14F7">
            <w:pPr>
              <w:pStyle w:val="TableTextLeft"/>
            </w:pPr>
          </w:p>
        </w:tc>
      </w:tr>
      <w:tr w:rsidR="00511567" w:rsidRPr="00035DA8" w14:paraId="513E54E8" w14:textId="77777777" w:rsidTr="00CA14F7">
        <w:trPr>
          <w:trHeight w:val="171"/>
        </w:trPr>
        <w:tc>
          <w:tcPr>
            <w:tcW w:w="4311" w:type="dxa"/>
            <w:vAlign w:val="center"/>
          </w:tcPr>
          <w:p w14:paraId="66B317CB" w14:textId="77777777" w:rsidR="00511567" w:rsidRPr="00035DA8" w:rsidRDefault="00511567" w:rsidP="00CA14F7">
            <w:pPr>
              <w:pStyle w:val="TableTextLeft"/>
            </w:pPr>
            <w:r w:rsidRPr="00035DA8">
              <w:t xml:space="preserve">Electricity (market based) </w:t>
            </w:r>
          </w:p>
        </w:tc>
        <w:tc>
          <w:tcPr>
            <w:tcW w:w="1071" w:type="dxa"/>
          </w:tcPr>
          <w:p w14:paraId="7FA4BAA8" w14:textId="348E9A61" w:rsidR="00511567" w:rsidRPr="00035DA8" w:rsidRDefault="00511567" w:rsidP="00CA14F7">
            <w:pPr>
              <w:pStyle w:val="TableTextLeft"/>
            </w:pPr>
            <w:r w:rsidRPr="00035DA8">
              <w:t>2</w:t>
            </w:r>
            <w:r w:rsidR="00840A05">
              <w:t>27.465</w:t>
            </w:r>
          </w:p>
        </w:tc>
        <w:tc>
          <w:tcPr>
            <w:tcW w:w="1134" w:type="dxa"/>
          </w:tcPr>
          <w:p w14:paraId="6D99BF28" w14:textId="5DC546B1" w:rsidR="00511567" w:rsidRPr="00035DA8" w:rsidRDefault="00840A05" w:rsidP="00CA14F7">
            <w:pPr>
              <w:pStyle w:val="TableTextLeft"/>
            </w:pPr>
            <w:r>
              <w:t>161.17</w:t>
            </w:r>
          </w:p>
        </w:tc>
        <w:tc>
          <w:tcPr>
            <w:tcW w:w="1690" w:type="dxa"/>
          </w:tcPr>
          <w:p w14:paraId="3E4752C0" w14:textId="7435CAC4" w:rsidR="00511567" w:rsidRPr="00035DA8" w:rsidRDefault="00840A05" w:rsidP="00CA14F7">
            <w:pPr>
              <w:pStyle w:val="TableTextLeft"/>
            </w:pPr>
            <w:r>
              <w:t>-29.15</w:t>
            </w:r>
            <w:r w:rsidR="00511567" w:rsidRPr="00035DA8">
              <w:t>%</w:t>
            </w:r>
          </w:p>
        </w:tc>
      </w:tr>
      <w:tr w:rsidR="00511567" w:rsidRPr="00035DA8" w14:paraId="7710779E" w14:textId="77777777" w:rsidTr="00CA14F7">
        <w:trPr>
          <w:trHeight w:val="177"/>
        </w:trPr>
        <w:tc>
          <w:tcPr>
            <w:tcW w:w="4311" w:type="dxa"/>
            <w:shd w:val="clear" w:color="auto" w:fill="EBF0FA"/>
            <w:vAlign w:val="center"/>
          </w:tcPr>
          <w:p w14:paraId="5F4C3B38" w14:textId="77777777" w:rsidR="00511567" w:rsidRPr="00050315" w:rsidRDefault="00511567" w:rsidP="00CA14F7">
            <w:pPr>
              <w:pStyle w:val="TableTextLeft"/>
              <w:rPr>
                <w:rStyle w:val="Strong"/>
              </w:rPr>
            </w:pPr>
            <w:r w:rsidRPr="00050315">
              <w:rPr>
                <w:rStyle w:val="Strong"/>
              </w:rPr>
              <w:t>Total Scope 1 and Scope 2</w:t>
            </w:r>
          </w:p>
        </w:tc>
        <w:tc>
          <w:tcPr>
            <w:tcW w:w="1071" w:type="dxa"/>
            <w:shd w:val="clear" w:color="auto" w:fill="EBF0FA"/>
          </w:tcPr>
          <w:p w14:paraId="0A88C59D" w14:textId="4EB0B292" w:rsidR="00511567" w:rsidRPr="00050315" w:rsidRDefault="00840A05" w:rsidP="00CA14F7">
            <w:pPr>
              <w:pStyle w:val="TableTextLeft"/>
              <w:rPr>
                <w:rStyle w:val="Strong"/>
              </w:rPr>
            </w:pPr>
            <w:r>
              <w:rPr>
                <w:rStyle w:val="Strong"/>
              </w:rPr>
              <w:t>229.659</w:t>
            </w:r>
          </w:p>
        </w:tc>
        <w:tc>
          <w:tcPr>
            <w:tcW w:w="1134" w:type="dxa"/>
            <w:shd w:val="clear" w:color="auto" w:fill="EBF0FA"/>
          </w:tcPr>
          <w:p w14:paraId="3C11CB96" w14:textId="6BBF5E22" w:rsidR="00511567" w:rsidRPr="00050315" w:rsidRDefault="00840A05" w:rsidP="00CA14F7">
            <w:pPr>
              <w:pStyle w:val="TableTextLeft"/>
              <w:rPr>
                <w:rStyle w:val="Strong"/>
              </w:rPr>
            </w:pPr>
            <w:r>
              <w:rPr>
                <w:rStyle w:val="Strong"/>
              </w:rPr>
              <w:t>164.76</w:t>
            </w:r>
          </w:p>
        </w:tc>
        <w:tc>
          <w:tcPr>
            <w:tcW w:w="1690" w:type="dxa"/>
            <w:shd w:val="clear" w:color="auto" w:fill="EBF0FA"/>
          </w:tcPr>
          <w:p w14:paraId="11BC1223" w14:textId="278B290D" w:rsidR="00511567" w:rsidRPr="00050315" w:rsidRDefault="00840A05" w:rsidP="00CA14F7">
            <w:pPr>
              <w:pStyle w:val="TableTextLeft"/>
              <w:rPr>
                <w:rStyle w:val="Strong"/>
              </w:rPr>
            </w:pPr>
            <w:r>
              <w:rPr>
                <w:rStyle w:val="Strong"/>
              </w:rPr>
              <w:t>-28.26</w:t>
            </w:r>
            <w:r w:rsidR="00511567" w:rsidRPr="00050315">
              <w:rPr>
                <w:rStyle w:val="Strong"/>
              </w:rPr>
              <w:t>%</w:t>
            </w:r>
          </w:p>
        </w:tc>
      </w:tr>
    </w:tbl>
    <w:p w14:paraId="4DC9DD5C" w14:textId="77777777" w:rsidR="00511567" w:rsidRPr="00035DA8" w:rsidRDefault="00511567" w:rsidP="00511567">
      <w:pPr>
        <w:pStyle w:val="ChartorTableNote"/>
      </w:pPr>
      <w:r w:rsidRPr="00035DA8">
        <w:t>Note:</w:t>
      </w:r>
      <w:r w:rsidRPr="00035DA8">
        <w:tab/>
        <w:t xml:space="preserve">The table above presents emissions related to electricity usage using the market-based accounting method. </w:t>
      </w:r>
    </w:p>
    <w:p w14:paraId="543E0117" w14:textId="77777777" w:rsidR="00511567" w:rsidRPr="00035DA8" w:rsidRDefault="00511567" w:rsidP="00511567">
      <w:pPr>
        <w:pStyle w:val="ChartorTableNote"/>
      </w:pPr>
      <w:r w:rsidRPr="00035DA8">
        <w:tab/>
        <w:t>CO</w:t>
      </w:r>
      <w:r w:rsidRPr="00035DA8">
        <w:rPr>
          <w:vertAlign w:val="subscript"/>
        </w:rPr>
        <w:t>2</w:t>
      </w:r>
      <w:r w:rsidRPr="00035DA8">
        <w:t>-e = carbon dioxide equivalent.</w:t>
      </w:r>
    </w:p>
    <w:p w14:paraId="69BCB40F" w14:textId="77777777" w:rsidR="00511567" w:rsidRPr="00035DA8" w:rsidRDefault="00511567" w:rsidP="00511567">
      <w:pPr>
        <w:pStyle w:val="ChartorTableNote"/>
        <w:ind w:left="720" w:hanging="720"/>
      </w:pPr>
      <w:r w:rsidRPr="00035DA8">
        <w:t>(a)</w:t>
      </w:r>
      <w:r w:rsidRPr="00035DA8">
        <w:tab/>
        <w:t>Emissions reported may differ from previously published emissions due to reconciliation of natural gas and electricity data or updates to emission factors and calculation methods. See 2025–26 Net Zero in Government Operations Annual Progress Report for details regarding emission factors and calculation methods updates.</w:t>
      </w:r>
    </w:p>
    <w:bookmarkEnd w:id="30"/>
    <w:p w14:paraId="07548216" w14:textId="77777777" w:rsidR="00511567" w:rsidRPr="00035DA8" w:rsidRDefault="00511567" w:rsidP="00511567"/>
    <w:p w14:paraId="22CB20C2" w14:textId="77777777" w:rsidR="000042CB" w:rsidRDefault="000042CB" w:rsidP="00511567"/>
    <w:sectPr w:rsidR="000042CB" w:rsidSect="00295B30">
      <w:headerReference w:type="even" r:id="rId43"/>
      <w:headerReference w:type="default" r:id="rId44"/>
      <w:footerReference w:type="even" r:id="rId45"/>
      <w:footerReference w:type="default" r:id="rId46"/>
      <w:headerReference w:type="first" r:id="rId47"/>
      <w:footerReference w:type="first" r:id="rId48"/>
      <w:pgSz w:w="11906" w:h="16838" w:code="9"/>
      <w:pgMar w:top="1843"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27025" w14:textId="77777777" w:rsidR="004940E0" w:rsidRDefault="004940E0">
      <w:pPr>
        <w:spacing w:before="0" w:after="0"/>
      </w:pPr>
      <w:r>
        <w:separator/>
      </w:r>
    </w:p>
  </w:endnote>
  <w:endnote w:type="continuationSeparator" w:id="0">
    <w:p w14:paraId="47630E37" w14:textId="77777777" w:rsidR="004940E0" w:rsidRDefault="004940E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351CB" w14:textId="11F08EED" w:rsidR="00797994" w:rsidRDefault="003D144A" w:rsidP="003D144A">
    <w:pPr>
      <w:pStyle w:val="FooterEven"/>
      <w:jc w:val="both"/>
    </w:pPr>
    <w:r>
      <w:rPr>
        <w:noProof w:val="0"/>
      </w:rPr>
      <w:fldChar w:fldCharType="begin"/>
    </w:r>
    <w:r>
      <w:instrText xml:space="preserve"> PAGE   \* MERGEFORMAT </w:instrText>
    </w:r>
    <w:r>
      <w:rPr>
        <w:noProof w:val="0"/>
      </w:rPr>
      <w:fldChar w:fldCharType="separate"/>
    </w:r>
    <w:r>
      <w:rPr>
        <w:noProof w:val="0"/>
      </w:rPr>
      <w:t>6</w:t>
    </w:r>
    <w:r>
      <w:fldChar w:fldCharType="end"/>
    </w:r>
    <w:r>
      <w:t xml:space="preserve"> | </w:t>
    </w:r>
    <w:fldSimple w:instr=" STYLEREF  &quot;Heading 1&quot;  \* MERGEFORMAT ">
      <w:r w:rsidR="00FC7F0B">
        <w:t>Contents</w:t>
      </w:r>
    </w:fldSimple>
    <w:r>
      <w:tab/>
    </w:r>
    <w:r w:rsidRPr="00103F3C">
      <w:rPr>
        <w:position w:val="-8"/>
      </w:rPr>
      <w:drawing>
        <wp:inline distT="0" distB="0" distL="0" distR="0" wp14:anchorId="23AD0B60" wp14:editId="409A3259">
          <wp:extent cx="1324800" cy="201600"/>
          <wp:effectExtent l="0" t="0" r="0" b="8255"/>
          <wp:docPr id="603865130" name="Picture 603865130"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324800" cy="20160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95ECA" w14:textId="77777777" w:rsidR="00B55B04" w:rsidRDefault="00B55B04" w:rsidP="00EE1447">
    <w:pPr>
      <w:pStyle w:val="FooterEven"/>
    </w:pPr>
    <w:r>
      <w:drawing>
        <wp:anchor distT="0" distB="0" distL="114300" distR="114300" simplePos="0" relativeHeight="251658240" behindDoc="1" locked="0" layoutInCell="1" allowOverlap="0" wp14:anchorId="6C74AB68" wp14:editId="26CA8BB1">
          <wp:simplePos x="0" y="0"/>
          <wp:positionH relativeFrom="margin">
            <wp:align>left</wp:align>
          </wp:positionH>
          <wp:positionV relativeFrom="page">
            <wp:posOffset>10048875</wp:posOffset>
          </wp:positionV>
          <wp:extent cx="1324800" cy="201600"/>
          <wp:effectExtent l="0" t="0" r="0" b="8255"/>
          <wp:wrapTight wrapText="bothSides">
            <wp:wrapPolygon edited="0">
              <wp:start x="0" y="0"/>
              <wp:lineTo x="0" y="16353"/>
              <wp:lineTo x="2174" y="20442"/>
              <wp:lineTo x="9630" y="20442"/>
              <wp:lineTo x="13979" y="20442"/>
              <wp:lineTo x="21124" y="20442"/>
              <wp:lineTo x="20813" y="4088"/>
              <wp:lineTo x="1553" y="0"/>
              <wp:lineTo x="0" y="0"/>
            </wp:wrapPolygon>
          </wp:wrapTight>
          <wp:docPr id="14" name="Picture 1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324800" cy="201600"/>
                  </a:xfrm>
                  <a:prstGeom prst="rect">
                    <a:avLst/>
                  </a:prstGeom>
                </pic:spPr>
              </pic:pic>
            </a:graphicData>
          </a:graphic>
          <wp14:sizeRelH relativeFrom="margin">
            <wp14:pctWidth>0</wp14:pctWidth>
          </wp14:sizeRelH>
          <wp14:sizeRelV relativeFrom="margin">
            <wp14:pctHeight>0</wp14:pctHeight>
          </wp14:sizeRelV>
        </wp:anchor>
      </w:drawing>
    </w:r>
    <w:r>
      <w:ptab w:relativeTo="margin" w:alignment="center" w:leader="none"/>
    </w:r>
    <w:r>
      <w:ptab w:relativeTo="margin" w:alignment="right" w:leader="none"/>
    </w:r>
    <w:fldSimple w:instr=" STYLEREF  &quot;Heading 1&quot;  \* MERGEFORMAT ">
      <w:r w:rsidR="00A71ED1">
        <w:t>Using Treasury templates</w:t>
      </w:r>
    </w:fldSimple>
    <w:r>
      <w:t xml:space="preserve"> | </w:t>
    </w:r>
    <w:r>
      <w:rPr>
        <w:noProof w:val="0"/>
      </w:rPr>
      <w:fldChar w:fldCharType="begin"/>
    </w:r>
    <w:r>
      <w:instrText xml:space="preserve"> PAGE   \* MERGEFORMAT </w:instrText>
    </w:r>
    <w:r>
      <w:rPr>
        <w:noProof w:val="0"/>
      </w:rP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77FA6" w14:textId="4BDD86BB" w:rsidR="00B55B04" w:rsidRDefault="00B55B04" w:rsidP="00962ACF">
    <w:pPr>
      <w:pStyle w:val="FooterOdd"/>
    </w:pPr>
    <w:r w:rsidRPr="00103F3C">
      <w:rPr>
        <w:noProof/>
        <w:position w:val="-8"/>
      </w:rPr>
      <w:drawing>
        <wp:inline distT="0" distB="0" distL="0" distR="0" wp14:anchorId="48B367CF" wp14:editId="418656AF">
          <wp:extent cx="1324800" cy="201600"/>
          <wp:effectExtent l="0" t="0" r="0" b="8255"/>
          <wp:docPr id="15" name="Picture 15"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324800" cy="201600"/>
                  </a:xfrm>
                  <a:prstGeom prst="rect">
                    <a:avLst/>
                  </a:prstGeom>
                </pic:spPr>
              </pic:pic>
            </a:graphicData>
          </a:graphic>
        </wp:inline>
      </w:drawing>
    </w:r>
    <w:r w:rsidR="00103F3C">
      <w:tab/>
    </w:r>
    <w:fldSimple w:instr=" STYLEREF  &quot;Heading 1&quot;  \* MERGEFORMAT ">
      <w:r w:rsidR="00FC7F0B">
        <w:rPr>
          <w:noProof/>
        </w:rPr>
        <w:t>Contents</w:t>
      </w:r>
    </w:fldSimple>
    <w:r>
      <w:rPr>
        <w:noProof/>
      </w:rPr>
      <w:t xml:space="preserve"> </w:t>
    </w:r>
    <w:r>
      <w:t xml:space="preserve">| </w:t>
    </w:r>
    <w:r>
      <w:fldChar w:fldCharType="begin"/>
    </w:r>
    <w:r>
      <w:instrText xml:space="preserve"> PAGE   \* MERGEFORMAT </w:instrText>
    </w:r>
    <w:r>
      <w:fldChar w:fldCharType="separate"/>
    </w:r>
    <w: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8F717" w14:textId="4FD595D9" w:rsidR="00672B5D" w:rsidRDefault="00672B5D" w:rsidP="00BC6E69">
    <w:pPr>
      <w:pStyle w:val="FooterEven"/>
      <w:jc w:val="both"/>
    </w:pPr>
    <w:r>
      <w:t xml:space="preserve"> </w:t>
    </w:r>
    <w:r>
      <w:rPr>
        <w:noProof w:val="0"/>
      </w:rPr>
      <w:fldChar w:fldCharType="begin"/>
    </w:r>
    <w:r>
      <w:instrText xml:space="preserve"> PAGE   \* MERGEFORMAT </w:instrText>
    </w:r>
    <w:r>
      <w:rPr>
        <w:noProof w:val="0"/>
      </w:rPr>
      <w:fldChar w:fldCharType="separate"/>
    </w:r>
    <w:r>
      <w:rPr>
        <w:noProof w:val="0"/>
      </w:rPr>
      <w:t>2</w:t>
    </w:r>
    <w:r>
      <w:fldChar w:fldCharType="end"/>
    </w:r>
    <w:r>
      <w:t xml:space="preserve"> | </w:t>
    </w:r>
    <w:fldSimple w:instr=" STYLEREF  &quot;Heading 1&quot;  \* MERGEFORMAT ">
      <w:r w:rsidR="00FC7F0B">
        <w:t>Commonwealth Climate Disclosure Report</w:t>
      </w:r>
    </w:fldSimple>
    <w:r w:rsidR="00103F3C">
      <w:tab/>
    </w:r>
    <w:r w:rsidR="00103F3C" w:rsidRPr="00103F3C">
      <w:rPr>
        <w:position w:val="-8"/>
      </w:rPr>
      <w:drawing>
        <wp:inline distT="0" distB="0" distL="0" distR="0" wp14:anchorId="1E7F4024" wp14:editId="12CC6106">
          <wp:extent cx="1324800" cy="201600"/>
          <wp:effectExtent l="0" t="0" r="0" b="8255"/>
          <wp:docPr id="29" name="Picture 29"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324800" cy="201600"/>
                  </a:xfrm>
                  <a:prstGeom prst="rect">
                    <a:avLst/>
                  </a:prstGeom>
                </pic:spPr>
              </pic:pic>
            </a:graphicData>
          </a:graphic>
        </wp:inline>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4CA45" w14:textId="77777777" w:rsidR="00095D88" w:rsidRPr="00095D88" w:rsidRDefault="00095D88" w:rsidP="00095D8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B440B" w14:textId="0637883C" w:rsidR="00AB2DC2" w:rsidRDefault="00AB2DC2" w:rsidP="00BC6E69">
    <w:pPr>
      <w:pStyle w:val="FooterEven"/>
      <w:jc w:val="both"/>
    </w:pPr>
    <w:r>
      <mc:AlternateContent>
        <mc:Choice Requires="wps">
          <w:drawing>
            <wp:anchor distT="0" distB="0" distL="114300" distR="114300" simplePos="0" relativeHeight="251658246" behindDoc="0" locked="0" layoutInCell="1" allowOverlap="1" wp14:anchorId="1B720E43" wp14:editId="0199D71E">
              <wp:simplePos x="0" y="0"/>
              <wp:positionH relativeFrom="column">
                <wp:posOffset>-541986</wp:posOffset>
              </wp:positionH>
              <wp:positionV relativeFrom="margin">
                <wp:align>top</wp:align>
              </wp:positionV>
              <wp:extent cx="360000" cy="5748793"/>
              <wp:effectExtent l="0" t="0" r="2540" b="4445"/>
              <wp:wrapNone/>
              <wp:docPr id="531642968" name="Text Box 9" title="LandscapeOdd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00" cy="5748793"/>
                      </a:xfrm>
                      <a:prstGeom prst="rect">
                        <a:avLst/>
                      </a:prstGeom>
                      <a:no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5D4A0F" w14:textId="155B6C05" w:rsidR="00AB2DC2" w:rsidRDefault="00AB2DC2" w:rsidP="00EF03E1">
                          <w:pPr>
                            <w:pStyle w:val="FooterEven"/>
                            <w:tabs>
                              <w:tab w:val="center" w:pos="9072"/>
                            </w:tabs>
                          </w:pPr>
                          <w:r>
                            <w:fldChar w:fldCharType="begin"/>
                          </w:r>
                          <w:r>
                            <w:instrText xml:space="preserve"> PAGE   \* MERGEFORMAT </w:instrText>
                          </w:r>
                          <w:r>
                            <w:fldChar w:fldCharType="separate"/>
                          </w:r>
                          <w:r>
                            <w:t>3</w:t>
                          </w:r>
                          <w:r>
                            <w:fldChar w:fldCharType="end"/>
                          </w:r>
                          <w:r>
                            <w:t xml:space="preserve"> | </w:t>
                          </w:r>
                          <w:fldSimple w:instr=" STYLEREF  &quot;Heading 1&quot;  \* MERGEFORMAT ">
                            <w:r w:rsidR="00FC7F0B">
                              <w:t>Commonwealth Climate Disclosure Report</w:t>
                            </w:r>
                          </w:fldSimple>
                          <w:r>
                            <w:tab/>
                          </w:r>
                          <w:r w:rsidRPr="00EF03E1">
                            <w:rPr>
                              <w:position w:val="-10"/>
                            </w:rPr>
                            <w:drawing>
                              <wp:inline distT="0" distB="0" distL="0" distR="0" wp14:anchorId="25DB1DB5" wp14:editId="620F763A">
                                <wp:extent cx="1324800" cy="201600"/>
                                <wp:effectExtent l="9207" t="0" r="0" b="0"/>
                                <wp:docPr id="1785401771" name="Picture 8"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Logo&#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rot="5400000">
                                          <a:off x="0" y="0"/>
                                          <a:ext cx="1324800" cy="201600"/>
                                        </a:xfrm>
                                        <a:prstGeom prst="rect">
                                          <a:avLst/>
                                        </a:prstGeom>
                                      </pic:spPr>
                                    </pic:pic>
                                  </a:graphicData>
                                </a:graphic>
                              </wp:inline>
                            </w:drawing>
                          </w:r>
                        </w:p>
                      </w:txbxContent>
                    </wps:txbx>
                    <wps:bodyPr rot="0" vert="vert"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B720E43" id="_x0000_t202" coordsize="21600,21600" o:spt="202" path="m,l,21600r21600,l21600,xe">
              <v:stroke joinstyle="miter"/>
              <v:path gradientshapeok="t" o:connecttype="rect"/>
            </v:shapetype>
            <v:shape id="Text Box 9" o:spid="_x0000_s1026" type="#_x0000_t202" alt="Title: LandscapeOddFooter" style="position:absolute;left:0;text-align:left;margin-left:-42.7pt;margin-top:0;width:28.35pt;height:452.65pt;z-index:251658246;visibility:visible;mso-wrap-style:square;mso-width-percent:0;mso-height-percent:0;mso-wrap-distance-left:9pt;mso-wrap-distance-top:0;mso-wrap-distance-right:9pt;mso-wrap-distance-bottom:0;mso-position-horizontal:absolute;mso-position-horizontal-relative:text;mso-position-vertical:top;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qZT1gEAAJMDAAAOAAAAZHJzL2Uyb0RvYy54bWysU9tu2zAMfR+wfxD0vthpt16MOEXXosOA&#10;7gK0+wBZlmxjtqiRSuz8/Sg5Tnd5G+YHgaKoo3MO6c3NNPRib5A6cKVcr3IpjNNQd64p5bfnhzdX&#10;UlBQrlY9OFPKgyF5s339ajP6wpxBC31tUDCIo2L0pWxD8EWWkW7NoGgF3jg+tICDCrzFJqtRjYw+&#10;9NlZnl9kI2DtEbQh4uz9fCi3Cd9ao8MXa8kE0ZeSuYW0YlqruGbbjSoaVL7t9JGG+gcWg+ocP3qC&#10;uldBiR12f0ENnUYgsGGlYcjA2k6bpIHVrPM/1Dy1ypukhc0hf7KJ/h+s/rx/8l9RhOk9TNzAJIL8&#10;I+jvJBzctco15hYRxtaomh9eR8uy0VNxvBqtpoIiSDV+gpqbrHYBEtBkcYiusE7B6NyAw8l0MwWh&#10;OXl+kfMnheajd5dvry6vz9MTqlhue6TwwcAgYlBK5KYmdLV/pBDZqGIpiY85eOj6PjW2d78luDBm&#10;EvtIeKYepmri6qiigvrAOhDmOeG55iCuUow8I6WkHzuFRor+o2Mv4kAtAS5BtQTK6RZ41HRAKebN&#10;XZhHb+exa1rGnv12cMuO2S6JeeFxZMqdTxqPUxpH69d9qnr5l7Y/AQAA//8DAFBLAwQUAAYACAAA&#10;ACEADusgJd8AAAAIAQAADwAAAGRycy9kb3ducmV2LnhtbEyPwU7DMBBE70j8g7VI3FKbQCANcSqo&#10;hBA9VGoBcXXjJU6J15HttuHvMSc4jmY086ZeTHZgR/ShdyThaiaAIbVO99RJeHt9ykpgISrSanCE&#10;Er4xwKI5P6tVpd2JNnjcxo6lEgqVkmBiHCvOQ2vQqjBzI1LyPp23KibpO669OqVyO/BciFtuVU9p&#10;wagRlwbbr+3BSlibd1o9i49ivs+Xvl33j/uXaSPl5cX0cA8s4hT/wvCLn9ChSUw7dyAd2CAhK4ub&#10;FJWQHiU7y8s7YDsJc1FcA29q/v9A8wMAAP//AwBQSwECLQAUAAYACAAAACEAtoM4kv4AAADhAQAA&#10;EwAAAAAAAAAAAAAAAAAAAAAAW0NvbnRlbnRfVHlwZXNdLnhtbFBLAQItABQABgAIAAAAIQA4/SH/&#10;1gAAAJQBAAALAAAAAAAAAAAAAAAAAC8BAABfcmVscy8ucmVsc1BLAQItABQABgAIAAAAIQAHFqZT&#10;1gEAAJMDAAAOAAAAAAAAAAAAAAAAAC4CAABkcnMvZTJvRG9jLnhtbFBLAQItABQABgAIAAAAIQAO&#10;6yAl3wAAAAgBAAAPAAAAAAAAAAAAAAAAADAEAABkcnMvZG93bnJldi54bWxQSwUGAAAAAAQABADz&#10;AAAAPAUAAAAA&#10;" filled="f" stroked="f">
              <v:textbox style="layout-flow:vertical" inset="0,0,0,0">
                <w:txbxContent>
                  <w:p w14:paraId="355D4A0F" w14:textId="155B6C05" w:rsidR="00AB2DC2" w:rsidRDefault="00AB2DC2" w:rsidP="00EF03E1">
                    <w:pPr>
                      <w:pStyle w:val="FooterEven"/>
                      <w:tabs>
                        <w:tab w:val="center" w:pos="9072"/>
                      </w:tabs>
                    </w:pPr>
                    <w:r>
                      <w:fldChar w:fldCharType="begin"/>
                    </w:r>
                    <w:r>
                      <w:instrText xml:space="preserve"> PAGE   \* MERGEFORMAT </w:instrText>
                    </w:r>
                    <w:r>
                      <w:fldChar w:fldCharType="separate"/>
                    </w:r>
                    <w:r>
                      <w:t>3</w:t>
                    </w:r>
                    <w:r>
                      <w:fldChar w:fldCharType="end"/>
                    </w:r>
                    <w:r>
                      <w:t xml:space="preserve"> | </w:t>
                    </w:r>
                    <w:fldSimple w:instr=" STYLEREF  &quot;Heading 1&quot;  \* MERGEFORMAT ">
                      <w:r w:rsidR="00FC7F0B">
                        <w:t>Commonwealth Climate Disclosure Report</w:t>
                      </w:r>
                    </w:fldSimple>
                    <w:r>
                      <w:tab/>
                    </w:r>
                    <w:r w:rsidRPr="00EF03E1">
                      <w:rPr>
                        <w:position w:val="-10"/>
                      </w:rPr>
                      <w:drawing>
                        <wp:inline distT="0" distB="0" distL="0" distR="0" wp14:anchorId="25DB1DB5" wp14:editId="620F763A">
                          <wp:extent cx="1324800" cy="201600"/>
                          <wp:effectExtent l="9207" t="0" r="0" b="0"/>
                          <wp:docPr id="1785401771" name="Picture 8"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Logo&#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rot="5400000">
                                    <a:off x="0" y="0"/>
                                    <a:ext cx="1324800" cy="201600"/>
                                  </a:xfrm>
                                  <a:prstGeom prst="rect">
                                    <a:avLst/>
                                  </a:prstGeom>
                                </pic:spPr>
                              </pic:pic>
                            </a:graphicData>
                          </a:graphic>
                        </wp:inline>
                      </w:drawing>
                    </w:r>
                  </w:p>
                </w:txbxContent>
              </v:textbox>
              <w10:wrap anchory="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83E75" w14:textId="0EF0E1F4" w:rsidR="00AB2DC2" w:rsidRDefault="00AB2DC2" w:rsidP="003D144A">
    <w:pPr>
      <w:pStyle w:val="FooterEven"/>
      <w:jc w:val="both"/>
    </w:pPr>
    <w:r>
      <mc:AlternateContent>
        <mc:Choice Requires="wps">
          <w:drawing>
            <wp:anchor distT="0" distB="0" distL="114300" distR="114300" simplePos="0" relativeHeight="251658245" behindDoc="0" locked="0" layoutInCell="1" allowOverlap="1" wp14:anchorId="4A18F5B1" wp14:editId="3A96514B">
              <wp:simplePos x="0" y="0"/>
              <wp:positionH relativeFrom="column">
                <wp:posOffset>-541986</wp:posOffset>
              </wp:positionH>
              <wp:positionV relativeFrom="margin">
                <wp:align>top</wp:align>
              </wp:positionV>
              <wp:extent cx="360000" cy="5748793"/>
              <wp:effectExtent l="0" t="0" r="2540" b="4445"/>
              <wp:wrapNone/>
              <wp:docPr id="663512730" name="Text Box 11" title="LandscapeOdd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00" cy="5748793"/>
                      </a:xfrm>
                      <a:prstGeom prst="rect">
                        <a:avLst/>
                      </a:prstGeom>
                      <a:no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EB5581" w14:textId="4C718B4B" w:rsidR="00AB2DC2" w:rsidRDefault="00AB2DC2" w:rsidP="00195C8E">
                          <w:pPr>
                            <w:pStyle w:val="FooterEven"/>
                            <w:tabs>
                              <w:tab w:val="center" w:pos="9072"/>
                            </w:tabs>
                          </w:pPr>
                          <w:r w:rsidRPr="00EF03E1">
                            <w:rPr>
                              <w:position w:val="-10"/>
                            </w:rPr>
                            <w:drawing>
                              <wp:inline distT="0" distB="0" distL="0" distR="0" wp14:anchorId="08C5797C" wp14:editId="1AD24013">
                                <wp:extent cx="1324800" cy="201600"/>
                                <wp:effectExtent l="9207" t="0" r="0" b="0"/>
                                <wp:docPr id="1177929752" name="Picture 10"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Logo&#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rot="5400000">
                                          <a:off x="0" y="0"/>
                                          <a:ext cx="1324800" cy="201600"/>
                                        </a:xfrm>
                                        <a:prstGeom prst="rect">
                                          <a:avLst/>
                                        </a:prstGeom>
                                      </pic:spPr>
                                    </pic:pic>
                                  </a:graphicData>
                                </a:graphic>
                              </wp:inline>
                            </w:drawing>
                          </w:r>
                          <w:r>
                            <w:tab/>
                          </w:r>
                          <w:r>
                            <w:fldChar w:fldCharType="begin"/>
                          </w:r>
                          <w:r>
                            <w:instrText xml:space="preserve"> PAGE   \* MERGEFORMAT </w:instrText>
                          </w:r>
                          <w:r>
                            <w:fldChar w:fldCharType="separate"/>
                          </w:r>
                          <w:r>
                            <w:t>4</w:t>
                          </w:r>
                          <w:r>
                            <w:fldChar w:fldCharType="end"/>
                          </w:r>
                          <w:r>
                            <w:t xml:space="preserve"> | </w:t>
                          </w:r>
                          <w:fldSimple w:instr=" STYLEREF  &quot;Heading 1&quot;  \* MERGEFORMAT ">
                            <w:r w:rsidR="00FC7F0B">
                              <w:t>Commonwealth Climate Disclosure Report</w:t>
                            </w:r>
                          </w:fldSimple>
                        </w:p>
                        <w:p w14:paraId="343C298E" w14:textId="77777777" w:rsidR="00AB2DC2" w:rsidRDefault="00AB2DC2" w:rsidP="00EF03E1">
                          <w:pPr>
                            <w:pStyle w:val="FooterOdd"/>
                            <w:ind w:firstLine="720"/>
                          </w:pPr>
                        </w:p>
                      </w:txbxContent>
                    </wps:txbx>
                    <wps:bodyPr rot="0" vert="vert"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8F5B1" id="_x0000_t202" coordsize="21600,21600" o:spt="202" path="m,l,21600r21600,l21600,xe">
              <v:stroke joinstyle="miter"/>
              <v:path gradientshapeok="t" o:connecttype="rect"/>
            </v:shapetype>
            <v:shape id="Text Box 11" o:spid="_x0000_s1027" type="#_x0000_t202" alt="Title: LandscapeOddFooter" style="position:absolute;left:0;text-align:left;margin-left:-42.7pt;margin-top:0;width:28.35pt;height:452.65pt;z-index:251658245;visibility:visible;mso-wrap-style:square;mso-width-percent:0;mso-height-percent:0;mso-wrap-distance-left:9pt;mso-wrap-distance-top:0;mso-wrap-distance-right:9pt;mso-wrap-distance-bottom:0;mso-position-horizontal:absolute;mso-position-horizontal-relative:text;mso-position-vertical:top;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qpU2AEAAJoDAAAOAAAAZHJzL2Uyb0RvYy54bWysU9lu2zAQfC/QfyD4XstO2hyC5SBNkKJA&#10;egBJP2BFURJRicsuaUv++y4pyenxVlQPxPIazsyOtjdj34mDJm/QFnKzWkuhrcLK2KaQ354f3lxJ&#10;4QPYCjq0upBH7eXN7vWr7eByfYYtdpUmwSDW54MrZBuCy7PMq1b34FfotOXNGqmHwFNqsopgYPS+&#10;y87W64tsQKocodLe8+r9tCl3Cb+utQpf6trrILpCMreQRkpjGcdst4W8IXCtUTMN+AcWPRjLj56g&#10;7iGA2JP5C6o3itBjHVYK+wzr2iidNLCazfoPNU8tOJ20sDnenWzy/w9WfT48ua8kwvgeR25gEuHd&#10;I6rvXli8a8E2+pYIh1ZDxQ9vomXZ4Hw+X41W+9xHkHL4hBU3GfYBE9BYUx9dYZ2C0bkBx5PpegxC&#10;8eL5xZo/KRRvvbt8e3V5fZ6egHy57ciHDxp7EYtCEjc1ocPh0YfIBvLlSHzM4oPputTYzv62wAfj&#10;SmIfCU/Uw1iOwlSztCimxOrIcginuHC8uYijFANHpZD+xx5IS9F9tGxJzNVS0FKUSwFWtciJU4Gk&#10;mCZ3YUrg3pFpWsaebLd4y8bVJml64TET5gAkqXNYY8J+nadTL7/U7icAAAD//wMAUEsDBBQABgAI&#10;AAAAIQAO6yAl3wAAAAgBAAAPAAAAZHJzL2Rvd25yZXYueG1sTI/BTsMwEETvSPyDtUjcUptAIA1x&#10;KqiEED1UagFxdeMlTonXke224e8xJziOZjTzpl5MdmBH9KF3JOFqJoAhtU731El4e33KSmAhKtJq&#10;cIQSvjHAojk/q1Wl3Yk2eNzGjqUSCpWSYGIcK85Da9CqMHMjUvI+nbcqJuk7rr06pXI78FyIW25V&#10;T2nBqBGXBtuv7cFKWJt3Wj2Lj2K+z5e+XfeP+5dpI+XlxfRwDyziFP/C8Iuf0KFJTDt3IB3YICEr&#10;i5sUlZAeJTvLyztgOwlzUVwDb2r+/0DzAwAA//8DAFBLAQItABQABgAIAAAAIQC2gziS/gAAAOEB&#10;AAATAAAAAAAAAAAAAAAAAAAAAABbQ29udGVudF9UeXBlc10ueG1sUEsBAi0AFAAGAAgAAAAhADj9&#10;If/WAAAAlAEAAAsAAAAAAAAAAAAAAAAALwEAAF9yZWxzLy5yZWxzUEsBAi0AFAAGAAgAAAAhAEWO&#10;qlTYAQAAmgMAAA4AAAAAAAAAAAAAAAAALgIAAGRycy9lMm9Eb2MueG1sUEsBAi0AFAAGAAgAAAAh&#10;AA7rICXfAAAACAEAAA8AAAAAAAAAAAAAAAAAMgQAAGRycy9kb3ducmV2LnhtbFBLBQYAAAAABAAE&#10;APMAAAA+BQAAAAA=&#10;" filled="f" stroked="f">
              <v:textbox style="layout-flow:vertical" inset="0,0,0,0">
                <w:txbxContent>
                  <w:p w14:paraId="59EB5581" w14:textId="4C718B4B" w:rsidR="00AB2DC2" w:rsidRDefault="00AB2DC2" w:rsidP="00195C8E">
                    <w:pPr>
                      <w:pStyle w:val="FooterEven"/>
                      <w:tabs>
                        <w:tab w:val="center" w:pos="9072"/>
                      </w:tabs>
                    </w:pPr>
                    <w:r w:rsidRPr="00EF03E1">
                      <w:rPr>
                        <w:position w:val="-10"/>
                      </w:rPr>
                      <w:drawing>
                        <wp:inline distT="0" distB="0" distL="0" distR="0" wp14:anchorId="08C5797C" wp14:editId="1AD24013">
                          <wp:extent cx="1324800" cy="201600"/>
                          <wp:effectExtent l="9207" t="0" r="0" b="0"/>
                          <wp:docPr id="1177929752" name="Picture 10"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Logo&#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rot="5400000">
                                    <a:off x="0" y="0"/>
                                    <a:ext cx="1324800" cy="201600"/>
                                  </a:xfrm>
                                  <a:prstGeom prst="rect">
                                    <a:avLst/>
                                  </a:prstGeom>
                                </pic:spPr>
                              </pic:pic>
                            </a:graphicData>
                          </a:graphic>
                        </wp:inline>
                      </w:drawing>
                    </w:r>
                    <w:r>
                      <w:tab/>
                    </w:r>
                    <w:r>
                      <w:fldChar w:fldCharType="begin"/>
                    </w:r>
                    <w:r>
                      <w:instrText xml:space="preserve"> PAGE   \* MERGEFORMAT </w:instrText>
                    </w:r>
                    <w:r>
                      <w:fldChar w:fldCharType="separate"/>
                    </w:r>
                    <w:r>
                      <w:t>4</w:t>
                    </w:r>
                    <w:r>
                      <w:fldChar w:fldCharType="end"/>
                    </w:r>
                    <w:r>
                      <w:t xml:space="preserve"> | </w:t>
                    </w:r>
                    <w:fldSimple w:instr=" STYLEREF  &quot;Heading 1&quot;  \* MERGEFORMAT ">
                      <w:r w:rsidR="00FC7F0B">
                        <w:t>Commonwealth Climate Disclosure Report</w:t>
                      </w:r>
                    </w:fldSimple>
                  </w:p>
                  <w:p w14:paraId="343C298E" w14:textId="77777777" w:rsidR="00AB2DC2" w:rsidRDefault="00AB2DC2" w:rsidP="00EF03E1">
                    <w:pPr>
                      <w:pStyle w:val="FooterOdd"/>
                      <w:ind w:firstLine="720"/>
                    </w:pPr>
                  </w:p>
                </w:txbxContent>
              </v:textbox>
              <w10:wrap anchory="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7A010" w14:textId="77777777" w:rsidR="00AB2DC2" w:rsidRPr="00095D88" w:rsidRDefault="00AB2DC2" w:rsidP="00095D8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65215" w14:textId="3354DE77" w:rsidR="0052530D" w:rsidRDefault="0052530D" w:rsidP="00BC6E69">
    <w:pPr>
      <w:pStyle w:val="FooterEven"/>
      <w:jc w:val="both"/>
    </w:pPr>
    <w:r>
      <w:t xml:space="preserve"> </w:t>
    </w:r>
    <w:r>
      <w:rPr>
        <w:noProof w:val="0"/>
      </w:rPr>
      <w:fldChar w:fldCharType="begin"/>
    </w:r>
    <w:r>
      <w:instrText xml:space="preserve"> PAGE   \* MERGEFORMAT </w:instrText>
    </w:r>
    <w:r>
      <w:rPr>
        <w:noProof w:val="0"/>
      </w:rPr>
      <w:fldChar w:fldCharType="separate"/>
    </w:r>
    <w:r>
      <w:rPr>
        <w:noProof w:val="0"/>
      </w:rPr>
      <w:t>2</w:t>
    </w:r>
    <w:r>
      <w:fldChar w:fldCharType="end"/>
    </w:r>
    <w:r>
      <w:t xml:space="preserve"> | </w:t>
    </w:r>
    <w:fldSimple w:instr=" STYLEREF  &quot;Heading 1&quot;  \* MERGEFORMAT ">
      <w:r w:rsidR="00FC7F0B">
        <w:t>Commonwealth Climate Disclosure Report</w:t>
      </w:r>
    </w:fldSimple>
    <w:r>
      <w:tab/>
    </w:r>
    <w:r w:rsidRPr="00103F3C">
      <w:rPr>
        <w:position w:val="-8"/>
      </w:rPr>
      <w:drawing>
        <wp:inline distT="0" distB="0" distL="0" distR="0" wp14:anchorId="4D678E33" wp14:editId="18C71891">
          <wp:extent cx="1324800" cy="201600"/>
          <wp:effectExtent l="0" t="0" r="0" b="8255"/>
          <wp:docPr id="896654950" name="Picture 896654950"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324800" cy="201600"/>
                  </a:xfrm>
                  <a:prstGeom prst="rect">
                    <a:avLst/>
                  </a:prstGeom>
                </pic:spPr>
              </pic:pic>
            </a:graphicData>
          </a:graphic>
        </wp:inline>
      </w:drawing>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E1D0D" w14:textId="45824291" w:rsidR="0052530D" w:rsidRDefault="0052530D" w:rsidP="003D144A">
    <w:pPr>
      <w:pStyle w:val="FooterEven"/>
      <w:jc w:val="both"/>
    </w:pPr>
    <w:r>
      <w:rPr>
        <w:noProof w:val="0"/>
      </w:rPr>
      <w:fldChar w:fldCharType="begin"/>
    </w:r>
    <w:r>
      <w:instrText xml:space="preserve"> PAGE   \* MERGEFORMAT </w:instrText>
    </w:r>
    <w:r>
      <w:rPr>
        <w:noProof w:val="0"/>
      </w:rPr>
      <w:fldChar w:fldCharType="separate"/>
    </w:r>
    <w:r>
      <w:rPr>
        <w:noProof w:val="0"/>
      </w:rPr>
      <w:t>6</w:t>
    </w:r>
    <w:r>
      <w:fldChar w:fldCharType="end"/>
    </w:r>
    <w:r>
      <w:t xml:space="preserve"> | </w:t>
    </w:r>
    <w:fldSimple w:instr=" STYLEREF  &quot;Heading 1&quot;  \* MERGEFORMAT ">
      <w:r w:rsidR="00FC7F0B">
        <w:t>Commonwealth Climate Disclosure Report</w:t>
      </w:r>
    </w:fldSimple>
    <w:r>
      <w:tab/>
    </w:r>
    <w:r w:rsidRPr="00103F3C">
      <w:rPr>
        <w:position w:val="-8"/>
      </w:rPr>
      <w:drawing>
        <wp:inline distT="0" distB="0" distL="0" distR="0" wp14:anchorId="13ED46CE" wp14:editId="10C20077">
          <wp:extent cx="1324800" cy="201600"/>
          <wp:effectExtent l="0" t="0" r="0" b="8255"/>
          <wp:docPr id="542934627" name="Picture 542934627"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324800" cy="201600"/>
                  </a:xfrm>
                  <a:prstGeom prst="rect">
                    <a:avLst/>
                  </a:prstGeom>
                </pic:spPr>
              </pic:pic>
            </a:graphicData>
          </a:graphic>
        </wp:inline>
      </w:drawing>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BE092" w14:textId="77777777" w:rsidR="0052530D" w:rsidRPr="00095D88" w:rsidRDefault="0052530D" w:rsidP="00095D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66714" w14:textId="77777777" w:rsidR="004940E0" w:rsidRPr="00ED5A20" w:rsidRDefault="004940E0" w:rsidP="000F6233">
      <w:pPr>
        <w:rPr>
          <w:color w:val="4D7861" w:themeColor="accent2"/>
        </w:rPr>
      </w:pPr>
      <w:r w:rsidRPr="00ED5A20">
        <w:rPr>
          <w:color w:val="4D7861" w:themeColor="accent2"/>
        </w:rPr>
        <w:separator/>
      </w:r>
    </w:p>
  </w:footnote>
  <w:footnote w:type="continuationSeparator" w:id="0">
    <w:p w14:paraId="2D2E1F65" w14:textId="77777777" w:rsidR="004940E0" w:rsidRPr="00B737EB" w:rsidRDefault="004940E0">
      <w:pPr>
        <w:spacing w:before="0" w:after="0"/>
        <w:rPr>
          <w:color w:val="2C384A" w:themeColor="accent1"/>
        </w:rPr>
      </w:pPr>
      <w:r w:rsidRPr="00B737EB">
        <w:rPr>
          <w:color w:val="2C384A" w:themeColor="accent1"/>
        </w:rPr>
        <w:continuationSeparator/>
      </w:r>
    </w:p>
  </w:footnote>
  <w:footnote w:id="1">
    <w:p w14:paraId="04C0EF47" w14:textId="7E54F4DD" w:rsidR="001E780D" w:rsidRDefault="001E780D" w:rsidP="001E780D">
      <w:pPr>
        <w:pStyle w:val="FootnoteText"/>
      </w:pPr>
      <w:r>
        <w:rPr>
          <w:rStyle w:val="FootnoteReference"/>
        </w:rPr>
        <w:footnoteRef/>
      </w:r>
      <w:r>
        <w:t xml:space="preserve"> </w:t>
      </w:r>
      <w:r w:rsidR="00E90BA9">
        <w:tab/>
      </w:r>
      <w:r>
        <w:t>The Delivery Oversight Committee commenced in March 2026, prior to that the Performance and Risk Committee performed this role with respect to climate risk.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F0FB0" w14:textId="77777777" w:rsidR="00095D88" w:rsidRPr="00095D88" w:rsidRDefault="00095D88" w:rsidP="00095D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DD75F" w14:textId="1BECD31B" w:rsidR="00095D88" w:rsidRPr="00095D88" w:rsidRDefault="00797994" w:rsidP="00095D88">
    <w:pPr>
      <w:pStyle w:val="Header"/>
    </w:pPr>
    <w:r>
      <w:rPr>
        <w:noProof/>
      </w:rPr>
      <w:drawing>
        <wp:anchor distT="0" distB="0" distL="114300" distR="114300" simplePos="0" relativeHeight="251658241" behindDoc="1" locked="1" layoutInCell="1" allowOverlap="1" wp14:anchorId="532585D3" wp14:editId="676B6CE0">
          <wp:simplePos x="0" y="0"/>
          <wp:positionH relativeFrom="page">
            <wp:posOffset>-52705</wp:posOffset>
          </wp:positionH>
          <wp:positionV relativeFrom="page">
            <wp:posOffset>10841355</wp:posOffset>
          </wp:positionV>
          <wp:extent cx="7570470" cy="1043940"/>
          <wp:effectExtent l="0" t="0" r="0" b="3810"/>
          <wp:wrapNone/>
          <wp:docPr id="178227796" name="Picture 178227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
                    <a:extLst>
                      <a:ext uri="{28A0092B-C50C-407E-A947-70E740481C1C}">
                        <a14:useLocalDpi xmlns:a14="http://schemas.microsoft.com/office/drawing/2010/main" val="0"/>
                      </a:ext>
                    </a:extLst>
                  </a:blip>
                  <a:stretch>
                    <a:fillRect/>
                  </a:stretch>
                </pic:blipFill>
                <pic:spPr>
                  <a:xfrm flipH="1">
                    <a:off x="0" y="0"/>
                    <a:ext cx="7570470" cy="104394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7BF2C" w14:textId="77777777" w:rsidR="00095D88" w:rsidRPr="00095D88" w:rsidRDefault="00095D88" w:rsidP="00095D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8C6AD" w14:textId="0B402DE3" w:rsidR="00672B5D" w:rsidRPr="00AC75E2" w:rsidRDefault="00672B5D" w:rsidP="00AC75E2">
    <w:pPr>
      <w:pStyle w:val="HeaderEven"/>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BF2A2" w14:textId="77777777" w:rsidR="00095D88" w:rsidRPr="00095D88" w:rsidRDefault="00095D88" w:rsidP="00095D8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912F1" w14:textId="19B87CC8" w:rsidR="00AB2DC2" w:rsidRPr="00AC75E2" w:rsidRDefault="00AB2DC2" w:rsidP="00AC75E2">
    <w:pPr>
      <w:pStyle w:val="HeaderEven"/>
    </w:pPr>
    <w:r>
      <w:rPr>
        <w:noProof/>
      </w:rPr>
      <w:drawing>
        <wp:anchor distT="0" distB="0" distL="114300" distR="114300" simplePos="0" relativeHeight="251658244" behindDoc="1" locked="1" layoutInCell="1" allowOverlap="1" wp14:anchorId="5597C997" wp14:editId="3B1D83E4">
          <wp:simplePos x="0" y="0"/>
          <wp:positionH relativeFrom="margin">
            <wp:posOffset>5452110</wp:posOffset>
          </wp:positionH>
          <wp:positionV relativeFrom="page">
            <wp:posOffset>3251835</wp:posOffset>
          </wp:positionV>
          <wp:extent cx="7569835" cy="1043940"/>
          <wp:effectExtent l="5398" t="0" r="0" b="0"/>
          <wp:wrapNone/>
          <wp:docPr id="2525270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tretch>
                    <a:fillRect/>
                  </a:stretch>
                </pic:blipFill>
                <pic:spPr>
                  <a:xfrm rot="16200000" flipV="1">
                    <a:off x="0" y="0"/>
                    <a:ext cx="7569835" cy="1043940"/>
                  </a:xfrm>
                  <a:prstGeom prst="rect">
                    <a:avLst/>
                  </a:prstGeom>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3AED0" w14:textId="0572B95C" w:rsidR="00AB2DC2" w:rsidRPr="00095D88" w:rsidRDefault="00AB2DC2" w:rsidP="00095D88">
    <w:pPr>
      <w:pStyle w:val="Header"/>
    </w:pPr>
    <w:r>
      <w:rPr>
        <w:noProof/>
      </w:rPr>
      <w:drawing>
        <wp:anchor distT="0" distB="0" distL="114300" distR="114300" simplePos="0" relativeHeight="251658243" behindDoc="1" locked="1" layoutInCell="1" allowOverlap="1" wp14:anchorId="1D3DBF63" wp14:editId="64E3FEF2">
          <wp:simplePos x="0" y="0"/>
          <wp:positionH relativeFrom="margin">
            <wp:posOffset>5452110</wp:posOffset>
          </wp:positionH>
          <wp:positionV relativeFrom="page">
            <wp:posOffset>3251835</wp:posOffset>
          </wp:positionV>
          <wp:extent cx="7569835" cy="1043940"/>
          <wp:effectExtent l="5398" t="0" r="0" b="0"/>
          <wp:wrapNone/>
          <wp:docPr id="1414072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tretch>
                    <a:fillRect/>
                  </a:stretch>
                </pic:blipFill>
                <pic:spPr>
                  <a:xfrm rot="5400000">
                    <a:off x="0" y="0"/>
                    <a:ext cx="7569835" cy="1043940"/>
                  </a:xfrm>
                  <a:prstGeom prst="rect">
                    <a:avLst/>
                  </a:prstGeom>
                </pic:spPr>
              </pic:pic>
            </a:graphicData>
          </a:graphic>
          <wp14:sizeRelH relativeFrom="margin">
            <wp14:pctWidth>0</wp14:pctWidth>
          </wp14:sizeRelH>
          <wp14:sizeRelV relativeFrom="margin">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8AB98" w14:textId="77777777" w:rsidR="00AB2DC2" w:rsidRPr="00095D88" w:rsidRDefault="00AB2DC2" w:rsidP="00095D8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454D8" w14:textId="77777777" w:rsidR="0052530D" w:rsidRPr="00AC75E2" w:rsidRDefault="0052530D" w:rsidP="00AC75E2">
    <w:pPr>
      <w:pStyle w:val="HeaderEven"/>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83B3C" w14:textId="77777777" w:rsidR="0052530D" w:rsidRPr="00095D88" w:rsidRDefault="0052530D" w:rsidP="00095D88">
    <w:pPr>
      <w:pStyle w:val="Header"/>
    </w:pPr>
    <w:r>
      <w:rPr>
        <w:noProof/>
      </w:rPr>
      <w:drawing>
        <wp:anchor distT="0" distB="0" distL="114300" distR="114300" simplePos="0" relativeHeight="251658242" behindDoc="1" locked="1" layoutInCell="1" allowOverlap="1" wp14:anchorId="6D655E29" wp14:editId="64DA4447">
          <wp:simplePos x="0" y="0"/>
          <wp:positionH relativeFrom="page">
            <wp:posOffset>-52705</wp:posOffset>
          </wp:positionH>
          <wp:positionV relativeFrom="page">
            <wp:posOffset>10841355</wp:posOffset>
          </wp:positionV>
          <wp:extent cx="7570470" cy="1043940"/>
          <wp:effectExtent l="0" t="0" r="0" b="3810"/>
          <wp:wrapNone/>
          <wp:docPr id="1488973502" name="Picture 1488973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
                    <a:extLst>
                      <a:ext uri="{28A0092B-C50C-407E-A947-70E740481C1C}">
                        <a14:useLocalDpi xmlns:a14="http://schemas.microsoft.com/office/drawing/2010/main" val="0"/>
                      </a:ext>
                    </a:extLst>
                  </a:blip>
                  <a:stretch>
                    <a:fillRect/>
                  </a:stretch>
                </pic:blipFill>
                <pic:spPr>
                  <a:xfrm flipH="1">
                    <a:off x="0" y="0"/>
                    <a:ext cx="7570470" cy="1043940"/>
                  </a:xfrm>
                  <a:prstGeom prst="rect">
                    <a:avLst/>
                  </a:prstGeom>
                </pic:spPr>
              </pic:pic>
            </a:graphicData>
          </a:graphic>
          <wp14:sizeRelH relativeFrom="margin">
            <wp14:pctWidth>0</wp14:pctWidth>
          </wp14:sizeRelH>
          <wp14:sizeRelV relativeFrom="margin">
            <wp14:pctHeight>0</wp14:pctHeight>
          </wp14:sizeRelV>
        </wp:anchor>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E5DA5" w14:textId="77777777" w:rsidR="0052530D" w:rsidRPr="00095D88" w:rsidRDefault="0052530D" w:rsidP="00095D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Logo&#10;&#10;Description automatically generated with medium confidence" style="width:104.25pt;height:17.25pt;visibility:visible;mso-wrap-style:square" o:bullet="t">
        <v:imagedata r:id="rId1" o:title="Logo&#10;&#10;Description automatically generated with medium confidence"/>
      </v:shape>
    </w:pict>
  </w:numPicBullet>
  <w:abstractNum w:abstractNumId="0" w15:restartNumberingAfterBreak="0">
    <w:nsid w:val="07ED3FC7"/>
    <w:multiLevelType w:val="multilevel"/>
    <w:tmpl w:val="79E48CD8"/>
    <w:styleLink w:val="BoxBulletedList"/>
    <w:lvl w:ilvl="0">
      <w:start w:val="1"/>
      <w:numFmt w:val="bullet"/>
      <w:lvlRestart w:val="0"/>
      <w:lvlText w:val="•"/>
      <w:lvlJc w:val="left"/>
      <w:pPr>
        <w:tabs>
          <w:tab w:val="num" w:pos="283"/>
        </w:tabs>
        <w:ind w:left="283" w:hanging="283"/>
      </w:pPr>
      <w:rPr>
        <w:rFonts w:ascii="Times New Roman" w:hAnsi="Times New Roman" w:cs="Times New Roman" w:hint="default"/>
        <w:b w:val="0"/>
        <w:i w:val="0"/>
        <w:sz w:val="20"/>
      </w:rPr>
    </w:lvl>
    <w:lvl w:ilvl="1">
      <w:start w:val="1"/>
      <w:numFmt w:val="bullet"/>
      <w:lvlText w:val="–"/>
      <w:lvlJc w:val="left"/>
      <w:pPr>
        <w:tabs>
          <w:tab w:val="num" w:pos="567"/>
        </w:tabs>
        <w:ind w:left="567" w:hanging="284"/>
      </w:pPr>
      <w:rPr>
        <w:rFonts w:hint="default"/>
        <w:b w:val="0"/>
        <w:i w:val="0"/>
      </w:rPr>
    </w:lvl>
    <w:lvl w:ilvl="2">
      <w:start w:val="1"/>
      <w:numFmt w:val="bullet"/>
      <w:lvlText w:val=":"/>
      <w:lvlJc w:val="left"/>
      <w:pPr>
        <w:tabs>
          <w:tab w:val="num" w:pos="850"/>
        </w:tabs>
        <w:ind w:left="850" w:hanging="283"/>
      </w:pPr>
      <w:rPr>
        <w:rFonts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1" w15:restartNumberingAfterBreak="0">
    <w:nsid w:val="0B8F13AF"/>
    <w:multiLevelType w:val="multilevel"/>
    <w:tmpl w:val="0C7091F8"/>
    <w:lvl w:ilvl="0">
      <w:start w:val="1"/>
      <w:numFmt w:val="lowerLetter"/>
      <w:lvlText w:val="%1."/>
      <w:lvlJc w:val="left"/>
      <w:pPr>
        <w:tabs>
          <w:tab w:val="num" w:pos="425"/>
        </w:tabs>
        <w:ind w:left="425"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0653560"/>
    <w:multiLevelType w:val="multilevel"/>
    <w:tmpl w:val="72F8140E"/>
    <w:styleLink w:val="OutlineList"/>
    <w:lvl w:ilvl="0">
      <w:start w:val="1"/>
      <w:numFmt w:val="decimal"/>
      <w:pStyle w:val="OutlineNumbered1"/>
      <w:lvlText w:val="%1."/>
      <w:lvlJc w:val="left"/>
      <w:pPr>
        <w:tabs>
          <w:tab w:val="num" w:pos="851"/>
        </w:tabs>
        <w:ind w:left="851" w:hanging="851"/>
      </w:pPr>
      <w:rPr>
        <w:rFonts w:hint="default"/>
      </w:rPr>
    </w:lvl>
    <w:lvl w:ilvl="1">
      <w:start w:val="1"/>
      <w:numFmt w:val="decimal"/>
      <w:pStyle w:val="OutlineNumbered2"/>
      <w:lvlText w:val="%1.%2"/>
      <w:lvlJc w:val="left"/>
      <w:pPr>
        <w:tabs>
          <w:tab w:val="num" w:pos="1134"/>
        </w:tabs>
        <w:ind w:left="1134" w:hanging="1134"/>
      </w:pPr>
      <w:rPr>
        <w:rFonts w:hint="default"/>
      </w:rPr>
    </w:lvl>
    <w:lvl w:ilvl="2">
      <w:start w:val="1"/>
      <w:numFmt w:val="decimal"/>
      <w:pStyle w:val="OutlineNumbered3"/>
      <w:lvlText w:val="%1.%2.%3"/>
      <w:lvlJc w:val="left"/>
      <w:pPr>
        <w:tabs>
          <w:tab w:val="num" w:pos="1418"/>
        </w:tabs>
        <w:ind w:left="1418" w:hanging="141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4564F9D"/>
    <w:multiLevelType w:val="multilevel"/>
    <w:tmpl w:val="B0402706"/>
    <w:lvl w:ilvl="0">
      <w:start w:val="1"/>
      <w:numFmt w:val="bullet"/>
      <w:lvlRestart w:val="0"/>
      <w:pStyle w:val="Boxbullet"/>
      <w:lvlText w:val="•"/>
      <w:lvlJc w:val="left"/>
      <w:pPr>
        <w:tabs>
          <w:tab w:val="num" w:pos="283"/>
        </w:tabs>
        <w:ind w:left="284" w:hanging="284"/>
      </w:pPr>
      <w:rPr>
        <w:rFonts w:ascii="Times New Roman" w:hAnsi="Times New Roman" w:cs="Times New Roman" w:hint="default"/>
        <w:b w:val="0"/>
        <w:i w:val="0"/>
      </w:rPr>
    </w:lvl>
    <w:lvl w:ilvl="1">
      <w:start w:val="1"/>
      <w:numFmt w:val="bullet"/>
      <w:pStyle w:val="Boxdash"/>
      <w:lvlText w:val="–"/>
      <w:lvlJc w:val="left"/>
      <w:pPr>
        <w:tabs>
          <w:tab w:val="num" w:pos="567"/>
        </w:tabs>
        <w:ind w:left="568" w:hanging="284"/>
      </w:pPr>
      <w:rPr>
        <w:rFonts w:ascii="Times New Roman" w:hAnsi="Times New Roman" w:cs="Times New Roman" w:hint="default"/>
        <w:b w:val="0"/>
        <w:i w:val="0"/>
      </w:rPr>
    </w:lvl>
    <w:lvl w:ilvl="2">
      <w:start w:val="1"/>
      <w:numFmt w:val="bullet"/>
      <w:pStyle w:val="Boxdoubledot"/>
      <w:lvlText w:val=":"/>
      <w:lvlJc w:val="left"/>
      <w:pPr>
        <w:tabs>
          <w:tab w:val="num" w:pos="851"/>
        </w:tabs>
        <w:ind w:left="852" w:hanging="284"/>
      </w:pPr>
      <w:rPr>
        <w:rFonts w:ascii="Times New Roman" w:hAnsi="Times New Roman" w:cs="Times New Roman" w:hint="default"/>
        <w:b w:val="0"/>
        <w:i w:val="0"/>
      </w:rPr>
    </w:lvl>
    <w:lvl w:ilvl="3">
      <w:start w:val="1"/>
      <w:numFmt w:val="decimal"/>
      <w:lvlText w:val="(%4)"/>
      <w:lvlJc w:val="left"/>
      <w:pPr>
        <w:tabs>
          <w:tab w:val="num" w:pos="1135"/>
        </w:tabs>
        <w:ind w:left="1136" w:hanging="284"/>
      </w:pPr>
      <w:rPr>
        <w:rFonts w:hint="default"/>
        <w:b w:val="0"/>
        <w:i w:val="0"/>
      </w:rPr>
    </w:lvl>
    <w:lvl w:ilvl="4">
      <w:start w:val="1"/>
      <w:numFmt w:val="lowerLetter"/>
      <w:lvlText w:val="(%5)"/>
      <w:lvlJc w:val="left"/>
      <w:pPr>
        <w:tabs>
          <w:tab w:val="num" w:pos="1419"/>
        </w:tabs>
        <w:ind w:left="1420" w:hanging="284"/>
      </w:pPr>
      <w:rPr>
        <w:rFonts w:hint="default"/>
        <w:b w:val="0"/>
        <w:i w:val="0"/>
      </w:rPr>
    </w:lvl>
    <w:lvl w:ilvl="5">
      <w:start w:val="1"/>
      <w:numFmt w:val="lowerRoman"/>
      <w:lvlText w:val="(%6)"/>
      <w:lvlJc w:val="left"/>
      <w:pPr>
        <w:tabs>
          <w:tab w:val="num" w:pos="1703"/>
        </w:tabs>
        <w:ind w:left="1704" w:hanging="284"/>
      </w:pPr>
      <w:rPr>
        <w:rFonts w:hint="default"/>
        <w:b w:val="0"/>
        <w:i w:val="0"/>
      </w:rPr>
    </w:lvl>
    <w:lvl w:ilvl="6">
      <w:start w:val="1"/>
      <w:numFmt w:val="decimal"/>
      <w:lvlText w:val="%7."/>
      <w:lvlJc w:val="left"/>
      <w:pPr>
        <w:tabs>
          <w:tab w:val="num" w:pos="1987"/>
        </w:tabs>
        <w:ind w:left="1988" w:hanging="284"/>
      </w:pPr>
      <w:rPr>
        <w:rFonts w:hint="default"/>
        <w:b w:val="0"/>
        <w:i w:val="0"/>
      </w:rPr>
    </w:lvl>
    <w:lvl w:ilvl="7">
      <w:start w:val="1"/>
      <w:numFmt w:val="lowerLetter"/>
      <w:lvlText w:val="%8."/>
      <w:lvlJc w:val="left"/>
      <w:pPr>
        <w:tabs>
          <w:tab w:val="num" w:pos="2271"/>
        </w:tabs>
        <w:ind w:left="2272" w:hanging="284"/>
      </w:pPr>
      <w:rPr>
        <w:rFonts w:hint="default"/>
        <w:b w:val="0"/>
        <w:i w:val="0"/>
      </w:rPr>
    </w:lvl>
    <w:lvl w:ilvl="8">
      <w:start w:val="1"/>
      <w:numFmt w:val="lowerRoman"/>
      <w:lvlText w:val="%9."/>
      <w:lvlJc w:val="left"/>
      <w:pPr>
        <w:tabs>
          <w:tab w:val="num" w:pos="2555"/>
        </w:tabs>
        <w:ind w:left="2556" w:hanging="284"/>
      </w:pPr>
      <w:rPr>
        <w:rFonts w:hint="default"/>
        <w:b w:val="0"/>
        <w:i w:val="0"/>
      </w:rPr>
    </w:lvl>
  </w:abstractNum>
  <w:abstractNum w:abstractNumId="4" w15:restartNumberingAfterBreak="0">
    <w:nsid w:val="16CC4E5D"/>
    <w:multiLevelType w:val="multilevel"/>
    <w:tmpl w:val="D10E9CF6"/>
    <w:numStyleLink w:val="OneLevelList"/>
  </w:abstractNum>
  <w:abstractNum w:abstractNumId="5" w15:restartNumberingAfterBreak="0">
    <w:nsid w:val="17DF7717"/>
    <w:multiLevelType w:val="multilevel"/>
    <w:tmpl w:val="B91AC3AC"/>
    <w:lvl w:ilvl="0">
      <w:start w:val="1"/>
      <w:numFmt w:val="decimal"/>
      <w:pStyle w:val="Heading1Numbered"/>
      <w:lvlText w:val="%1."/>
      <w:lvlJc w:val="left"/>
      <w:pPr>
        <w:ind w:left="360" w:hanging="360"/>
      </w:pPr>
      <w:rPr>
        <w:rFonts w:hint="default"/>
      </w:rPr>
    </w:lvl>
    <w:lvl w:ilvl="1">
      <w:start w:val="1"/>
      <w:numFmt w:val="decimal"/>
      <w:pStyle w:val="Heading2Numbered"/>
      <w:lvlText w:val="%1.%2"/>
      <w:lvlJc w:val="left"/>
      <w:pPr>
        <w:ind w:left="720" w:hanging="360"/>
      </w:pPr>
      <w:rPr>
        <w:rFonts w:hint="default"/>
      </w:rPr>
    </w:lvl>
    <w:lvl w:ilvl="2">
      <w:start w:val="1"/>
      <w:numFmt w:val="decimal"/>
      <w:pStyle w:val="Heading3Numbered"/>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1847491"/>
    <w:multiLevelType w:val="multilevel"/>
    <w:tmpl w:val="6F92BA82"/>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8" w:hanging="284"/>
      </w:pPr>
      <w:rPr>
        <w:rFonts w:ascii="Times New Roman" w:hAnsi="Times New Roman" w:cs="Times New Roman" w:hint="default"/>
      </w:rPr>
    </w:lvl>
    <w:lvl w:ilvl="2">
      <w:start w:val="1"/>
      <w:numFmt w:val="bullet"/>
      <w:lvlText w:val=":"/>
      <w:lvlJc w:val="left"/>
      <w:pPr>
        <w:ind w:left="852" w:hanging="284"/>
      </w:pPr>
      <w:rPr>
        <w:rFonts w:ascii="Calibri" w:hAnsi="Calibri"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7" w15:restartNumberingAfterBreak="0">
    <w:nsid w:val="27440C8B"/>
    <w:multiLevelType w:val="multilevel"/>
    <w:tmpl w:val="9AFC5FD2"/>
    <w:lvl w:ilvl="0">
      <w:start w:val="1"/>
      <w:numFmt w:val="bullet"/>
      <w:lvlRestart w:val="0"/>
      <w:lvlText w:val="•"/>
      <w:lvlJc w:val="left"/>
      <w:pPr>
        <w:tabs>
          <w:tab w:val="num" w:pos="283"/>
        </w:tabs>
        <w:ind w:left="283" w:hanging="283"/>
      </w:pPr>
      <w:rPr>
        <w:rFonts w:ascii="Times New Roman" w:hAnsi="Times New Roman" w:cs="Times New Roman"/>
        <w:b w:val="0"/>
        <w:i w:val="0"/>
      </w:rPr>
    </w:lvl>
    <w:lvl w:ilvl="1">
      <w:start w:val="1"/>
      <w:numFmt w:val="bullet"/>
      <w:lvlText w:val="–"/>
      <w:lvlJc w:val="left"/>
      <w:pPr>
        <w:tabs>
          <w:tab w:val="num" w:pos="567"/>
        </w:tabs>
        <w:ind w:left="567" w:hanging="284"/>
      </w:pPr>
      <w:rPr>
        <w:rFonts w:ascii="Times New Roman" w:hAnsi="Times New Roman" w:cs="Times New Roman"/>
        <w:b w:val="0"/>
        <w:i w:val="0"/>
      </w:rPr>
    </w:lvl>
    <w:lvl w:ilvl="2">
      <w:start w:val="1"/>
      <w:numFmt w:val="bullet"/>
      <w:lvlText w:val=":"/>
      <w:lvlJc w:val="left"/>
      <w:pPr>
        <w:tabs>
          <w:tab w:val="num" w:pos="850"/>
        </w:tabs>
        <w:ind w:left="850" w:hanging="283"/>
      </w:pPr>
      <w:rPr>
        <w:rFonts w:ascii="Times New Roman" w:hAnsi="Times New Roman" w:cs="Times New Roman"/>
        <w:b w:val="0"/>
        <w:i w:val="0"/>
      </w:rPr>
    </w:lvl>
    <w:lvl w:ilvl="3">
      <w:start w:val="1"/>
      <w:numFmt w:val="decimal"/>
      <w:lvlText w:val="(%4)"/>
      <w:lvlJc w:val="left"/>
      <w:pPr>
        <w:tabs>
          <w:tab w:val="num" w:pos="1440"/>
        </w:tabs>
        <w:ind w:left="1440" w:hanging="360"/>
      </w:pPr>
      <w:rPr>
        <w:b w:val="0"/>
        <w:i w:val="0"/>
      </w:rPr>
    </w:lvl>
    <w:lvl w:ilvl="4">
      <w:start w:val="1"/>
      <w:numFmt w:val="lowerLetter"/>
      <w:lvlText w:val="(%5)"/>
      <w:lvlJc w:val="left"/>
      <w:pPr>
        <w:tabs>
          <w:tab w:val="num" w:pos="1800"/>
        </w:tabs>
        <w:ind w:left="1800" w:hanging="360"/>
      </w:pPr>
      <w:rPr>
        <w:b w:val="0"/>
        <w:i w:val="0"/>
      </w:rPr>
    </w:lvl>
    <w:lvl w:ilvl="5">
      <w:start w:val="1"/>
      <w:numFmt w:val="lowerRoman"/>
      <w:lvlText w:val="(%6)"/>
      <w:lvlJc w:val="left"/>
      <w:pPr>
        <w:tabs>
          <w:tab w:val="num" w:pos="2160"/>
        </w:tabs>
        <w:ind w:left="2160" w:hanging="360"/>
      </w:pPr>
      <w:rPr>
        <w:b w:val="0"/>
        <w:i w:val="0"/>
      </w:rPr>
    </w:lvl>
    <w:lvl w:ilvl="6">
      <w:start w:val="1"/>
      <w:numFmt w:val="decimal"/>
      <w:lvlText w:val="%7."/>
      <w:lvlJc w:val="left"/>
      <w:pPr>
        <w:tabs>
          <w:tab w:val="num" w:pos="2520"/>
        </w:tabs>
        <w:ind w:left="2520" w:hanging="360"/>
      </w:pPr>
      <w:rPr>
        <w:b w:val="0"/>
        <w:i w:val="0"/>
      </w:rPr>
    </w:lvl>
    <w:lvl w:ilvl="7">
      <w:start w:val="1"/>
      <w:numFmt w:val="lowerLetter"/>
      <w:lvlText w:val="%8."/>
      <w:lvlJc w:val="left"/>
      <w:pPr>
        <w:tabs>
          <w:tab w:val="num" w:pos="2880"/>
        </w:tabs>
        <w:ind w:left="2880" w:hanging="360"/>
      </w:pPr>
      <w:rPr>
        <w:b w:val="0"/>
        <w:i w:val="0"/>
      </w:rPr>
    </w:lvl>
    <w:lvl w:ilvl="8">
      <w:start w:val="1"/>
      <w:numFmt w:val="lowerRoman"/>
      <w:lvlText w:val="%9."/>
      <w:lvlJc w:val="left"/>
      <w:pPr>
        <w:tabs>
          <w:tab w:val="num" w:pos="3240"/>
        </w:tabs>
        <w:ind w:left="3240" w:hanging="360"/>
      </w:pPr>
      <w:rPr>
        <w:b w:val="0"/>
        <w:i w:val="0"/>
      </w:rPr>
    </w:lvl>
  </w:abstractNum>
  <w:abstractNum w:abstractNumId="8" w15:restartNumberingAfterBreak="0">
    <w:nsid w:val="27826BF0"/>
    <w:multiLevelType w:val="multilevel"/>
    <w:tmpl w:val="6D0AA75C"/>
    <w:lvl w:ilvl="0">
      <w:start w:val="1"/>
      <w:numFmt w:val="lowerRoman"/>
      <w:lvlText w:val="%1."/>
      <w:lvlJc w:val="left"/>
      <w:pPr>
        <w:tabs>
          <w:tab w:val="num" w:pos="720"/>
        </w:tabs>
        <w:ind w:left="720" w:hanging="720"/>
      </w:pPr>
      <w:rPr>
        <w:rFonts w:hint="default"/>
      </w:rPr>
    </w:lvl>
    <w:lvl w:ilvl="1">
      <w:start w:val="1"/>
      <w:numFmt w:val="lowerLetter"/>
      <w:pStyle w:val="AlphaParagraph"/>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08C2710"/>
    <w:multiLevelType w:val="multilevel"/>
    <w:tmpl w:val="0D723674"/>
    <w:styleLink w:val="BulletedList"/>
    <w:lvl w:ilvl="0">
      <w:start w:val="1"/>
      <w:numFmt w:val="bullet"/>
      <w:lvlRestart w:val="0"/>
      <w:lvlText w:val="•"/>
      <w:lvlJc w:val="left"/>
      <w:pPr>
        <w:tabs>
          <w:tab w:val="num" w:pos="283"/>
        </w:tabs>
        <w:ind w:left="283" w:hanging="283"/>
      </w:pPr>
      <w:rPr>
        <w:rFonts w:ascii="Times New Roman" w:hAnsi="Times New Roman" w:cs="Times New Roman" w:hint="default"/>
        <w:b w:val="0"/>
        <w:i w:val="0"/>
      </w:rPr>
    </w:lvl>
    <w:lvl w:ilvl="1">
      <w:start w:val="1"/>
      <w:numFmt w:val="bullet"/>
      <w:lvlText w:val="–"/>
      <w:lvlJc w:val="left"/>
      <w:pPr>
        <w:tabs>
          <w:tab w:val="num" w:pos="567"/>
        </w:tabs>
        <w:ind w:left="567" w:hanging="284"/>
      </w:pPr>
      <w:rPr>
        <w:rFonts w:ascii="Times New Roman" w:hAnsi="Times New Roman" w:cs="Times New Roman" w:hint="default"/>
        <w:b w:val="0"/>
        <w:i w:val="0"/>
      </w:rPr>
    </w:lvl>
    <w:lvl w:ilvl="2">
      <w:start w:val="1"/>
      <w:numFmt w:val="bullet"/>
      <w:lvlText w:val=":"/>
      <w:lvlJc w:val="left"/>
      <w:pPr>
        <w:tabs>
          <w:tab w:val="num" w:pos="850"/>
        </w:tabs>
        <w:ind w:left="850" w:hanging="283"/>
      </w:pPr>
      <w:rPr>
        <w:rFonts w:ascii="Times New Roman" w:hAnsi="Times New Roman" w:cs="Times New Roman"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10" w15:restartNumberingAfterBreak="0">
    <w:nsid w:val="31EF577D"/>
    <w:multiLevelType w:val="hybridMultilevel"/>
    <w:tmpl w:val="49CA1762"/>
    <w:lvl w:ilvl="0" w:tplc="73E6BD10">
      <w:start w:val="1"/>
      <w:numFmt w:val="bullet"/>
      <w:lvlText w:val=""/>
      <w:lvlPicBulletId w:val="0"/>
      <w:lvlJc w:val="left"/>
      <w:pPr>
        <w:tabs>
          <w:tab w:val="num" w:pos="720"/>
        </w:tabs>
        <w:ind w:left="720" w:hanging="360"/>
      </w:pPr>
      <w:rPr>
        <w:rFonts w:ascii="Symbol" w:hAnsi="Symbol" w:hint="default"/>
      </w:rPr>
    </w:lvl>
    <w:lvl w:ilvl="1" w:tplc="9470300E" w:tentative="1">
      <w:start w:val="1"/>
      <w:numFmt w:val="bullet"/>
      <w:lvlText w:val=""/>
      <w:lvlJc w:val="left"/>
      <w:pPr>
        <w:tabs>
          <w:tab w:val="num" w:pos="1440"/>
        </w:tabs>
        <w:ind w:left="1440" w:hanging="360"/>
      </w:pPr>
      <w:rPr>
        <w:rFonts w:ascii="Symbol" w:hAnsi="Symbol" w:hint="default"/>
      </w:rPr>
    </w:lvl>
    <w:lvl w:ilvl="2" w:tplc="E56C24D0" w:tentative="1">
      <w:start w:val="1"/>
      <w:numFmt w:val="bullet"/>
      <w:lvlText w:val=""/>
      <w:lvlJc w:val="left"/>
      <w:pPr>
        <w:tabs>
          <w:tab w:val="num" w:pos="2160"/>
        </w:tabs>
        <w:ind w:left="2160" w:hanging="360"/>
      </w:pPr>
      <w:rPr>
        <w:rFonts w:ascii="Symbol" w:hAnsi="Symbol" w:hint="default"/>
      </w:rPr>
    </w:lvl>
    <w:lvl w:ilvl="3" w:tplc="9354613A" w:tentative="1">
      <w:start w:val="1"/>
      <w:numFmt w:val="bullet"/>
      <w:lvlText w:val=""/>
      <w:lvlJc w:val="left"/>
      <w:pPr>
        <w:tabs>
          <w:tab w:val="num" w:pos="2880"/>
        </w:tabs>
        <w:ind w:left="2880" w:hanging="360"/>
      </w:pPr>
      <w:rPr>
        <w:rFonts w:ascii="Symbol" w:hAnsi="Symbol" w:hint="default"/>
      </w:rPr>
    </w:lvl>
    <w:lvl w:ilvl="4" w:tplc="49326306" w:tentative="1">
      <w:start w:val="1"/>
      <w:numFmt w:val="bullet"/>
      <w:lvlText w:val=""/>
      <w:lvlJc w:val="left"/>
      <w:pPr>
        <w:tabs>
          <w:tab w:val="num" w:pos="3600"/>
        </w:tabs>
        <w:ind w:left="3600" w:hanging="360"/>
      </w:pPr>
      <w:rPr>
        <w:rFonts w:ascii="Symbol" w:hAnsi="Symbol" w:hint="default"/>
      </w:rPr>
    </w:lvl>
    <w:lvl w:ilvl="5" w:tplc="34667A02" w:tentative="1">
      <w:start w:val="1"/>
      <w:numFmt w:val="bullet"/>
      <w:lvlText w:val=""/>
      <w:lvlJc w:val="left"/>
      <w:pPr>
        <w:tabs>
          <w:tab w:val="num" w:pos="4320"/>
        </w:tabs>
        <w:ind w:left="4320" w:hanging="360"/>
      </w:pPr>
      <w:rPr>
        <w:rFonts w:ascii="Symbol" w:hAnsi="Symbol" w:hint="default"/>
      </w:rPr>
    </w:lvl>
    <w:lvl w:ilvl="6" w:tplc="03369734" w:tentative="1">
      <w:start w:val="1"/>
      <w:numFmt w:val="bullet"/>
      <w:lvlText w:val=""/>
      <w:lvlJc w:val="left"/>
      <w:pPr>
        <w:tabs>
          <w:tab w:val="num" w:pos="5040"/>
        </w:tabs>
        <w:ind w:left="5040" w:hanging="360"/>
      </w:pPr>
      <w:rPr>
        <w:rFonts w:ascii="Symbol" w:hAnsi="Symbol" w:hint="default"/>
      </w:rPr>
    </w:lvl>
    <w:lvl w:ilvl="7" w:tplc="282A4DD4" w:tentative="1">
      <w:start w:val="1"/>
      <w:numFmt w:val="bullet"/>
      <w:lvlText w:val=""/>
      <w:lvlJc w:val="left"/>
      <w:pPr>
        <w:tabs>
          <w:tab w:val="num" w:pos="5760"/>
        </w:tabs>
        <w:ind w:left="5760" w:hanging="360"/>
      </w:pPr>
      <w:rPr>
        <w:rFonts w:ascii="Symbol" w:hAnsi="Symbol" w:hint="default"/>
      </w:rPr>
    </w:lvl>
    <w:lvl w:ilvl="8" w:tplc="4D565DBE"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3238442C"/>
    <w:multiLevelType w:val="multilevel"/>
    <w:tmpl w:val="20C6D62C"/>
    <w:styleLink w:val="ChartandTableFootnoteAlphaList"/>
    <w:lvl w:ilvl="0">
      <w:start w:val="1"/>
      <w:numFmt w:val="lowerLetter"/>
      <w:pStyle w:val="ChartandTableFootnoteAlpha"/>
      <w:lvlText w:val="(%1)"/>
      <w:lvlJc w:val="left"/>
      <w:pPr>
        <w:tabs>
          <w:tab w:val="num" w:pos="284"/>
        </w:tabs>
        <w:ind w:left="284" w:hanging="284"/>
      </w:pPr>
      <w:rPr>
        <w:rFonts w:ascii="Arial" w:hAnsi="Arial" w:hint="default"/>
        <w:b w:val="0"/>
        <w:i w:val="0"/>
        <w:sz w:val="16"/>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30C16AD"/>
    <w:multiLevelType w:val="multilevel"/>
    <w:tmpl w:val="D10E9CF6"/>
    <w:styleLink w:val="OneLevelList"/>
    <w:lvl w:ilvl="0">
      <w:start w:val="1"/>
      <w:numFmt w:val="decimal"/>
      <w:lvlText w:val="%1."/>
      <w:lvlJc w:val="left"/>
      <w:pPr>
        <w:tabs>
          <w:tab w:val="num" w:pos="284"/>
        </w:tabs>
        <w:ind w:left="284" w:hanging="28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CE06931"/>
    <w:multiLevelType w:val="singleLevel"/>
    <w:tmpl w:val="36E09474"/>
    <w:lvl w:ilvl="0">
      <w:start w:val="1"/>
      <w:numFmt w:val="lowerLetter"/>
      <w:lvlText w:val="(%1)"/>
      <w:lvlJc w:val="left"/>
      <w:pPr>
        <w:ind w:left="360" w:hanging="360"/>
      </w:pPr>
      <w:rPr>
        <w:rFonts w:ascii="Arial" w:hAnsi="Arial" w:cs="Arial" w:hint="default"/>
        <w:b w:val="0"/>
        <w:i w:val="0"/>
        <w:sz w:val="16"/>
      </w:rPr>
    </w:lvl>
  </w:abstractNum>
  <w:abstractNum w:abstractNumId="14" w15:restartNumberingAfterBreak="0">
    <w:nsid w:val="510D2021"/>
    <w:multiLevelType w:val="multilevel"/>
    <w:tmpl w:val="72F8140E"/>
    <w:numStyleLink w:val="OutlineList"/>
  </w:abstractNum>
  <w:abstractNum w:abstractNumId="15" w15:restartNumberingAfterBreak="0">
    <w:nsid w:val="524F7347"/>
    <w:multiLevelType w:val="hybridMultilevel"/>
    <w:tmpl w:val="53CE8F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6" w15:restartNumberingAfterBreak="0">
    <w:nsid w:val="5EFF1E76"/>
    <w:multiLevelType w:val="multilevel"/>
    <w:tmpl w:val="D9FE9894"/>
    <w:lvl w:ilvl="0">
      <w:start w:val="1"/>
      <w:numFmt w:val="lowerRoman"/>
      <w:lvlText w:val="%1."/>
      <w:lvlJc w:val="right"/>
      <w:pPr>
        <w:tabs>
          <w:tab w:val="num" w:pos="567"/>
        </w:tabs>
        <w:ind w:left="567" w:hanging="56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C181079"/>
    <w:multiLevelType w:val="multilevel"/>
    <w:tmpl w:val="E3F4C390"/>
    <w:lvl w:ilvl="0">
      <w:start w:val="1"/>
      <w:numFmt w:val="bullet"/>
      <w:pStyle w:val="Bullet"/>
      <w:lvlText w:val="•"/>
      <w:lvlJc w:val="left"/>
      <w:pPr>
        <w:ind w:left="284" w:hanging="284"/>
      </w:pPr>
      <w:rPr>
        <w:rFonts w:ascii="Times New Roman" w:hAnsi="Times New Roman" w:cs="Times New Roman" w:hint="default"/>
      </w:rPr>
    </w:lvl>
    <w:lvl w:ilvl="1">
      <w:start w:val="1"/>
      <w:numFmt w:val="bullet"/>
      <w:pStyle w:val="Dash"/>
      <w:lvlText w:val="–"/>
      <w:lvlJc w:val="left"/>
      <w:pPr>
        <w:ind w:left="568" w:hanging="284"/>
      </w:pPr>
      <w:rPr>
        <w:rFonts w:ascii="Times New Roman" w:hAnsi="Times New Roman" w:cs="Times New Roman" w:hint="default"/>
      </w:rPr>
    </w:lvl>
    <w:lvl w:ilvl="2">
      <w:start w:val="1"/>
      <w:numFmt w:val="bullet"/>
      <w:pStyle w:val="DoubleDot"/>
      <w:lvlText w:val=":"/>
      <w:lvlJc w:val="left"/>
      <w:pPr>
        <w:ind w:left="852" w:hanging="284"/>
      </w:pPr>
      <w:rPr>
        <w:rFonts w:ascii="Calibri" w:hAnsi="Calibri"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18" w15:restartNumberingAfterBreak="0">
    <w:nsid w:val="77A70C5A"/>
    <w:multiLevelType w:val="multilevel"/>
    <w:tmpl w:val="34C489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7D6B5224"/>
    <w:multiLevelType w:val="multilevel"/>
    <w:tmpl w:val="91FE60A6"/>
    <w:name w:val="StandardBulletedList"/>
    <w:lvl w:ilvl="0">
      <w:start w:val="1"/>
      <w:numFmt w:val="bullet"/>
      <w:lvlText w:val="•"/>
      <w:lvlJc w:val="left"/>
      <w:pPr>
        <w:tabs>
          <w:tab w:val="num" w:pos="520"/>
        </w:tabs>
        <w:ind w:left="520" w:hanging="520"/>
      </w:pPr>
      <w:rPr>
        <w:rFonts w:ascii="Times New Roman" w:hAnsi="Times New Roman" w:cs="Times New Roman"/>
        <w:color w:val="auto"/>
      </w:rPr>
    </w:lvl>
    <w:lvl w:ilvl="1">
      <w:start w:val="1"/>
      <w:numFmt w:val="bullet"/>
      <w:lvlText w:val="–"/>
      <w:lvlJc w:val="left"/>
      <w:pPr>
        <w:tabs>
          <w:tab w:val="num" w:pos="1040"/>
        </w:tabs>
        <w:ind w:left="1040" w:hanging="520"/>
      </w:pPr>
      <w:rPr>
        <w:rFonts w:ascii="Times New Roman" w:hAnsi="Times New Roman" w:cs="Times New Roman"/>
      </w:rPr>
    </w:lvl>
    <w:lvl w:ilvl="2">
      <w:start w:val="1"/>
      <w:numFmt w:val="bulle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7EBF275E"/>
    <w:multiLevelType w:val="multilevel"/>
    <w:tmpl w:val="A6800B9E"/>
    <w:lvl w:ilvl="0">
      <w:start w:val="1"/>
      <w:numFmt w:val="decimal"/>
      <w:lvlRestart w:val="0"/>
      <w:lvlText w:val="%1."/>
      <w:lvlJc w:val="left"/>
      <w:pPr>
        <w:tabs>
          <w:tab w:val="num" w:pos="567"/>
        </w:tabs>
        <w:ind w:left="567" w:hanging="567"/>
      </w:pPr>
      <w:rPr>
        <w:rFonts w:hint="default"/>
        <w:b w:val="0"/>
        <w:i w:val="0"/>
      </w:rPr>
    </w:lvl>
    <w:lvl w:ilvl="1">
      <w:start w:val="1"/>
      <w:numFmt w:val="decimal"/>
      <w:lvlText w:val="%1.%2."/>
      <w:lvlJc w:val="left"/>
      <w:pPr>
        <w:tabs>
          <w:tab w:val="num" w:pos="1134"/>
        </w:tabs>
        <w:ind w:left="1134" w:hanging="567"/>
      </w:pPr>
      <w:rPr>
        <w:rFonts w:hint="default"/>
        <w:b w:val="0"/>
        <w:i w:val="0"/>
      </w:rPr>
    </w:lvl>
    <w:lvl w:ilvl="2">
      <w:start w:val="1"/>
      <w:numFmt w:val="decimal"/>
      <w:lvlText w:val="%1.%2.%3."/>
      <w:lvlJc w:val="left"/>
      <w:pPr>
        <w:tabs>
          <w:tab w:val="num" w:pos="1984"/>
        </w:tabs>
        <w:ind w:left="1984" w:hanging="850"/>
      </w:pPr>
      <w:rPr>
        <w:rFonts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21" w15:restartNumberingAfterBreak="0">
    <w:nsid w:val="7F2E57A2"/>
    <w:multiLevelType w:val="multilevel"/>
    <w:tmpl w:val="D1ECFDF4"/>
    <w:lvl w:ilvl="0">
      <w:start w:val="1"/>
      <w:numFmt w:val="decimal"/>
      <w:lvlRestart w:val="0"/>
      <w:suff w:val="nothing"/>
      <w:lvlText w:val=""/>
      <w:lvlJc w:val="left"/>
      <w:pPr>
        <w:ind w:left="0" w:firstLine="0"/>
      </w:pPr>
      <w:rPr>
        <w:rFonts w:ascii="Arial" w:hAnsi="Arial" w:cs="Arial"/>
        <w:b/>
        <w:i w:val="0"/>
        <w:color w:val="000080"/>
        <w:sz w:val="24"/>
      </w:rPr>
    </w:lvl>
    <w:lvl w:ilvl="1">
      <w:start w:val="1"/>
      <w:numFmt w:val="lowerLetter"/>
      <w:lvlText w:val="(%2)"/>
      <w:lvlJc w:val="left"/>
      <w:pPr>
        <w:tabs>
          <w:tab w:val="num" w:pos="992"/>
        </w:tabs>
        <w:ind w:left="992" w:hanging="425"/>
      </w:pPr>
      <w:rPr>
        <w:rFonts w:ascii="Arial" w:hAnsi="Arial" w:cs="Arial"/>
        <w:b/>
        <w:i w:val="0"/>
        <w:color w:val="235292"/>
        <w:sz w:val="22"/>
      </w:rPr>
    </w:lvl>
    <w:lvl w:ilvl="2">
      <w:start w:val="1"/>
      <w:numFmt w:val="decimal"/>
      <w:lvlText w:val="%3"/>
      <w:lvlJc w:val="left"/>
      <w:pPr>
        <w:tabs>
          <w:tab w:val="num" w:pos="1418"/>
        </w:tabs>
        <w:ind w:left="1418" w:hanging="426"/>
      </w:pPr>
      <w:rPr>
        <w:rFonts w:ascii="Times New Roman" w:hAnsi="Times New Roman" w:cs="Times New Roman"/>
        <w:b w:val="0"/>
        <w:i w:val="0"/>
        <w:color w:val="000000"/>
      </w:rPr>
    </w:lvl>
    <w:lvl w:ilvl="3">
      <w:start w:val="1"/>
      <w:numFmt w:val="decimal"/>
      <w:lvlText w:val="%4"/>
      <w:lvlJc w:val="left"/>
      <w:pPr>
        <w:tabs>
          <w:tab w:val="num" w:pos="2268"/>
        </w:tabs>
        <w:ind w:left="2268" w:hanging="567"/>
      </w:pPr>
      <w:rPr>
        <w:rFonts w:ascii="Times New Roman" w:hAnsi="Times New Roman" w:cs="Times New Roman"/>
        <w:b w:val="0"/>
        <w:i w:val="0"/>
        <w:color w:val="000000"/>
      </w:rPr>
    </w:lvl>
    <w:lvl w:ilvl="4">
      <w:start w:val="1"/>
      <w:numFmt w:val="decimal"/>
      <w:lvlText w:val="%5"/>
      <w:lvlJc w:val="left"/>
      <w:pPr>
        <w:tabs>
          <w:tab w:val="num" w:pos="2835"/>
        </w:tabs>
        <w:ind w:left="2835" w:hanging="567"/>
      </w:pPr>
      <w:rPr>
        <w:rFonts w:ascii="Times New Roman" w:hAnsi="Times New Roman" w:cs="Times New Roman"/>
        <w:b w:val="0"/>
        <w:i w:val="0"/>
        <w:color w:val="000000"/>
      </w:rPr>
    </w:lvl>
    <w:lvl w:ilvl="5">
      <w:start w:val="1"/>
      <w:numFmt w:val="decimal"/>
      <w:lvlText w:val="%6"/>
      <w:lvlJc w:val="left"/>
      <w:pPr>
        <w:tabs>
          <w:tab w:val="num" w:pos="3402"/>
        </w:tabs>
        <w:ind w:left="3402" w:hanging="567"/>
      </w:pPr>
      <w:rPr>
        <w:rFonts w:ascii="Times New Roman" w:hAnsi="Times New Roman" w:cs="Times New Roman"/>
        <w:b w:val="0"/>
        <w:i w:val="0"/>
        <w:color w:val="000000"/>
      </w:rPr>
    </w:lvl>
    <w:lvl w:ilvl="6">
      <w:start w:val="1"/>
      <w:numFmt w:val="decimal"/>
      <w:lvlText w:val="%7"/>
      <w:lvlJc w:val="left"/>
      <w:pPr>
        <w:tabs>
          <w:tab w:val="num" w:pos="3969"/>
        </w:tabs>
        <w:ind w:left="3969" w:hanging="567"/>
      </w:pPr>
      <w:rPr>
        <w:rFonts w:ascii="Times New Roman" w:hAnsi="Times New Roman" w:cs="Times New Roman"/>
        <w:b w:val="0"/>
        <w:i w:val="0"/>
        <w:color w:val="000000"/>
      </w:rPr>
    </w:lvl>
    <w:lvl w:ilvl="7">
      <w:start w:val="1"/>
      <w:numFmt w:val="decimal"/>
      <w:lvlText w:val="%8"/>
      <w:lvlJc w:val="left"/>
      <w:pPr>
        <w:tabs>
          <w:tab w:val="num" w:pos="4536"/>
        </w:tabs>
        <w:ind w:left="4536" w:hanging="567"/>
      </w:pPr>
      <w:rPr>
        <w:rFonts w:ascii="Times New Roman" w:hAnsi="Times New Roman" w:cs="Times New Roman"/>
        <w:b w:val="0"/>
        <w:i w:val="0"/>
        <w:color w:val="000000"/>
      </w:rPr>
    </w:lvl>
    <w:lvl w:ilvl="8">
      <w:start w:val="1"/>
      <w:numFmt w:val="decimal"/>
      <w:lvlText w:val="%9"/>
      <w:lvlJc w:val="left"/>
      <w:pPr>
        <w:tabs>
          <w:tab w:val="num" w:pos="5103"/>
        </w:tabs>
        <w:ind w:left="5103" w:hanging="567"/>
      </w:pPr>
      <w:rPr>
        <w:rFonts w:ascii="Times New Roman" w:hAnsi="Times New Roman" w:cs="Times New Roman"/>
        <w:b w:val="0"/>
        <w:i w:val="0"/>
        <w:color w:val="000000"/>
      </w:rPr>
    </w:lvl>
  </w:abstractNum>
  <w:num w:numId="1" w16cid:durableId="1509446909">
    <w:abstractNumId w:val="9"/>
  </w:num>
  <w:num w:numId="2" w16cid:durableId="230386874">
    <w:abstractNumId w:val="0"/>
  </w:num>
  <w:num w:numId="3" w16cid:durableId="1716855291">
    <w:abstractNumId w:val="12"/>
  </w:num>
  <w:num w:numId="4" w16cid:durableId="797724066">
    <w:abstractNumId w:val="2"/>
  </w:num>
  <w:num w:numId="5" w16cid:durableId="709110180">
    <w:abstractNumId w:val="4"/>
  </w:num>
  <w:num w:numId="6" w16cid:durableId="306596971">
    <w:abstractNumId w:val="14"/>
  </w:num>
  <w:num w:numId="7" w16cid:durableId="1739129519">
    <w:abstractNumId w:val="11"/>
    <w:lvlOverride w:ilvl="0">
      <w:lvl w:ilvl="0">
        <w:start w:val="1"/>
        <w:numFmt w:val="lowerLetter"/>
        <w:pStyle w:val="ChartandTableFootnoteAlpha"/>
        <w:lvlText w:val="(%1)"/>
        <w:lvlJc w:val="left"/>
        <w:pPr>
          <w:ind w:left="360" w:hanging="360"/>
        </w:pPr>
        <w:rPr>
          <w:rFonts w:ascii="Calibri" w:hAnsi="Calibri" w:hint="default"/>
          <w:b w:val="0"/>
          <w:i w:val="0"/>
          <w:caps w:val="0"/>
          <w:strike w:val="0"/>
          <w:dstrike w:val="0"/>
          <w:vanish w:val="0"/>
          <w:sz w:val="18"/>
          <w:vertAlign w:val="baseline"/>
        </w:r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8" w16cid:durableId="1043020558">
    <w:abstractNumId w:val="5"/>
  </w:num>
  <w:num w:numId="9" w16cid:durableId="1591279926">
    <w:abstractNumId w:val="1"/>
  </w:num>
  <w:num w:numId="10" w16cid:durableId="832991063">
    <w:abstractNumId w:val="8"/>
  </w:num>
  <w:num w:numId="11" w16cid:durableId="215508863">
    <w:abstractNumId w:val="20"/>
  </w:num>
  <w:num w:numId="12" w16cid:durableId="2019234066">
    <w:abstractNumId w:val="14"/>
  </w:num>
  <w:num w:numId="13" w16cid:durableId="1757362042">
    <w:abstractNumId w:val="21"/>
  </w:num>
  <w:num w:numId="14" w16cid:durableId="353965158">
    <w:abstractNumId w:val="13"/>
  </w:num>
  <w:num w:numId="15" w16cid:durableId="77220001">
    <w:abstractNumId w:val="7"/>
  </w:num>
  <w:num w:numId="16" w16cid:durableId="626086807">
    <w:abstractNumId w:val="16"/>
  </w:num>
  <w:num w:numId="17" w16cid:durableId="143200778">
    <w:abstractNumId w:val="11"/>
  </w:num>
  <w:num w:numId="18" w16cid:durableId="10540393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85910852">
    <w:abstractNumId w:val="1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96955640">
    <w:abstractNumId w:val="10"/>
  </w:num>
  <w:num w:numId="21" w16cid:durableId="525217854">
    <w:abstractNumId w:val="15"/>
  </w:num>
  <w:num w:numId="22" w16cid:durableId="1017973052">
    <w:abstractNumId w:val="3"/>
  </w:num>
  <w:num w:numId="23" w16cid:durableId="17107575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34227257">
    <w:abstractNumId w:val="17"/>
  </w:num>
  <w:num w:numId="25" w16cid:durableId="11986182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mirrorMargins/>
  <w:hideSpelling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ecurityClassificationInHeader" w:val="False"/>
  </w:docVars>
  <w:rsids>
    <w:rsidRoot w:val="00A71ED1"/>
    <w:rsid w:val="000042CB"/>
    <w:rsid w:val="000058FF"/>
    <w:rsid w:val="00005EA8"/>
    <w:rsid w:val="00011725"/>
    <w:rsid w:val="00012C62"/>
    <w:rsid w:val="000130C1"/>
    <w:rsid w:val="0001396A"/>
    <w:rsid w:val="0002544D"/>
    <w:rsid w:val="00035DA8"/>
    <w:rsid w:val="0004274D"/>
    <w:rsid w:val="00043348"/>
    <w:rsid w:val="0004483F"/>
    <w:rsid w:val="00046CB4"/>
    <w:rsid w:val="00050315"/>
    <w:rsid w:val="0005138B"/>
    <w:rsid w:val="000522B7"/>
    <w:rsid w:val="00053717"/>
    <w:rsid w:val="00056880"/>
    <w:rsid w:val="000675D1"/>
    <w:rsid w:val="00070F66"/>
    <w:rsid w:val="00073521"/>
    <w:rsid w:val="000775DE"/>
    <w:rsid w:val="00087FAF"/>
    <w:rsid w:val="00095D88"/>
    <w:rsid w:val="00097497"/>
    <w:rsid w:val="000A21C5"/>
    <w:rsid w:val="000B093F"/>
    <w:rsid w:val="000B268E"/>
    <w:rsid w:val="000B302A"/>
    <w:rsid w:val="000B51F0"/>
    <w:rsid w:val="000C3FDE"/>
    <w:rsid w:val="000C571D"/>
    <w:rsid w:val="000C5F40"/>
    <w:rsid w:val="000D10AA"/>
    <w:rsid w:val="000E0B74"/>
    <w:rsid w:val="000E7901"/>
    <w:rsid w:val="000E7AA3"/>
    <w:rsid w:val="000F6233"/>
    <w:rsid w:val="00103F3C"/>
    <w:rsid w:val="001118CB"/>
    <w:rsid w:val="00111FB9"/>
    <w:rsid w:val="00125BC4"/>
    <w:rsid w:val="00131DC3"/>
    <w:rsid w:val="00135E4C"/>
    <w:rsid w:val="001373F5"/>
    <w:rsid w:val="001574C0"/>
    <w:rsid w:val="001606CF"/>
    <w:rsid w:val="0016128D"/>
    <w:rsid w:val="00164599"/>
    <w:rsid w:val="0017089D"/>
    <w:rsid w:val="00175161"/>
    <w:rsid w:val="001805A8"/>
    <w:rsid w:val="0019101A"/>
    <w:rsid w:val="00191F46"/>
    <w:rsid w:val="00195C8E"/>
    <w:rsid w:val="001972D2"/>
    <w:rsid w:val="001B1B53"/>
    <w:rsid w:val="001C358D"/>
    <w:rsid w:val="001C40A0"/>
    <w:rsid w:val="001D7FCA"/>
    <w:rsid w:val="001E16D3"/>
    <w:rsid w:val="001E780D"/>
    <w:rsid w:val="001F1B27"/>
    <w:rsid w:val="0021086B"/>
    <w:rsid w:val="00221EC0"/>
    <w:rsid w:val="00231049"/>
    <w:rsid w:val="002314D2"/>
    <w:rsid w:val="0023305C"/>
    <w:rsid w:val="00241881"/>
    <w:rsid w:val="0024294C"/>
    <w:rsid w:val="00242F78"/>
    <w:rsid w:val="002461BA"/>
    <w:rsid w:val="002543D8"/>
    <w:rsid w:val="0025652F"/>
    <w:rsid w:val="00260270"/>
    <w:rsid w:val="00263B6C"/>
    <w:rsid w:val="002647A3"/>
    <w:rsid w:val="00272939"/>
    <w:rsid w:val="002754B0"/>
    <w:rsid w:val="0027590B"/>
    <w:rsid w:val="002813B0"/>
    <w:rsid w:val="00285969"/>
    <w:rsid w:val="00295B30"/>
    <w:rsid w:val="002A74EF"/>
    <w:rsid w:val="002A7A31"/>
    <w:rsid w:val="002A7DDC"/>
    <w:rsid w:val="002B3829"/>
    <w:rsid w:val="002C22EF"/>
    <w:rsid w:val="002C6F53"/>
    <w:rsid w:val="002E1150"/>
    <w:rsid w:val="002E1FB6"/>
    <w:rsid w:val="002E20E2"/>
    <w:rsid w:val="002E454C"/>
    <w:rsid w:val="002E54E5"/>
    <w:rsid w:val="002F617F"/>
    <w:rsid w:val="00300109"/>
    <w:rsid w:val="003015F7"/>
    <w:rsid w:val="00301755"/>
    <w:rsid w:val="0030665E"/>
    <w:rsid w:val="00306894"/>
    <w:rsid w:val="003122F4"/>
    <w:rsid w:val="0032059B"/>
    <w:rsid w:val="003268D5"/>
    <w:rsid w:val="003318B1"/>
    <w:rsid w:val="0033755F"/>
    <w:rsid w:val="003448F6"/>
    <w:rsid w:val="00350759"/>
    <w:rsid w:val="00354D27"/>
    <w:rsid w:val="0035507A"/>
    <w:rsid w:val="00356208"/>
    <w:rsid w:val="003563F7"/>
    <w:rsid w:val="003567D3"/>
    <w:rsid w:val="0035738A"/>
    <w:rsid w:val="00375655"/>
    <w:rsid w:val="003858A6"/>
    <w:rsid w:val="00386297"/>
    <w:rsid w:val="00386772"/>
    <w:rsid w:val="00392DCC"/>
    <w:rsid w:val="00393082"/>
    <w:rsid w:val="00397BB5"/>
    <w:rsid w:val="003A5B36"/>
    <w:rsid w:val="003C24B4"/>
    <w:rsid w:val="003D144A"/>
    <w:rsid w:val="003D5699"/>
    <w:rsid w:val="003E20D6"/>
    <w:rsid w:val="003E4D87"/>
    <w:rsid w:val="003F29D6"/>
    <w:rsid w:val="00401082"/>
    <w:rsid w:val="00410819"/>
    <w:rsid w:val="00416762"/>
    <w:rsid w:val="00416E55"/>
    <w:rsid w:val="00421955"/>
    <w:rsid w:val="0042518A"/>
    <w:rsid w:val="004276A0"/>
    <w:rsid w:val="00433A31"/>
    <w:rsid w:val="004440EC"/>
    <w:rsid w:val="00444A63"/>
    <w:rsid w:val="00445265"/>
    <w:rsid w:val="004559CE"/>
    <w:rsid w:val="00460E1A"/>
    <w:rsid w:val="0046173D"/>
    <w:rsid w:val="00463DF8"/>
    <w:rsid w:val="00473323"/>
    <w:rsid w:val="00475085"/>
    <w:rsid w:val="004753FB"/>
    <w:rsid w:val="00476CF6"/>
    <w:rsid w:val="00477AA8"/>
    <w:rsid w:val="00481577"/>
    <w:rsid w:val="00485DD5"/>
    <w:rsid w:val="00492FCB"/>
    <w:rsid w:val="004940E0"/>
    <w:rsid w:val="004974B9"/>
    <w:rsid w:val="004A0F11"/>
    <w:rsid w:val="004A3EAA"/>
    <w:rsid w:val="004A4594"/>
    <w:rsid w:val="004A7414"/>
    <w:rsid w:val="004A7D97"/>
    <w:rsid w:val="004B5133"/>
    <w:rsid w:val="004B5741"/>
    <w:rsid w:val="004C0006"/>
    <w:rsid w:val="004C2902"/>
    <w:rsid w:val="004C41B6"/>
    <w:rsid w:val="004D6E37"/>
    <w:rsid w:val="004D7062"/>
    <w:rsid w:val="004E00EA"/>
    <w:rsid w:val="004E1626"/>
    <w:rsid w:val="004E204E"/>
    <w:rsid w:val="004E6B14"/>
    <w:rsid w:val="004F4B92"/>
    <w:rsid w:val="004F5C02"/>
    <w:rsid w:val="00501B6C"/>
    <w:rsid w:val="00502A9D"/>
    <w:rsid w:val="005113EF"/>
    <w:rsid w:val="00511567"/>
    <w:rsid w:val="00516785"/>
    <w:rsid w:val="005219B1"/>
    <w:rsid w:val="00523858"/>
    <w:rsid w:val="0052419D"/>
    <w:rsid w:val="0052530D"/>
    <w:rsid w:val="005301F8"/>
    <w:rsid w:val="005312FC"/>
    <w:rsid w:val="00532C6D"/>
    <w:rsid w:val="0053569E"/>
    <w:rsid w:val="0053603D"/>
    <w:rsid w:val="0053742A"/>
    <w:rsid w:val="00537C85"/>
    <w:rsid w:val="00541D29"/>
    <w:rsid w:val="00543F23"/>
    <w:rsid w:val="00562F17"/>
    <w:rsid w:val="0056582C"/>
    <w:rsid w:val="005776B2"/>
    <w:rsid w:val="00586605"/>
    <w:rsid w:val="005868DE"/>
    <w:rsid w:val="005877AC"/>
    <w:rsid w:val="005966B7"/>
    <w:rsid w:val="00596EB2"/>
    <w:rsid w:val="005B3FE0"/>
    <w:rsid w:val="005B5E2A"/>
    <w:rsid w:val="005C02A4"/>
    <w:rsid w:val="005C1025"/>
    <w:rsid w:val="005C136F"/>
    <w:rsid w:val="005C20D2"/>
    <w:rsid w:val="005C32FE"/>
    <w:rsid w:val="005C503A"/>
    <w:rsid w:val="005D024A"/>
    <w:rsid w:val="005D4FD4"/>
    <w:rsid w:val="005D6D64"/>
    <w:rsid w:val="00601650"/>
    <w:rsid w:val="00604EEF"/>
    <w:rsid w:val="00605AFD"/>
    <w:rsid w:val="006123D4"/>
    <w:rsid w:val="0061445B"/>
    <w:rsid w:val="00622F7F"/>
    <w:rsid w:val="00624C4B"/>
    <w:rsid w:val="006404C1"/>
    <w:rsid w:val="006469CC"/>
    <w:rsid w:val="00655BAB"/>
    <w:rsid w:val="00672B5D"/>
    <w:rsid w:val="0067622C"/>
    <w:rsid w:val="00682249"/>
    <w:rsid w:val="00685CF7"/>
    <w:rsid w:val="00686165"/>
    <w:rsid w:val="00691CB5"/>
    <w:rsid w:val="006923DF"/>
    <w:rsid w:val="00693C01"/>
    <w:rsid w:val="006948F8"/>
    <w:rsid w:val="006A37F5"/>
    <w:rsid w:val="006A63C8"/>
    <w:rsid w:val="006B38FF"/>
    <w:rsid w:val="006C0E36"/>
    <w:rsid w:val="006C17F0"/>
    <w:rsid w:val="006C1892"/>
    <w:rsid w:val="006C5B73"/>
    <w:rsid w:val="006C645D"/>
    <w:rsid w:val="006D78F1"/>
    <w:rsid w:val="006E1A81"/>
    <w:rsid w:val="006E2D2A"/>
    <w:rsid w:val="006E3CC3"/>
    <w:rsid w:val="006F64EC"/>
    <w:rsid w:val="00700EDC"/>
    <w:rsid w:val="00704748"/>
    <w:rsid w:val="00706E8E"/>
    <w:rsid w:val="00717518"/>
    <w:rsid w:val="00722B53"/>
    <w:rsid w:val="00723527"/>
    <w:rsid w:val="00727E1E"/>
    <w:rsid w:val="00742366"/>
    <w:rsid w:val="00744484"/>
    <w:rsid w:val="007509DD"/>
    <w:rsid w:val="00763474"/>
    <w:rsid w:val="00766184"/>
    <w:rsid w:val="00770FDB"/>
    <w:rsid w:val="0077659A"/>
    <w:rsid w:val="0078257B"/>
    <w:rsid w:val="00783D75"/>
    <w:rsid w:val="00784C0A"/>
    <w:rsid w:val="007863CB"/>
    <w:rsid w:val="00794B40"/>
    <w:rsid w:val="007969F8"/>
    <w:rsid w:val="00796E26"/>
    <w:rsid w:val="00797994"/>
    <w:rsid w:val="007A1079"/>
    <w:rsid w:val="007A1E98"/>
    <w:rsid w:val="007B2677"/>
    <w:rsid w:val="007B368D"/>
    <w:rsid w:val="007B76AB"/>
    <w:rsid w:val="007B7D25"/>
    <w:rsid w:val="007D592B"/>
    <w:rsid w:val="007D5AA6"/>
    <w:rsid w:val="007D7A91"/>
    <w:rsid w:val="007E6456"/>
    <w:rsid w:val="007F6E1C"/>
    <w:rsid w:val="008039AA"/>
    <w:rsid w:val="00806494"/>
    <w:rsid w:val="00811943"/>
    <w:rsid w:val="00815C81"/>
    <w:rsid w:val="008229D2"/>
    <w:rsid w:val="008249C2"/>
    <w:rsid w:val="00830EE0"/>
    <w:rsid w:val="008311B8"/>
    <w:rsid w:val="00834243"/>
    <w:rsid w:val="008352F1"/>
    <w:rsid w:val="008374C4"/>
    <w:rsid w:val="00840A05"/>
    <w:rsid w:val="00847079"/>
    <w:rsid w:val="00847AEC"/>
    <w:rsid w:val="00857969"/>
    <w:rsid w:val="00864C28"/>
    <w:rsid w:val="0087578A"/>
    <w:rsid w:val="00882CC4"/>
    <w:rsid w:val="008844AC"/>
    <w:rsid w:val="00895BE6"/>
    <w:rsid w:val="00897F46"/>
    <w:rsid w:val="008A288B"/>
    <w:rsid w:val="008B534D"/>
    <w:rsid w:val="008C1C19"/>
    <w:rsid w:val="008C7F71"/>
    <w:rsid w:val="008D339F"/>
    <w:rsid w:val="008E24D2"/>
    <w:rsid w:val="008E3AE1"/>
    <w:rsid w:val="008E6292"/>
    <w:rsid w:val="008F23EB"/>
    <w:rsid w:val="00906E61"/>
    <w:rsid w:val="00911215"/>
    <w:rsid w:val="00913B39"/>
    <w:rsid w:val="009146C5"/>
    <w:rsid w:val="00917E28"/>
    <w:rsid w:val="00925AA5"/>
    <w:rsid w:val="0093540D"/>
    <w:rsid w:val="0094019D"/>
    <w:rsid w:val="00942C11"/>
    <w:rsid w:val="0094351F"/>
    <w:rsid w:val="00952B31"/>
    <w:rsid w:val="009547F8"/>
    <w:rsid w:val="00956E58"/>
    <w:rsid w:val="00962ACF"/>
    <w:rsid w:val="009703FC"/>
    <w:rsid w:val="009729D4"/>
    <w:rsid w:val="00980759"/>
    <w:rsid w:val="009817B0"/>
    <w:rsid w:val="009821CE"/>
    <w:rsid w:val="00985BDF"/>
    <w:rsid w:val="00990F77"/>
    <w:rsid w:val="009A0A69"/>
    <w:rsid w:val="009A0B7E"/>
    <w:rsid w:val="009A277C"/>
    <w:rsid w:val="009A658F"/>
    <w:rsid w:val="009B088F"/>
    <w:rsid w:val="009B2249"/>
    <w:rsid w:val="009B75F7"/>
    <w:rsid w:val="009B7969"/>
    <w:rsid w:val="009D2CFF"/>
    <w:rsid w:val="009E0CA5"/>
    <w:rsid w:val="009E171B"/>
    <w:rsid w:val="00A015E8"/>
    <w:rsid w:val="00A07D47"/>
    <w:rsid w:val="00A10018"/>
    <w:rsid w:val="00A10593"/>
    <w:rsid w:val="00A12F62"/>
    <w:rsid w:val="00A14FE9"/>
    <w:rsid w:val="00A155F0"/>
    <w:rsid w:val="00A16EAC"/>
    <w:rsid w:val="00A21080"/>
    <w:rsid w:val="00A3749B"/>
    <w:rsid w:val="00A37D87"/>
    <w:rsid w:val="00A50D88"/>
    <w:rsid w:val="00A5303B"/>
    <w:rsid w:val="00A54654"/>
    <w:rsid w:val="00A56923"/>
    <w:rsid w:val="00A605FF"/>
    <w:rsid w:val="00A62E42"/>
    <w:rsid w:val="00A64A71"/>
    <w:rsid w:val="00A71ED1"/>
    <w:rsid w:val="00A7236C"/>
    <w:rsid w:val="00A72960"/>
    <w:rsid w:val="00A72D8F"/>
    <w:rsid w:val="00A74815"/>
    <w:rsid w:val="00A86A14"/>
    <w:rsid w:val="00A90DC4"/>
    <w:rsid w:val="00A93401"/>
    <w:rsid w:val="00A967D9"/>
    <w:rsid w:val="00A97160"/>
    <w:rsid w:val="00AA41D0"/>
    <w:rsid w:val="00AA4546"/>
    <w:rsid w:val="00AB0C90"/>
    <w:rsid w:val="00AB2DC2"/>
    <w:rsid w:val="00AC3196"/>
    <w:rsid w:val="00AC4065"/>
    <w:rsid w:val="00AC75E2"/>
    <w:rsid w:val="00AD46D3"/>
    <w:rsid w:val="00AE2F90"/>
    <w:rsid w:val="00AF4844"/>
    <w:rsid w:val="00B0206B"/>
    <w:rsid w:val="00B03DD6"/>
    <w:rsid w:val="00B143BD"/>
    <w:rsid w:val="00B214C6"/>
    <w:rsid w:val="00B23279"/>
    <w:rsid w:val="00B275E6"/>
    <w:rsid w:val="00B3583B"/>
    <w:rsid w:val="00B37A8F"/>
    <w:rsid w:val="00B40861"/>
    <w:rsid w:val="00B42360"/>
    <w:rsid w:val="00B55B04"/>
    <w:rsid w:val="00B65347"/>
    <w:rsid w:val="00B65DE1"/>
    <w:rsid w:val="00B72AF0"/>
    <w:rsid w:val="00B737EB"/>
    <w:rsid w:val="00B775EE"/>
    <w:rsid w:val="00B87927"/>
    <w:rsid w:val="00B94878"/>
    <w:rsid w:val="00BA0C97"/>
    <w:rsid w:val="00BB00F3"/>
    <w:rsid w:val="00BB31C3"/>
    <w:rsid w:val="00BC6E69"/>
    <w:rsid w:val="00BD074B"/>
    <w:rsid w:val="00BD1E97"/>
    <w:rsid w:val="00BD26AA"/>
    <w:rsid w:val="00BD2B12"/>
    <w:rsid w:val="00BD454F"/>
    <w:rsid w:val="00BD6C37"/>
    <w:rsid w:val="00BE0F5A"/>
    <w:rsid w:val="00BE7EA5"/>
    <w:rsid w:val="00C01DCC"/>
    <w:rsid w:val="00C14617"/>
    <w:rsid w:val="00C202B3"/>
    <w:rsid w:val="00C21EE0"/>
    <w:rsid w:val="00C252D2"/>
    <w:rsid w:val="00C30297"/>
    <w:rsid w:val="00C40E8F"/>
    <w:rsid w:val="00C44C1D"/>
    <w:rsid w:val="00C4695B"/>
    <w:rsid w:val="00C50B48"/>
    <w:rsid w:val="00C555AC"/>
    <w:rsid w:val="00C713ED"/>
    <w:rsid w:val="00C72318"/>
    <w:rsid w:val="00C724E6"/>
    <w:rsid w:val="00C747A5"/>
    <w:rsid w:val="00C747D4"/>
    <w:rsid w:val="00C8276B"/>
    <w:rsid w:val="00C83C26"/>
    <w:rsid w:val="00C84C56"/>
    <w:rsid w:val="00C85314"/>
    <w:rsid w:val="00C964E0"/>
    <w:rsid w:val="00CA0116"/>
    <w:rsid w:val="00CA1C1D"/>
    <w:rsid w:val="00CA3CF5"/>
    <w:rsid w:val="00CA4BC0"/>
    <w:rsid w:val="00CA5CA8"/>
    <w:rsid w:val="00CB0157"/>
    <w:rsid w:val="00CB28E9"/>
    <w:rsid w:val="00CB3E79"/>
    <w:rsid w:val="00CB5205"/>
    <w:rsid w:val="00CC38AC"/>
    <w:rsid w:val="00CC4E0A"/>
    <w:rsid w:val="00CC559D"/>
    <w:rsid w:val="00CD0C13"/>
    <w:rsid w:val="00CD654B"/>
    <w:rsid w:val="00CE223E"/>
    <w:rsid w:val="00CE7022"/>
    <w:rsid w:val="00CF061B"/>
    <w:rsid w:val="00CF3F0D"/>
    <w:rsid w:val="00CF5A99"/>
    <w:rsid w:val="00D101F7"/>
    <w:rsid w:val="00D145F5"/>
    <w:rsid w:val="00D2312B"/>
    <w:rsid w:val="00D24043"/>
    <w:rsid w:val="00D316A1"/>
    <w:rsid w:val="00D329F1"/>
    <w:rsid w:val="00D35572"/>
    <w:rsid w:val="00D355F0"/>
    <w:rsid w:val="00D43A7A"/>
    <w:rsid w:val="00D43AC8"/>
    <w:rsid w:val="00D50879"/>
    <w:rsid w:val="00D51610"/>
    <w:rsid w:val="00D55CBE"/>
    <w:rsid w:val="00D56113"/>
    <w:rsid w:val="00D643F4"/>
    <w:rsid w:val="00D64CEC"/>
    <w:rsid w:val="00D75464"/>
    <w:rsid w:val="00D7568B"/>
    <w:rsid w:val="00D833D9"/>
    <w:rsid w:val="00D83BD9"/>
    <w:rsid w:val="00D94DCF"/>
    <w:rsid w:val="00D94EAE"/>
    <w:rsid w:val="00DA586F"/>
    <w:rsid w:val="00DB08DA"/>
    <w:rsid w:val="00DB7F09"/>
    <w:rsid w:val="00DC00E8"/>
    <w:rsid w:val="00DC1C56"/>
    <w:rsid w:val="00DC4756"/>
    <w:rsid w:val="00DC6379"/>
    <w:rsid w:val="00DC6AAD"/>
    <w:rsid w:val="00DD5B76"/>
    <w:rsid w:val="00DE1A22"/>
    <w:rsid w:val="00DE2763"/>
    <w:rsid w:val="00DE3A53"/>
    <w:rsid w:val="00DE3C77"/>
    <w:rsid w:val="00DE70F1"/>
    <w:rsid w:val="00DF437E"/>
    <w:rsid w:val="00DF4ECB"/>
    <w:rsid w:val="00DF6F61"/>
    <w:rsid w:val="00E101C6"/>
    <w:rsid w:val="00E22D51"/>
    <w:rsid w:val="00E349A7"/>
    <w:rsid w:val="00E50E7C"/>
    <w:rsid w:val="00E51545"/>
    <w:rsid w:val="00E51D9E"/>
    <w:rsid w:val="00E537D1"/>
    <w:rsid w:val="00E567E6"/>
    <w:rsid w:val="00E56971"/>
    <w:rsid w:val="00E61484"/>
    <w:rsid w:val="00E64535"/>
    <w:rsid w:val="00E7017C"/>
    <w:rsid w:val="00E711D7"/>
    <w:rsid w:val="00E77411"/>
    <w:rsid w:val="00E815E1"/>
    <w:rsid w:val="00E902B0"/>
    <w:rsid w:val="00E902E8"/>
    <w:rsid w:val="00E90BA9"/>
    <w:rsid w:val="00E9296B"/>
    <w:rsid w:val="00E97C19"/>
    <w:rsid w:val="00EA23AC"/>
    <w:rsid w:val="00EA398F"/>
    <w:rsid w:val="00EA51CF"/>
    <w:rsid w:val="00EA7C3D"/>
    <w:rsid w:val="00EB308A"/>
    <w:rsid w:val="00EB4B0B"/>
    <w:rsid w:val="00EB6878"/>
    <w:rsid w:val="00EB6D4C"/>
    <w:rsid w:val="00EC1E0E"/>
    <w:rsid w:val="00EC236D"/>
    <w:rsid w:val="00EC6B16"/>
    <w:rsid w:val="00ED515F"/>
    <w:rsid w:val="00ED5A20"/>
    <w:rsid w:val="00EE1447"/>
    <w:rsid w:val="00EE1BF1"/>
    <w:rsid w:val="00EE4864"/>
    <w:rsid w:val="00EE4F1B"/>
    <w:rsid w:val="00EE7744"/>
    <w:rsid w:val="00EF03E1"/>
    <w:rsid w:val="00EF145E"/>
    <w:rsid w:val="00EF2BBB"/>
    <w:rsid w:val="00F0082D"/>
    <w:rsid w:val="00F015AB"/>
    <w:rsid w:val="00F045E0"/>
    <w:rsid w:val="00F07C90"/>
    <w:rsid w:val="00F1050E"/>
    <w:rsid w:val="00F20F8A"/>
    <w:rsid w:val="00F265F3"/>
    <w:rsid w:val="00F304A4"/>
    <w:rsid w:val="00F33DB8"/>
    <w:rsid w:val="00F34166"/>
    <w:rsid w:val="00F41E80"/>
    <w:rsid w:val="00F44272"/>
    <w:rsid w:val="00F46CDF"/>
    <w:rsid w:val="00F51D7F"/>
    <w:rsid w:val="00F52DFA"/>
    <w:rsid w:val="00F5365A"/>
    <w:rsid w:val="00F53BA5"/>
    <w:rsid w:val="00F57BED"/>
    <w:rsid w:val="00F60198"/>
    <w:rsid w:val="00F63193"/>
    <w:rsid w:val="00F669CD"/>
    <w:rsid w:val="00F67F7D"/>
    <w:rsid w:val="00F737DB"/>
    <w:rsid w:val="00F7613A"/>
    <w:rsid w:val="00F76898"/>
    <w:rsid w:val="00F82746"/>
    <w:rsid w:val="00F82C98"/>
    <w:rsid w:val="00F836F9"/>
    <w:rsid w:val="00F845D7"/>
    <w:rsid w:val="00F87F0C"/>
    <w:rsid w:val="00F92279"/>
    <w:rsid w:val="00F937BC"/>
    <w:rsid w:val="00FB4D21"/>
    <w:rsid w:val="00FB762B"/>
    <w:rsid w:val="00FC0C39"/>
    <w:rsid w:val="00FC5F0D"/>
    <w:rsid w:val="00FC6ADA"/>
    <w:rsid w:val="00FC7F0B"/>
    <w:rsid w:val="00FD55E5"/>
    <w:rsid w:val="00FF3088"/>
    <w:rsid w:val="00FF4FA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46A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49A7"/>
    <w:pPr>
      <w:spacing w:before="120" w:after="120" w:line="240" w:lineRule="auto"/>
    </w:pPr>
    <w:rPr>
      <w:rFonts w:ascii="Calibri Light" w:eastAsia="Times New Roman" w:hAnsi="Calibri Light" w:cs="Times New Roman"/>
      <w:szCs w:val="20"/>
      <w:lang w:eastAsia="en-AU"/>
    </w:rPr>
  </w:style>
  <w:style w:type="paragraph" w:styleId="Heading1">
    <w:name w:val="heading 1"/>
    <w:basedOn w:val="HeadingBase"/>
    <w:next w:val="Normal"/>
    <w:link w:val="Heading1Char"/>
    <w:qFormat/>
    <w:rsid w:val="00ED5A20"/>
    <w:pPr>
      <w:spacing w:before="600" w:line="460" w:lineRule="exact"/>
      <w:outlineLvl w:val="0"/>
    </w:pPr>
    <w:rPr>
      <w:b/>
      <w:bCs w:val="0"/>
      <w:color w:val="5D779D" w:themeColor="accent3"/>
      <w:sz w:val="44"/>
    </w:rPr>
  </w:style>
  <w:style w:type="paragraph" w:styleId="Heading2">
    <w:name w:val="heading 2"/>
    <w:basedOn w:val="HeadingBase"/>
    <w:next w:val="Normal"/>
    <w:link w:val="Heading2Char"/>
    <w:qFormat/>
    <w:rsid w:val="00386297"/>
    <w:pPr>
      <w:spacing w:before="360" w:line="460" w:lineRule="exact"/>
      <w:outlineLvl w:val="1"/>
    </w:pPr>
    <w:rPr>
      <w:bCs w:val="0"/>
      <w:iCs/>
      <w:color w:val="2C384A" w:themeColor="accent1"/>
      <w:sz w:val="36"/>
      <w:szCs w:val="28"/>
    </w:rPr>
  </w:style>
  <w:style w:type="paragraph" w:styleId="Heading3">
    <w:name w:val="heading 3"/>
    <w:basedOn w:val="HeadingBase"/>
    <w:next w:val="Normal"/>
    <w:link w:val="Heading3Char"/>
    <w:qFormat/>
    <w:rsid w:val="00ED5A20"/>
    <w:pPr>
      <w:spacing w:before="320" w:after="0" w:line="276" w:lineRule="auto"/>
      <w:outlineLvl w:val="2"/>
    </w:pPr>
    <w:rPr>
      <w:b/>
      <w:bCs w:val="0"/>
      <w:color w:val="4D7861" w:themeColor="accent2"/>
      <w:sz w:val="28"/>
      <w:szCs w:val="26"/>
    </w:rPr>
  </w:style>
  <w:style w:type="paragraph" w:styleId="Heading4">
    <w:name w:val="heading 4"/>
    <w:basedOn w:val="HeadingBase"/>
    <w:next w:val="Normal"/>
    <w:link w:val="Heading4Char"/>
    <w:qFormat/>
    <w:rsid w:val="00ED5A20"/>
    <w:pPr>
      <w:spacing w:before="280" w:after="0" w:line="276" w:lineRule="auto"/>
      <w:outlineLvl w:val="3"/>
    </w:pPr>
    <w:rPr>
      <w:rFonts w:ascii="Calibri Light" w:hAnsi="Calibri Light"/>
      <w:bCs w:val="0"/>
      <w:color w:val="4D7861" w:themeColor="accent2"/>
      <w:sz w:val="24"/>
      <w:szCs w:val="26"/>
    </w:rPr>
  </w:style>
  <w:style w:type="paragraph" w:styleId="Heading5">
    <w:name w:val="heading 5"/>
    <w:basedOn w:val="HeadingBase"/>
    <w:next w:val="Normal"/>
    <w:link w:val="Heading5Char"/>
    <w:rsid w:val="00E349A7"/>
    <w:pPr>
      <w:spacing w:before="240" w:after="0" w:line="276" w:lineRule="auto"/>
      <w:outlineLvl w:val="4"/>
    </w:pPr>
    <w:rPr>
      <w:rFonts w:asciiTheme="majorHAnsi" w:hAnsiTheme="majorHAnsi"/>
      <w:b/>
      <w:bCs w:val="0"/>
      <w:iCs/>
      <w:color w:val="000000" w:themeColor="text1"/>
      <w:sz w:val="22"/>
    </w:rPr>
  </w:style>
  <w:style w:type="paragraph" w:styleId="Heading6">
    <w:name w:val="heading 6"/>
    <w:basedOn w:val="HeadingBase"/>
    <w:next w:val="Normal"/>
    <w:link w:val="Heading6Char"/>
    <w:rsid w:val="00E349A7"/>
    <w:pPr>
      <w:spacing w:before="120" w:after="0" w:line="276" w:lineRule="auto"/>
      <w:outlineLvl w:val="5"/>
    </w:pPr>
    <w:rPr>
      <w:rFonts w:ascii="Calibri Light" w:hAnsi="Calibri Light"/>
      <w:bCs w:val="0"/>
      <w:color w:val="000000" w:themeColor="text1"/>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D5A20"/>
    <w:rPr>
      <w:rFonts w:ascii="Calibri" w:eastAsia="Times New Roman" w:hAnsi="Calibri" w:cs="Arial"/>
      <w:b/>
      <w:color w:val="5D779D" w:themeColor="accent3"/>
      <w:kern w:val="32"/>
      <w:sz w:val="44"/>
      <w:szCs w:val="36"/>
      <w:lang w:eastAsia="en-AU"/>
    </w:rPr>
  </w:style>
  <w:style w:type="character" w:customStyle="1" w:styleId="Heading2Char">
    <w:name w:val="Heading 2 Char"/>
    <w:basedOn w:val="DefaultParagraphFont"/>
    <w:link w:val="Heading2"/>
    <w:rsid w:val="00386297"/>
    <w:rPr>
      <w:rFonts w:ascii="Calibri" w:eastAsia="Times New Roman" w:hAnsi="Calibri" w:cs="Arial"/>
      <w:iCs/>
      <w:color w:val="2C384A" w:themeColor="accent1"/>
      <w:kern w:val="32"/>
      <w:sz w:val="36"/>
      <w:szCs w:val="28"/>
      <w:lang w:eastAsia="en-AU"/>
    </w:rPr>
  </w:style>
  <w:style w:type="character" w:customStyle="1" w:styleId="Heading3Char">
    <w:name w:val="Heading 3 Char"/>
    <w:basedOn w:val="DefaultParagraphFont"/>
    <w:link w:val="Heading3"/>
    <w:rsid w:val="00ED5A20"/>
    <w:rPr>
      <w:rFonts w:ascii="Calibri" w:eastAsia="Times New Roman" w:hAnsi="Calibri" w:cs="Arial"/>
      <w:b/>
      <w:color w:val="4D7861" w:themeColor="accent2"/>
      <w:kern w:val="32"/>
      <w:sz w:val="28"/>
      <w:szCs w:val="26"/>
      <w:lang w:eastAsia="en-AU"/>
    </w:rPr>
  </w:style>
  <w:style w:type="character" w:customStyle="1" w:styleId="Heading4Char">
    <w:name w:val="Heading 4 Char"/>
    <w:basedOn w:val="DefaultParagraphFont"/>
    <w:link w:val="Heading4"/>
    <w:rsid w:val="00ED5A20"/>
    <w:rPr>
      <w:rFonts w:ascii="Calibri Light" w:eastAsia="Times New Roman" w:hAnsi="Calibri Light" w:cs="Arial"/>
      <w:color w:val="4D7861" w:themeColor="accent2"/>
      <w:kern w:val="32"/>
      <w:sz w:val="24"/>
      <w:szCs w:val="26"/>
      <w:lang w:eastAsia="en-AU"/>
    </w:rPr>
  </w:style>
  <w:style w:type="character" w:customStyle="1" w:styleId="Heading5Char">
    <w:name w:val="Heading 5 Char"/>
    <w:basedOn w:val="DefaultParagraphFont"/>
    <w:link w:val="Heading5"/>
    <w:rsid w:val="00E349A7"/>
    <w:rPr>
      <w:rFonts w:asciiTheme="majorHAnsi" w:eastAsia="Times New Roman" w:hAnsiTheme="majorHAnsi" w:cs="Arial"/>
      <w:b/>
      <w:iCs/>
      <w:color w:val="000000" w:themeColor="text1"/>
      <w:kern w:val="32"/>
      <w:szCs w:val="36"/>
      <w:lang w:eastAsia="en-AU"/>
    </w:rPr>
  </w:style>
  <w:style w:type="character" w:customStyle="1" w:styleId="Heading6Char">
    <w:name w:val="Heading 6 Char"/>
    <w:basedOn w:val="DefaultParagraphFont"/>
    <w:link w:val="Heading6"/>
    <w:rsid w:val="00E349A7"/>
    <w:rPr>
      <w:rFonts w:ascii="Calibri Light" w:eastAsia="Times New Roman" w:hAnsi="Calibri Light" w:cs="Arial"/>
      <w:color w:val="000000" w:themeColor="text1"/>
      <w:kern w:val="32"/>
      <w:lang w:eastAsia="en-AU"/>
    </w:rPr>
  </w:style>
  <w:style w:type="paragraph" w:customStyle="1" w:styleId="ChartGraphic">
    <w:name w:val="Chart Graphic"/>
    <w:basedOn w:val="Normal"/>
    <w:next w:val="Normal"/>
    <w:rsid w:val="000E0B74"/>
    <w:pPr>
      <w:keepNext/>
      <w:spacing w:before="0" w:after="0"/>
      <w:jc w:val="center"/>
    </w:pPr>
    <w:rPr>
      <w:color w:val="004A7F"/>
      <w:sz w:val="20"/>
    </w:rPr>
  </w:style>
  <w:style w:type="paragraph" w:customStyle="1" w:styleId="AlphaParagraph">
    <w:name w:val="Alpha Paragraph"/>
    <w:basedOn w:val="Normal"/>
    <w:qFormat/>
    <w:rsid w:val="000E0B74"/>
    <w:pPr>
      <w:numPr>
        <w:ilvl w:val="1"/>
        <w:numId w:val="10"/>
      </w:numPr>
      <w:spacing w:before="0"/>
    </w:pPr>
  </w:style>
  <w:style w:type="character" w:customStyle="1" w:styleId="DashChar">
    <w:name w:val="Dash Char"/>
    <w:basedOn w:val="DefaultParagraphFont"/>
    <w:link w:val="Dash"/>
    <w:uiPriority w:val="99"/>
    <w:locked/>
    <w:rsid w:val="00E349A7"/>
    <w:rPr>
      <w:rFonts w:ascii="Calibri Light" w:eastAsia="Times New Roman" w:hAnsi="Calibri Light" w:cs="Times New Roman"/>
      <w:szCs w:val="20"/>
      <w:lang w:eastAsia="en-AU"/>
    </w:rPr>
  </w:style>
  <w:style w:type="character" w:customStyle="1" w:styleId="DoubleDotChar">
    <w:name w:val="Double Dot Char"/>
    <w:basedOn w:val="DefaultParagraphFont"/>
    <w:link w:val="DoubleDot"/>
    <w:uiPriority w:val="99"/>
    <w:locked/>
    <w:rsid w:val="00E349A7"/>
    <w:rPr>
      <w:rFonts w:ascii="Calibri Light" w:eastAsia="Times New Roman" w:hAnsi="Calibri Light" w:cs="Times New Roman"/>
      <w:szCs w:val="20"/>
      <w:lang w:eastAsia="en-AU"/>
    </w:rPr>
  </w:style>
  <w:style w:type="character" w:customStyle="1" w:styleId="BulletChar">
    <w:name w:val="Bullet Char"/>
    <w:basedOn w:val="DefaultParagraphFont"/>
    <w:link w:val="Bullet"/>
    <w:locked/>
    <w:rsid w:val="00C8276B"/>
    <w:rPr>
      <w:rFonts w:ascii="Calibri Light" w:eastAsia="Times New Roman" w:hAnsi="Calibri Light" w:cs="Times New Roman"/>
      <w:szCs w:val="20"/>
      <w:lang w:eastAsia="en-AU"/>
    </w:rPr>
  </w:style>
  <w:style w:type="paragraph" w:customStyle="1" w:styleId="BoxHeading">
    <w:name w:val="Box Heading"/>
    <w:basedOn w:val="Normal"/>
    <w:next w:val="Normal"/>
    <w:rsid w:val="00EB4B0B"/>
    <w:pPr>
      <w:keepNext/>
      <w:spacing w:before="240"/>
    </w:pPr>
    <w:rPr>
      <w:b/>
      <w:color w:val="2C384A" w:themeColor="accent1"/>
      <w:sz w:val="26"/>
      <w:szCs w:val="26"/>
    </w:rPr>
  </w:style>
  <w:style w:type="paragraph" w:customStyle="1" w:styleId="BoxText">
    <w:name w:val="Box Text"/>
    <w:basedOn w:val="Normal"/>
    <w:link w:val="BoxTextChar"/>
    <w:rsid w:val="00E349A7"/>
  </w:style>
  <w:style w:type="paragraph" w:customStyle="1" w:styleId="Bullet">
    <w:name w:val="Bullet"/>
    <w:aliases w:val="Body,BodyNum,Bullet + line,Bullet Char1,Bullet Char1 Char Char Char,Bullet Char1 Char Char Char Char,Bullet Char1 Char Char Char Char Char,b,b + line,b1,b1 Char Char Char,bulleted,level 1,CG-Bullet"/>
    <w:basedOn w:val="Normal"/>
    <w:link w:val="BulletChar"/>
    <w:qFormat/>
    <w:rsid w:val="00C8276B"/>
    <w:pPr>
      <w:numPr>
        <w:numId w:val="24"/>
      </w:numPr>
      <w:tabs>
        <w:tab w:val="left" w:pos="720"/>
      </w:tabs>
    </w:pPr>
  </w:style>
  <w:style w:type="paragraph" w:customStyle="1" w:styleId="ChartandTableFootnoteAlpha">
    <w:name w:val="Chart and Table Footnote Alpha"/>
    <w:rsid w:val="0023305C"/>
    <w:pPr>
      <w:numPr>
        <w:numId w:val="7"/>
      </w:numPr>
      <w:tabs>
        <w:tab w:val="num" w:pos="284"/>
      </w:tabs>
      <w:spacing w:after="0" w:line="240" w:lineRule="auto"/>
      <w:ind w:left="284" w:hanging="284"/>
      <w:jc w:val="both"/>
    </w:pPr>
    <w:rPr>
      <w:rFonts w:ascii="Calibri" w:eastAsia="Times New Roman" w:hAnsi="Calibri" w:cs="Times New Roman"/>
      <w:color w:val="000000"/>
      <w:sz w:val="18"/>
      <w:szCs w:val="16"/>
      <w:lang w:eastAsia="en-AU"/>
    </w:rPr>
  </w:style>
  <w:style w:type="paragraph" w:customStyle="1" w:styleId="ChartMainHeading">
    <w:name w:val="Chart Main Heading"/>
    <w:basedOn w:val="TableMainHeading"/>
    <w:next w:val="ChartGraphic"/>
    <w:rsid w:val="00E97C19"/>
    <w:pPr>
      <w:jc w:val="center"/>
    </w:pPr>
  </w:style>
  <w:style w:type="paragraph" w:customStyle="1" w:styleId="ChartorTableNote">
    <w:name w:val="Chart or Table Note"/>
    <w:next w:val="Normal"/>
    <w:rsid w:val="00B143BD"/>
    <w:pPr>
      <w:spacing w:after="0" w:line="240" w:lineRule="auto"/>
      <w:jc w:val="both"/>
    </w:pPr>
    <w:rPr>
      <w:rFonts w:ascii="Calibri Light" w:eastAsia="Times New Roman" w:hAnsi="Calibri Light" w:cs="Times New Roman"/>
      <w:color w:val="000000"/>
      <w:sz w:val="18"/>
      <w:szCs w:val="20"/>
      <w:lang w:eastAsia="en-AU"/>
    </w:rPr>
  </w:style>
  <w:style w:type="paragraph" w:customStyle="1" w:styleId="ChartSecondHeading">
    <w:name w:val="Chart Second Heading"/>
    <w:basedOn w:val="TableSecondHeading"/>
    <w:next w:val="ChartGraphic"/>
    <w:rsid w:val="009D2CFF"/>
    <w:pPr>
      <w:jc w:val="center"/>
    </w:pPr>
    <w:rPr>
      <w:b w:val="0"/>
      <w:bCs/>
    </w:rPr>
  </w:style>
  <w:style w:type="paragraph" w:customStyle="1" w:styleId="ReportDate">
    <w:name w:val="Report Date"/>
    <w:basedOn w:val="Normal"/>
    <w:link w:val="ReportDateChar"/>
    <w:rsid w:val="002A7A31"/>
    <w:pPr>
      <w:keepNext/>
      <w:spacing w:before="0" w:after="360"/>
    </w:pPr>
    <w:rPr>
      <w:color w:val="90B6F0"/>
      <w:sz w:val="32"/>
    </w:rPr>
  </w:style>
  <w:style w:type="paragraph" w:customStyle="1" w:styleId="Dash">
    <w:name w:val="Dash"/>
    <w:basedOn w:val="Normal"/>
    <w:link w:val="DashChar"/>
    <w:qFormat/>
    <w:rsid w:val="000E0B74"/>
    <w:pPr>
      <w:numPr>
        <w:ilvl w:val="1"/>
        <w:numId w:val="24"/>
      </w:numPr>
      <w:spacing w:before="0"/>
    </w:pPr>
  </w:style>
  <w:style w:type="paragraph" w:customStyle="1" w:styleId="DoubleDot">
    <w:name w:val="Double Dot"/>
    <w:basedOn w:val="Normal"/>
    <w:link w:val="DoubleDotChar"/>
    <w:qFormat/>
    <w:rsid w:val="000E0B74"/>
    <w:pPr>
      <w:numPr>
        <w:ilvl w:val="2"/>
        <w:numId w:val="24"/>
      </w:numPr>
      <w:spacing w:before="0"/>
    </w:pPr>
  </w:style>
  <w:style w:type="paragraph" w:customStyle="1" w:styleId="TableMainHeading">
    <w:name w:val="Table Main Heading"/>
    <w:basedOn w:val="Heading3"/>
    <w:next w:val="Normal"/>
    <w:rsid w:val="00E97C19"/>
    <w:pPr>
      <w:spacing w:before="120"/>
    </w:pPr>
    <w:rPr>
      <w:b w:val="0"/>
      <w:sz w:val="26"/>
    </w:rPr>
  </w:style>
  <w:style w:type="paragraph" w:customStyle="1" w:styleId="FooterEven">
    <w:name w:val="Footer Even"/>
    <w:basedOn w:val="Footer"/>
    <w:rsid w:val="00103F3C"/>
    <w:pPr>
      <w:keepNext/>
      <w:tabs>
        <w:tab w:val="clear" w:pos="4513"/>
        <w:tab w:val="clear" w:pos="9026"/>
        <w:tab w:val="right" w:pos="9072"/>
      </w:tabs>
      <w:jc w:val="left"/>
    </w:pPr>
    <w:rPr>
      <w:noProof/>
      <w:color w:val="2C384A" w:themeColor="accent1"/>
    </w:rPr>
  </w:style>
  <w:style w:type="paragraph" w:customStyle="1" w:styleId="FooterOdd">
    <w:name w:val="Footer Odd"/>
    <w:basedOn w:val="Footer"/>
    <w:rsid w:val="00103F3C"/>
    <w:pPr>
      <w:keepNext/>
      <w:tabs>
        <w:tab w:val="clear" w:pos="4513"/>
        <w:tab w:val="clear" w:pos="9026"/>
        <w:tab w:val="right" w:pos="9072"/>
      </w:tabs>
      <w:jc w:val="right"/>
    </w:pPr>
    <w:rPr>
      <w:color w:val="2C384A" w:themeColor="accent1"/>
    </w:rPr>
  </w:style>
  <w:style w:type="character" w:styleId="Hyperlink">
    <w:name w:val="Hyperlink"/>
    <w:basedOn w:val="DefaultParagraphFont"/>
    <w:uiPriority w:val="99"/>
    <w:rsid w:val="006923DF"/>
    <w:rPr>
      <w:color w:val="3A6FAF"/>
      <w:u w:val="none"/>
    </w:rPr>
  </w:style>
  <w:style w:type="paragraph" w:customStyle="1" w:styleId="OutlineNumbered1">
    <w:name w:val="Outline Numbered 1"/>
    <w:basedOn w:val="Normal"/>
    <w:rsid w:val="000E0B74"/>
    <w:pPr>
      <w:numPr>
        <w:numId w:val="6"/>
      </w:numPr>
      <w:spacing w:before="0"/>
    </w:pPr>
  </w:style>
  <w:style w:type="paragraph" w:customStyle="1" w:styleId="OutlineNumbered2">
    <w:name w:val="Outline Numbered 2"/>
    <w:basedOn w:val="Normal"/>
    <w:rsid w:val="000E0B74"/>
    <w:pPr>
      <w:numPr>
        <w:ilvl w:val="1"/>
        <w:numId w:val="6"/>
      </w:numPr>
      <w:spacing w:before="0"/>
    </w:pPr>
  </w:style>
  <w:style w:type="paragraph" w:customStyle="1" w:styleId="OutlineNumbered3">
    <w:name w:val="Outline Numbered 3"/>
    <w:basedOn w:val="Normal"/>
    <w:rsid w:val="000E0B74"/>
    <w:pPr>
      <w:numPr>
        <w:ilvl w:val="2"/>
        <w:numId w:val="6"/>
      </w:numPr>
      <w:spacing w:before="0"/>
    </w:pPr>
  </w:style>
  <w:style w:type="paragraph" w:customStyle="1" w:styleId="SingleParagraph">
    <w:name w:val="Single Paragraph"/>
    <w:basedOn w:val="Normal"/>
    <w:next w:val="Normal"/>
    <w:link w:val="SingleParagraphChar"/>
    <w:rsid w:val="000E0B74"/>
    <w:pPr>
      <w:spacing w:before="0" w:after="0"/>
    </w:pPr>
  </w:style>
  <w:style w:type="paragraph" w:customStyle="1" w:styleId="TableSecondHeading">
    <w:name w:val="Table Second Heading"/>
    <w:basedOn w:val="Normal"/>
    <w:next w:val="Normal"/>
    <w:rsid w:val="000E0B74"/>
    <w:pPr>
      <w:keepNext/>
      <w:spacing w:before="0" w:after="20"/>
    </w:pPr>
    <w:rPr>
      <w:b/>
      <w:color w:val="004A7F"/>
    </w:rPr>
  </w:style>
  <w:style w:type="paragraph" w:customStyle="1" w:styleId="TableColumnHeadingCentred">
    <w:name w:val="Table Column Heading Centred"/>
    <w:basedOn w:val="TableTextLeft"/>
    <w:rsid w:val="00A7236C"/>
    <w:pPr>
      <w:jc w:val="center"/>
    </w:pPr>
    <w:rPr>
      <w:b/>
      <w:color w:val="2C384A" w:themeColor="accent1"/>
    </w:rPr>
  </w:style>
  <w:style w:type="paragraph" w:customStyle="1" w:styleId="TableColumnHeadingLeft">
    <w:name w:val="Table Column Heading Left"/>
    <w:basedOn w:val="TableTextLeft"/>
    <w:rsid w:val="00A7236C"/>
    <w:rPr>
      <w:b/>
      <w:color w:val="2C384A" w:themeColor="accent1"/>
    </w:rPr>
  </w:style>
  <w:style w:type="paragraph" w:customStyle="1" w:styleId="TableColumnHeadingRight">
    <w:name w:val="Table Column Heading Right"/>
    <w:basedOn w:val="TableTextLeft"/>
    <w:rsid w:val="00A7236C"/>
    <w:pPr>
      <w:jc w:val="right"/>
    </w:pPr>
    <w:rPr>
      <w:b/>
      <w:color w:val="2C384A" w:themeColor="accent1"/>
    </w:rPr>
  </w:style>
  <w:style w:type="table" w:styleId="TableGrid">
    <w:name w:val="Table Grid"/>
    <w:basedOn w:val="TableNormal"/>
    <w:rsid w:val="00D316A1"/>
    <w:pPr>
      <w:spacing w:before="40" w:after="40" w:line="240" w:lineRule="auto"/>
    </w:pPr>
    <w:rPr>
      <w:rFonts w:ascii="Calibri Light" w:eastAsia="Times New Roman" w:hAnsi="Calibri Light" w:cs="Times New Roman"/>
      <w:sz w:val="18"/>
      <w:szCs w:val="20"/>
      <w:lang w:eastAsia="en-AU"/>
    </w:rPr>
    <w:tblPr/>
    <w:tcPr>
      <w:shd w:val="clear" w:color="auto" w:fill="auto"/>
    </w:tcPr>
    <w:tblStylePr w:type="firstRow">
      <w:pPr>
        <w:wordWrap/>
        <w:spacing w:beforeLines="0" w:before="40" w:beforeAutospacing="0" w:afterLines="0" w:after="40" w:afterAutospacing="0"/>
        <w:jc w:val="left"/>
      </w:pPr>
      <w:rPr>
        <w:rFonts w:ascii="Calibri Light" w:hAnsi="Calibri Light"/>
        <w:b/>
        <w:color w:val="2C384A" w:themeColor="accent1"/>
        <w:sz w:val="20"/>
      </w:rPr>
      <w:tblPr/>
      <w:tcPr>
        <w:shd w:val="clear" w:color="auto" w:fill="EEEEEE" w:themeFill="background2"/>
      </w:tcPr>
    </w:tblStylePr>
  </w:style>
  <w:style w:type="paragraph" w:customStyle="1" w:styleId="TableTextCentered">
    <w:name w:val="Table Text Centered"/>
    <w:basedOn w:val="TableTextRight"/>
    <w:rsid w:val="001972D2"/>
    <w:pPr>
      <w:jc w:val="center"/>
    </w:pPr>
  </w:style>
  <w:style w:type="paragraph" w:customStyle="1" w:styleId="TableTextLeft">
    <w:name w:val="Table Text Left"/>
    <w:basedOn w:val="TableTextRight"/>
    <w:rsid w:val="009A0A69"/>
    <w:pPr>
      <w:jc w:val="left"/>
    </w:pPr>
    <w:rPr>
      <w:sz w:val="20"/>
    </w:rPr>
  </w:style>
  <w:style w:type="paragraph" w:customStyle="1" w:styleId="TableTextRight">
    <w:name w:val="Table Text Right"/>
    <w:basedOn w:val="Normal"/>
    <w:rsid w:val="000E0B74"/>
    <w:pPr>
      <w:spacing w:before="40" w:after="40"/>
      <w:jc w:val="right"/>
    </w:pPr>
    <w:rPr>
      <w:color w:val="000000"/>
      <w:sz w:val="18"/>
    </w:rPr>
  </w:style>
  <w:style w:type="paragraph" w:styleId="TOC1">
    <w:name w:val="toc 1"/>
    <w:basedOn w:val="Normal"/>
    <w:next w:val="Normal"/>
    <w:uiPriority w:val="39"/>
    <w:rsid w:val="00A7236C"/>
    <w:pPr>
      <w:keepNext/>
      <w:tabs>
        <w:tab w:val="right" w:leader="dot" w:pos="9072"/>
      </w:tabs>
      <w:spacing w:before="180" w:after="0"/>
      <w:ind w:right="-2"/>
    </w:pPr>
    <w:rPr>
      <w:b/>
      <w:noProof/>
      <w:color w:val="2C384A" w:themeColor="accent1"/>
      <w:szCs w:val="22"/>
    </w:rPr>
  </w:style>
  <w:style w:type="paragraph" w:styleId="TOC2">
    <w:name w:val="toc 2"/>
    <w:basedOn w:val="Normal"/>
    <w:next w:val="Normal"/>
    <w:uiPriority w:val="39"/>
    <w:rsid w:val="00A7236C"/>
    <w:pPr>
      <w:keepNext/>
      <w:tabs>
        <w:tab w:val="right" w:leader="dot" w:pos="9072"/>
      </w:tabs>
      <w:spacing w:before="40" w:after="20"/>
      <w:ind w:right="-2"/>
    </w:pPr>
    <w:rPr>
      <w:noProof/>
      <w:color w:val="5D779D" w:themeColor="accent3"/>
    </w:rPr>
  </w:style>
  <w:style w:type="paragraph" w:styleId="TOC3">
    <w:name w:val="toc 3"/>
    <w:basedOn w:val="Normal"/>
    <w:next w:val="Normal"/>
    <w:uiPriority w:val="39"/>
    <w:rsid w:val="0025652F"/>
    <w:pPr>
      <w:tabs>
        <w:tab w:val="right" w:leader="dot" w:pos="9072"/>
      </w:tabs>
      <w:spacing w:before="20" w:after="0"/>
      <w:ind w:left="284" w:right="-2"/>
    </w:pPr>
    <w:rPr>
      <w:rFonts w:cs="Calibri"/>
      <w:noProof/>
    </w:rPr>
  </w:style>
  <w:style w:type="numbering" w:customStyle="1" w:styleId="OutlineList">
    <w:name w:val="OutlineList"/>
    <w:uiPriority w:val="99"/>
    <w:rsid w:val="000E0B74"/>
    <w:pPr>
      <w:numPr>
        <w:numId w:val="4"/>
      </w:numPr>
    </w:pPr>
  </w:style>
  <w:style w:type="numbering" w:customStyle="1" w:styleId="BulletedList">
    <w:name w:val="Bulleted List"/>
    <w:uiPriority w:val="99"/>
    <w:rsid w:val="000E0B74"/>
    <w:pPr>
      <w:numPr>
        <w:numId w:val="1"/>
      </w:numPr>
    </w:pPr>
  </w:style>
  <w:style w:type="numbering" w:customStyle="1" w:styleId="BoxBulletedList">
    <w:name w:val="Box Bulleted List"/>
    <w:uiPriority w:val="99"/>
    <w:rsid w:val="000E0B74"/>
    <w:pPr>
      <w:numPr>
        <w:numId w:val="2"/>
      </w:numPr>
    </w:pPr>
  </w:style>
  <w:style w:type="numbering" w:customStyle="1" w:styleId="OneLevelList">
    <w:name w:val="OneLevelList"/>
    <w:uiPriority w:val="99"/>
    <w:rsid w:val="000E0B74"/>
    <w:pPr>
      <w:numPr>
        <w:numId w:val="3"/>
      </w:numPr>
    </w:pPr>
  </w:style>
  <w:style w:type="numbering" w:customStyle="1" w:styleId="ChartandTableFootnoteAlphaList">
    <w:name w:val="ChartandTableFootnoteAlphaList"/>
    <w:uiPriority w:val="99"/>
    <w:rsid w:val="000E0B74"/>
    <w:pPr>
      <w:numPr>
        <w:numId w:val="17"/>
      </w:numPr>
    </w:pPr>
  </w:style>
  <w:style w:type="paragraph" w:customStyle="1" w:styleId="Heading1Numbered">
    <w:name w:val="Heading 1 Numbered"/>
    <w:basedOn w:val="Heading1"/>
    <w:next w:val="Normal"/>
    <w:rsid w:val="00EE1BF1"/>
    <w:pPr>
      <w:numPr>
        <w:numId w:val="8"/>
      </w:numPr>
    </w:pPr>
  </w:style>
  <w:style w:type="character" w:customStyle="1" w:styleId="SingleParagraphChar">
    <w:name w:val="Single Paragraph Char"/>
    <w:basedOn w:val="DefaultParagraphFont"/>
    <w:link w:val="SingleParagraph"/>
    <w:rsid w:val="000E0B74"/>
    <w:rPr>
      <w:rFonts w:ascii="Calibri" w:eastAsia="Times New Roman" w:hAnsi="Calibri" w:cs="Times New Roman"/>
      <w:szCs w:val="20"/>
      <w:lang w:eastAsia="en-AU"/>
    </w:rPr>
  </w:style>
  <w:style w:type="paragraph" w:customStyle="1" w:styleId="Heading2Numbered">
    <w:name w:val="Heading 2 Numbered"/>
    <w:basedOn w:val="Heading2"/>
    <w:next w:val="Normal"/>
    <w:rsid w:val="000E0B74"/>
    <w:pPr>
      <w:numPr>
        <w:ilvl w:val="1"/>
        <w:numId w:val="8"/>
      </w:numPr>
      <w:ind w:left="284" w:hanging="284"/>
    </w:pPr>
  </w:style>
  <w:style w:type="paragraph" w:customStyle="1" w:styleId="Heading3Numbered">
    <w:name w:val="Heading 3 Numbered"/>
    <w:basedOn w:val="Heading3"/>
    <w:rsid w:val="00EE1BF1"/>
    <w:pPr>
      <w:numPr>
        <w:ilvl w:val="2"/>
        <w:numId w:val="8"/>
      </w:numPr>
      <w:ind w:left="284" w:hanging="284"/>
    </w:pPr>
  </w:style>
  <w:style w:type="paragraph" w:styleId="Title">
    <w:name w:val="Title"/>
    <w:basedOn w:val="Normal"/>
    <w:next w:val="Normal"/>
    <w:link w:val="TitleChar"/>
    <w:uiPriority w:val="10"/>
    <w:rsid w:val="00EE1BF1"/>
    <w:pPr>
      <w:spacing w:before="0" w:after="300"/>
      <w:contextualSpacing/>
    </w:pPr>
    <w:rPr>
      <w:rFonts w:eastAsiaTheme="majorEastAsia" w:cstheme="majorBidi"/>
      <w:b/>
      <w:color w:val="FFFFFF" w:themeColor="background1"/>
      <w:spacing w:val="5"/>
      <w:kern w:val="28"/>
      <w:sz w:val="72"/>
      <w:szCs w:val="52"/>
    </w:rPr>
  </w:style>
  <w:style w:type="character" w:customStyle="1" w:styleId="TitleChar">
    <w:name w:val="Title Char"/>
    <w:basedOn w:val="DefaultParagraphFont"/>
    <w:link w:val="Title"/>
    <w:uiPriority w:val="10"/>
    <w:rsid w:val="00EE1BF1"/>
    <w:rPr>
      <w:rFonts w:ascii="Calibri" w:eastAsiaTheme="majorEastAsia" w:hAnsi="Calibri" w:cstheme="majorBidi"/>
      <w:b/>
      <w:color w:val="FFFFFF" w:themeColor="background1"/>
      <w:spacing w:val="5"/>
      <w:kern w:val="28"/>
      <w:sz w:val="72"/>
      <w:szCs w:val="52"/>
      <w:lang w:eastAsia="en-AU"/>
    </w:rPr>
  </w:style>
  <w:style w:type="paragraph" w:styleId="Subtitle">
    <w:name w:val="Subtitle"/>
    <w:basedOn w:val="Normal"/>
    <w:next w:val="Normal"/>
    <w:link w:val="SubtitleChar"/>
    <w:uiPriority w:val="11"/>
    <w:rsid w:val="00CB28E9"/>
    <w:pPr>
      <w:numPr>
        <w:ilvl w:val="1"/>
      </w:numPr>
    </w:pPr>
    <w:rPr>
      <w:rFonts w:eastAsiaTheme="majorEastAsia" w:cstheme="majorBidi"/>
      <w:iCs/>
      <w:color w:val="EEEEEE"/>
      <w:sz w:val="44"/>
      <w:szCs w:val="44"/>
    </w:rPr>
  </w:style>
  <w:style w:type="character" w:customStyle="1" w:styleId="SubtitleChar">
    <w:name w:val="Subtitle Char"/>
    <w:basedOn w:val="DefaultParagraphFont"/>
    <w:link w:val="Subtitle"/>
    <w:uiPriority w:val="11"/>
    <w:rsid w:val="00CB28E9"/>
    <w:rPr>
      <w:rFonts w:ascii="Calibri" w:eastAsiaTheme="majorEastAsia" w:hAnsi="Calibri" w:cstheme="majorBidi"/>
      <w:iCs/>
      <w:color w:val="EEEEEE"/>
      <w:sz w:val="44"/>
      <w:szCs w:val="44"/>
      <w:lang w:eastAsia="en-AU"/>
    </w:rPr>
  </w:style>
  <w:style w:type="character" w:styleId="SubtleEmphasis">
    <w:name w:val="Subtle Emphasis"/>
    <w:basedOn w:val="DefaultParagraphFont"/>
    <w:uiPriority w:val="19"/>
    <w:rsid w:val="000E0B74"/>
    <w:rPr>
      <w:i/>
      <w:iCs/>
      <w:color w:val="808080" w:themeColor="text1" w:themeTint="7F"/>
    </w:rPr>
  </w:style>
  <w:style w:type="paragraph" w:styleId="Footer">
    <w:name w:val="footer"/>
    <w:basedOn w:val="Normal"/>
    <w:link w:val="FooterChar"/>
    <w:unhideWhenUsed/>
    <w:rsid w:val="00F60198"/>
    <w:pPr>
      <w:tabs>
        <w:tab w:val="center" w:pos="4513"/>
        <w:tab w:val="right" w:pos="9026"/>
      </w:tabs>
      <w:spacing w:before="0" w:after="0"/>
      <w:jc w:val="center"/>
    </w:pPr>
    <w:rPr>
      <w:color w:val="002C47"/>
      <w:sz w:val="20"/>
    </w:rPr>
  </w:style>
  <w:style w:type="character" w:customStyle="1" w:styleId="FooterChar">
    <w:name w:val="Footer Char"/>
    <w:basedOn w:val="DefaultParagraphFont"/>
    <w:link w:val="Footer"/>
    <w:rsid w:val="00F60198"/>
    <w:rPr>
      <w:rFonts w:ascii="Calibri" w:eastAsia="Times New Roman" w:hAnsi="Calibri" w:cs="Times New Roman"/>
      <w:color w:val="002C47"/>
      <w:sz w:val="20"/>
      <w:szCs w:val="20"/>
      <w:lang w:eastAsia="en-AU"/>
    </w:rPr>
  </w:style>
  <w:style w:type="paragraph" w:styleId="Header">
    <w:name w:val="header"/>
    <w:basedOn w:val="Normal"/>
    <w:link w:val="HeaderChar"/>
    <w:uiPriority w:val="99"/>
    <w:unhideWhenUsed/>
    <w:rsid w:val="001606CF"/>
    <w:pPr>
      <w:keepNext/>
      <w:spacing w:before="0" w:after="0"/>
      <w:jc w:val="right"/>
    </w:pPr>
    <w:rPr>
      <w:color w:val="004A7F"/>
      <w:sz w:val="20"/>
    </w:rPr>
  </w:style>
  <w:style w:type="character" w:customStyle="1" w:styleId="HeaderChar">
    <w:name w:val="Header Char"/>
    <w:basedOn w:val="DefaultParagraphFont"/>
    <w:link w:val="Header"/>
    <w:uiPriority w:val="99"/>
    <w:rsid w:val="001606CF"/>
    <w:rPr>
      <w:rFonts w:ascii="Calibri" w:eastAsia="Times New Roman" w:hAnsi="Calibri" w:cs="Times New Roman"/>
      <w:color w:val="004A7F"/>
      <w:sz w:val="20"/>
      <w:szCs w:val="20"/>
      <w:lang w:eastAsia="en-AU"/>
    </w:rPr>
  </w:style>
  <w:style w:type="character" w:styleId="PlaceholderText">
    <w:name w:val="Placeholder Text"/>
    <w:basedOn w:val="DefaultParagraphFont"/>
    <w:uiPriority w:val="99"/>
    <w:semiHidden/>
    <w:rsid w:val="00056880"/>
    <w:rPr>
      <w:color w:val="808080"/>
    </w:rPr>
  </w:style>
  <w:style w:type="paragraph" w:customStyle="1" w:styleId="AppendixHeading">
    <w:name w:val="Appendix Heading"/>
    <w:basedOn w:val="Heading1"/>
    <w:next w:val="Normal"/>
    <w:rsid w:val="00F045E0"/>
  </w:style>
  <w:style w:type="paragraph" w:customStyle="1" w:styleId="HeadingBase">
    <w:name w:val="Heading Base"/>
    <w:rsid w:val="006923DF"/>
    <w:pPr>
      <w:keepNext/>
      <w:spacing w:after="120" w:line="240" w:lineRule="auto"/>
    </w:pPr>
    <w:rPr>
      <w:rFonts w:ascii="Calibri" w:eastAsia="Times New Roman" w:hAnsi="Calibri" w:cs="Arial"/>
      <w:bCs/>
      <w:color w:val="002C4A"/>
      <w:kern w:val="32"/>
      <w:sz w:val="48"/>
      <w:szCs w:val="36"/>
      <w:lang w:eastAsia="en-AU"/>
    </w:rPr>
  </w:style>
  <w:style w:type="character" w:customStyle="1" w:styleId="ReportDateChar">
    <w:name w:val="Report Date Char"/>
    <w:basedOn w:val="DefaultParagraphFont"/>
    <w:link w:val="ReportDate"/>
    <w:rsid w:val="002A7A31"/>
    <w:rPr>
      <w:rFonts w:ascii="Calibri" w:eastAsia="Times New Roman" w:hAnsi="Calibri" w:cs="Times New Roman"/>
      <w:color w:val="90B6F0"/>
      <w:sz w:val="32"/>
      <w:szCs w:val="20"/>
      <w:lang w:eastAsia="en-AU"/>
    </w:rPr>
  </w:style>
  <w:style w:type="paragraph" w:customStyle="1" w:styleId="NotesHeading">
    <w:name w:val="Notes Heading"/>
    <w:basedOn w:val="Normal"/>
    <w:rsid w:val="002F617F"/>
    <w:pPr>
      <w:keepNext/>
      <w:spacing w:before="240" w:after="360"/>
      <w:jc w:val="center"/>
    </w:pPr>
    <w:rPr>
      <w:rFonts w:ascii="Century Gothic" w:hAnsi="Century Gothic"/>
      <w:smallCaps/>
      <w:color w:val="5F5F5F" w:themeColor="text2"/>
      <w:sz w:val="36"/>
      <w:szCs w:val="36"/>
    </w:rPr>
  </w:style>
  <w:style w:type="paragraph" w:styleId="ListParagraph">
    <w:name w:val="List Paragraph"/>
    <w:basedOn w:val="Normal"/>
    <w:uiPriority w:val="34"/>
    <w:rsid w:val="006469CC"/>
    <w:pPr>
      <w:ind w:left="720"/>
      <w:contextualSpacing/>
    </w:pPr>
  </w:style>
  <w:style w:type="paragraph" w:customStyle="1" w:styleId="TableTextIndented">
    <w:name w:val="Table Text Indented"/>
    <w:basedOn w:val="TableTextLeft"/>
    <w:rsid w:val="008E6292"/>
    <w:pPr>
      <w:ind w:left="284"/>
    </w:pPr>
  </w:style>
  <w:style w:type="paragraph" w:customStyle="1" w:styleId="TableHeadingContinued">
    <w:name w:val="Table Heading Continued"/>
    <w:basedOn w:val="TableMainHeading"/>
    <w:next w:val="TableGraphic"/>
    <w:rsid w:val="009A277C"/>
  </w:style>
  <w:style w:type="paragraph" w:customStyle="1" w:styleId="TableGraphic">
    <w:name w:val="Table Graphic"/>
    <w:basedOn w:val="HeadingBase"/>
    <w:next w:val="Normal"/>
    <w:rsid w:val="008E6292"/>
    <w:pPr>
      <w:spacing w:after="0"/>
    </w:pPr>
  </w:style>
  <w:style w:type="paragraph" w:customStyle="1" w:styleId="HeaderEven">
    <w:name w:val="Header Even"/>
    <w:basedOn w:val="Header"/>
    <w:qFormat/>
    <w:rsid w:val="00F60198"/>
    <w:pPr>
      <w:jc w:val="left"/>
    </w:pPr>
    <w:rPr>
      <w:color w:val="002C47"/>
    </w:rPr>
  </w:style>
  <w:style w:type="paragraph" w:customStyle="1" w:styleId="HeaderOdd">
    <w:name w:val="Header Odd"/>
    <w:basedOn w:val="Header"/>
    <w:qFormat/>
    <w:rsid w:val="00F60198"/>
    <w:rPr>
      <w:color w:val="002C47"/>
    </w:rPr>
  </w:style>
  <w:style w:type="paragraph" w:styleId="FootnoteText">
    <w:name w:val="footnote text"/>
    <w:basedOn w:val="Normal"/>
    <w:link w:val="FootnoteTextChar"/>
    <w:uiPriority w:val="99"/>
    <w:rsid w:val="00744484"/>
    <w:pPr>
      <w:spacing w:before="0" w:after="0"/>
      <w:ind w:left="397" w:hanging="397"/>
    </w:pPr>
    <w:rPr>
      <w:sz w:val="20"/>
    </w:rPr>
  </w:style>
  <w:style w:type="character" w:customStyle="1" w:styleId="FootnoteTextChar">
    <w:name w:val="Footnote Text Char"/>
    <w:basedOn w:val="DefaultParagraphFont"/>
    <w:link w:val="FootnoteText"/>
    <w:uiPriority w:val="99"/>
    <w:rsid w:val="00744484"/>
    <w:rPr>
      <w:rFonts w:ascii="Calibri" w:eastAsia="Times New Roman" w:hAnsi="Calibri" w:cs="Times New Roman"/>
      <w:sz w:val="20"/>
      <w:szCs w:val="20"/>
      <w:lang w:eastAsia="en-AU"/>
    </w:rPr>
  </w:style>
  <w:style w:type="character" w:styleId="FootnoteReference">
    <w:name w:val="footnote reference"/>
    <w:basedOn w:val="DefaultParagraphFont"/>
    <w:uiPriority w:val="99"/>
    <w:rsid w:val="00744484"/>
    <w:rPr>
      <w:sz w:val="18"/>
    </w:rPr>
  </w:style>
  <w:style w:type="paragraph" w:styleId="BalloonText">
    <w:name w:val="Balloon Text"/>
    <w:basedOn w:val="Normal"/>
    <w:link w:val="BalloonTextChar"/>
    <w:uiPriority w:val="99"/>
    <w:semiHidden/>
    <w:unhideWhenUsed/>
    <w:rsid w:val="00C72318"/>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2318"/>
    <w:rPr>
      <w:rFonts w:ascii="Tahoma" w:eastAsia="Times New Roman" w:hAnsi="Tahoma" w:cs="Tahoma"/>
      <w:sz w:val="16"/>
      <w:szCs w:val="16"/>
      <w:lang w:eastAsia="en-AU"/>
    </w:rPr>
  </w:style>
  <w:style w:type="character" w:customStyle="1" w:styleId="BoxTextChar">
    <w:name w:val="Box Text Char"/>
    <w:basedOn w:val="DefaultParagraphFont"/>
    <w:link w:val="BoxText"/>
    <w:locked/>
    <w:rsid w:val="00E349A7"/>
    <w:rPr>
      <w:rFonts w:ascii="Calibri Light" w:eastAsia="Times New Roman" w:hAnsi="Calibri Light" w:cs="Times New Roman"/>
      <w:szCs w:val="20"/>
      <w:lang w:eastAsia="en-AU"/>
    </w:rPr>
  </w:style>
  <w:style w:type="paragraph" w:customStyle="1" w:styleId="Boxbullet">
    <w:name w:val="Box bullet"/>
    <w:basedOn w:val="Bullet"/>
    <w:rsid w:val="00E349A7"/>
    <w:pPr>
      <w:numPr>
        <w:numId w:val="22"/>
      </w:numPr>
      <w:tabs>
        <w:tab w:val="clear" w:pos="283"/>
        <w:tab w:val="num" w:pos="284"/>
        <w:tab w:val="num" w:pos="520"/>
      </w:tabs>
      <w:spacing w:before="60"/>
    </w:pPr>
    <w:rPr>
      <w:color w:val="0D0D0D" w:themeColor="text1" w:themeTint="F2"/>
    </w:rPr>
  </w:style>
  <w:style w:type="paragraph" w:customStyle="1" w:styleId="Boxdash">
    <w:name w:val="Box dash"/>
    <w:basedOn w:val="Dash"/>
    <w:rsid w:val="00E349A7"/>
    <w:pPr>
      <w:numPr>
        <w:numId w:val="22"/>
      </w:numPr>
      <w:tabs>
        <w:tab w:val="clear" w:pos="567"/>
        <w:tab w:val="num" w:pos="1040"/>
      </w:tabs>
      <w:spacing w:before="60" w:after="0" w:line="276" w:lineRule="auto"/>
    </w:pPr>
    <w:rPr>
      <w:rFonts w:eastAsiaTheme="minorHAnsi"/>
      <w:color w:val="0D0D0D" w:themeColor="text1" w:themeTint="F2"/>
      <w:lang w:eastAsia="en-US"/>
    </w:rPr>
  </w:style>
  <w:style w:type="paragraph" w:customStyle="1" w:styleId="Boxdoubledot">
    <w:name w:val="Box double dot"/>
    <w:basedOn w:val="DoubleDot"/>
    <w:rsid w:val="00E349A7"/>
    <w:pPr>
      <w:numPr>
        <w:numId w:val="22"/>
      </w:numPr>
      <w:tabs>
        <w:tab w:val="clear" w:pos="851"/>
        <w:tab w:val="left" w:pos="567"/>
        <w:tab w:val="num" w:pos="1560"/>
      </w:tabs>
      <w:spacing w:before="60" w:after="0" w:line="276" w:lineRule="auto"/>
    </w:pPr>
    <w:rPr>
      <w:rFonts w:eastAsiaTheme="minorHAnsi"/>
      <w:color w:val="0D0D0D" w:themeColor="text1" w:themeTint="F2"/>
      <w:lang w:eastAsia="en-US"/>
    </w:rPr>
  </w:style>
  <w:style w:type="paragraph" w:customStyle="1" w:styleId="Instructions">
    <w:name w:val="Instructions"/>
    <w:basedOn w:val="Normal"/>
    <w:uiPriority w:val="1"/>
    <w:qFormat/>
    <w:rsid w:val="00BE7EA5"/>
    <w:pPr>
      <w:shd w:val="clear" w:color="auto" w:fill="FFFF00"/>
      <w:ind w:left="170" w:hanging="170"/>
    </w:pPr>
    <w:rPr>
      <w:rFonts w:asciiTheme="minorHAnsi" w:hAnsiTheme="minorHAnsi"/>
      <w:sz w:val="20"/>
      <w:szCs w:val="24"/>
    </w:rPr>
  </w:style>
  <w:style w:type="character" w:styleId="CommentReference">
    <w:name w:val="annotation reference"/>
    <w:basedOn w:val="DefaultParagraphFont"/>
    <w:uiPriority w:val="99"/>
    <w:semiHidden/>
    <w:unhideWhenUsed/>
    <w:rsid w:val="00BE7EA5"/>
    <w:rPr>
      <w:sz w:val="16"/>
      <w:szCs w:val="16"/>
    </w:rPr>
  </w:style>
  <w:style w:type="paragraph" w:styleId="CommentText">
    <w:name w:val="annotation text"/>
    <w:basedOn w:val="Normal"/>
    <w:link w:val="CommentTextChar"/>
    <w:uiPriority w:val="99"/>
    <w:unhideWhenUsed/>
    <w:rsid w:val="00BE7EA5"/>
    <w:rPr>
      <w:rFonts w:ascii="Calibri" w:hAnsi="Calibri"/>
      <w:sz w:val="20"/>
    </w:rPr>
  </w:style>
  <w:style w:type="character" w:customStyle="1" w:styleId="CommentTextChar">
    <w:name w:val="Comment Text Char"/>
    <w:basedOn w:val="DefaultParagraphFont"/>
    <w:link w:val="CommentText"/>
    <w:uiPriority w:val="99"/>
    <w:rsid w:val="00BE7EA5"/>
    <w:rPr>
      <w:rFonts w:ascii="Calibri" w:eastAsia="Times New Roman" w:hAnsi="Calibri" w:cs="Times New Roman"/>
      <w:sz w:val="20"/>
      <w:szCs w:val="20"/>
      <w:lang w:eastAsia="en-AU"/>
    </w:rPr>
  </w:style>
  <w:style w:type="paragraph" w:customStyle="1" w:styleId="SecurityClassificationHeader">
    <w:name w:val="Security Classification Header"/>
    <w:link w:val="SecurityClassificationHeaderChar"/>
    <w:rsid w:val="00F5365A"/>
    <w:pPr>
      <w:spacing w:before="360" w:after="60"/>
      <w:jc w:val="center"/>
    </w:pPr>
    <w:rPr>
      <w:rFonts w:ascii="Calibri" w:eastAsia="Times New Roman" w:hAnsi="Calibri" w:cs="Calibri"/>
      <w:b/>
      <w:color w:val="FF0000"/>
      <w:sz w:val="24"/>
      <w:szCs w:val="20"/>
      <w:lang w:eastAsia="en-AU"/>
    </w:rPr>
  </w:style>
  <w:style w:type="character" w:customStyle="1" w:styleId="SecurityClassificationHeaderChar">
    <w:name w:val="Security Classification Header Char"/>
    <w:basedOn w:val="HeaderChar"/>
    <w:link w:val="SecurityClassificationHeader"/>
    <w:rsid w:val="00F5365A"/>
    <w:rPr>
      <w:rFonts w:ascii="Calibri" w:eastAsia="Times New Roman" w:hAnsi="Calibri" w:cs="Calibri"/>
      <w:b/>
      <w:color w:val="FF0000"/>
      <w:sz w:val="24"/>
      <w:szCs w:val="20"/>
      <w:lang w:eastAsia="en-AU"/>
    </w:rPr>
  </w:style>
  <w:style w:type="paragraph" w:customStyle="1" w:styleId="SecurityClassificationFooter">
    <w:name w:val="Security Classification Footer"/>
    <w:link w:val="SecurityClassificationFooterChar"/>
    <w:rsid w:val="00F5365A"/>
    <w:pPr>
      <w:spacing w:before="360" w:after="60"/>
      <w:jc w:val="center"/>
    </w:pPr>
    <w:rPr>
      <w:rFonts w:ascii="Calibri" w:eastAsia="Times New Roman" w:hAnsi="Calibri" w:cs="Calibri"/>
      <w:b/>
      <w:color w:val="FF0000"/>
      <w:sz w:val="24"/>
      <w:szCs w:val="20"/>
      <w:lang w:eastAsia="en-AU"/>
    </w:rPr>
  </w:style>
  <w:style w:type="character" w:customStyle="1" w:styleId="SecurityClassificationFooterChar">
    <w:name w:val="Security Classification Footer Char"/>
    <w:basedOn w:val="HeaderChar"/>
    <w:link w:val="SecurityClassificationFooter"/>
    <w:rsid w:val="00F5365A"/>
    <w:rPr>
      <w:rFonts w:ascii="Calibri" w:eastAsia="Times New Roman" w:hAnsi="Calibri" w:cs="Calibri"/>
      <w:b/>
      <w:color w:val="FF0000"/>
      <w:sz w:val="24"/>
      <w:szCs w:val="20"/>
      <w:lang w:eastAsia="en-AU"/>
    </w:rPr>
  </w:style>
  <w:style w:type="paragraph" w:customStyle="1" w:styleId="DLMSecurityHeader">
    <w:name w:val="DLM Security Header"/>
    <w:link w:val="DLMSecurityHeaderChar"/>
    <w:rsid w:val="00F5365A"/>
    <w:pPr>
      <w:spacing w:before="60" w:after="240"/>
      <w:jc w:val="center"/>
    </w:pPr>
    <w:rPr>
      <w:rFonts w:ascii="Calibri" w:eastAsia="Times New Roman" w:hAnsi="Calibri" w:cs="Calibri"/>
      <w:b/>
      <w:color w:val="FF0000"/>
      <w:sz w:val="24"/>
      <w:szCs w:val="20"/>
      <w:lang w:eastAsia="en-AU"/>
    </w:rPr>
  </w:style>
  <w:style w:type="character" w:customStyle="1" w:styleId="DLMSecurityHeaderChar">
    <w:name w:val="DLM Security Header Char"/>
    <w:basedOn w:val="HeaderChar"/>
    <w:link w:val="DLMSecurityHeader"/>
    <w:rsid w:val="00F5365A"/>
    <w:rPr>
      <w:rFonts w:ascii="Calibri" w:eastAsia="Times New Roman" w:hAnsi="Calibri" w:cs="Calibri"/>
      <w:b/>
      <w:color w:val="FF0000"/>
      <w:sz w:val="24"/>
      <w:szCs w:val="20"/>
      <w:lang w:eastAsia="en-AU"/>
    </w:rPr>
  </w:style>
  <w:style w:type="paragraph" w:customStyle="1" w:styleId="DLMSecurityFooter">
    <w:name w:val="DLM Security Footer"/>
    <w:link w:val="DLMSecurityFooterChar"/>
    <w:rsid w:val="00F5365A"/>
    <w:pPr>
      <w:spacing w:before="240" w:after="60"/>
      <w:jc w:val="center"/>
    </w:pPr>
    <w:rPr>
      <w:rFonts w:ascii="Calibri" w:eastAsia="Times New Roman" w:hAnsi="Calibri" w:cs="Calibri"/>
      <w:b/>
      <w:color w:val="FF0000"/>
      <w:sz w:val="24"/>
      <w:szCs w:val="20"/>
      <w:lang w:eastAsia="en-AU"/>
    </w:rPr>
  </w:style>
  <w:style w:type="character" w:customStyle="1" w:styleId="DLMSecurityFooterChar">
    <w:name w:val="DLM Security Footer Char"/>
    <w:basedOn w:val="HeaderChar"/>
    <w:link w:val="DLMSecurityFooter"/>
    <w:rsid w:val="00F5365A"/>
    <w:rPr>
      <w:rFonts w:ascii="Calibri" w:eastAsia="Times New Roman" w:hAnsi="Calibri" w:cs="Calibri"/>
      <w:b/>
      <w:color w:val="FF0000"/>
      <w:sz w:val="24"/>
      <w:szCs w:val="20"/>
      <w:lang w:eastAsia="en-AU"/>
    </w:rPr>
  </w:style>
  <w:style w:type="character" w:styleId="Emphasis">
    <w:name w:val="Emphasis"/>
    <w:basedOn w:val="DefaultParagraphFont"/>
    <w:uiPriority w:val="20"/>
    <w:rsid w:val="00E64535"/>
    <w:rPr>
      <w:i/>
      <w:iCs/>
    </w:rPr>
  </w:style>
  <w:style w:type="character" w:styleId="Strong">
    <w:name w:val="Strong"/>
    <w:basedOn w:val="DefaultParagraphFont"/>
    <w:qFormat/>
    <w:rsid w:val="00E64535"/>
    <w:rPr>
      <w:b/>
      <w:bCs/>
    </w:rPr>
  </w:style>
  <w:style w:type="paragraph" w:customStyle="1" w:styleId="TableParagraph">
    <w:name w:val="Table Paragraph"/>
    <w:basedOn w:val="Normal"/>
    <w:uiPriority w:val="1"/>
    <w:qFormat/>
    <w:rsid w:val="002E1150"/>
    <w:pPr>
      <w:widowControl w:val="0"/>
      <w:autoSpaceDE w:val="0"/>
      <w:autoSpaceDN w:val="0"/>
      <w:spacing w:before="61" w:after="0"/>
      <w:ind w:left="73"/>
    </w:pPr>
    <w:rPr>
      <w:rFonts w:ascii="Lucida Sans" w:eastAsia="Lucida Sans" w:hAnsi="Lucida Sans" w:cs="Lucida Sans"/>
      <w:szCs w:val="22"/>
      <w:lang w:val="en-US" w:eastAsia="en-US"/>
    </w:rPr>
  </w:style>
  <w:style w:type="character" w:styleId="UnresolvedMention">
    <w:name w:val="Unresolved Mention"/>
    <w:basedOn w:val="DefaultParagraphFont"/>
    <w:uiPriority w:val="99"/>
    <w:semiHidden/>
    <w:unhideWhenUsed/>
    <w:rsid w:val="005B3FE0"/>
    <w:rPr>
      <w:color w:val="605E5C"/>
      <w:shd w:val="clear" w:color="auto" w:fill="E1DFDD"/>
    </w:rPr>
  </w:style>
  <w:style w:type="table" w:styleId="ListTable1Light-Accent2">
    <w:name w:val="List Table 1 Light Accent 2"/>
    <w:basedOn w:val="TableNormal"/>
    <w:uiPriority w:val="46"/>
    <w:rsid w:val="005219B1"/>
    <w:pPr>
      <w:spacing w:after="0" w:line="240" w:lineRule="auto"/>
    </w:pPr>
    <w:tblPr>
      <w:tblStyleRowBandSize w:val="1"/>
      <w:tblStyleColBandSize w:val="1"/>
    </w:tblPr>
    <w:tblStylePr w:type="firstRow">
      <w:rPr>
        <w:b/>
        <w:bCs/>
      </w:rPr>
      <w:tblPr/>
      <w:tcPr>
        <w:tcBorders>
          <w:bottom w:val="single" w:sz="4" w:space="0" w:color="8CB59F" w:themeColor="accent2" w:themeTint="99"/>
        </w:tcBorders>
      </w:tcPr>
    </w:tblStylePr>
    <w:tblStylePr w:type="lastRow">
      <w:rPr>
        <w:b/>
        <w:bCs/>
      </w:rPr>
      <w:tblPr/>
      <w:tcPr>
        <w:tcBorders>
          <w:top w:val="single" w:sz="4" w:space="0" w:color="8CB59F" w:themeColor="accent2" w:themeTint="99"/>
        </w:tcBorders>
      </w:tcPr>
    </w:tblStylePr>
    <w:tblStylePr w:type="firstCol">
      <w:rPr>
        <w:b/>
        <w:bCs/>
      </w:rPr>
    </w:tblStylePr>
    <w:tblStylePr w:type="lastCol">
      <w:rPr>
        <w:b/>
        <w:bCs/>
      </w:rPr>
    </w:tblStylePr>
    <w:tblStylePr w:type="band1Vert">
      <w:tblPr/>
      <w:tcPr>
        <w:shd w:val="clear" w:color="auto" w:fill="D8E6DF" w:themeFill="accent2" w:themeFillTint="33"/>
      </w:tcPr>
    </w:tblStylePr>
    <w:tblStylePr w:type="band1Horz">
      <w:tblPr/>
      <w:tcPr>
        <w:shd w:val="clear" w:color="auto" w:fill="D8E6DF" w:themeFill="accent2" w:themeFillTint="33"/>
      </w:tcPr>
    </w:tblStylePr>
  </w:style>
  <w:style w:type="table" w:styleId="GridTable4-Accent2">
    <w:name w:val="Grid Table 4 Accent 2"/>
    <w:basedOn w:val="TableNormal"/>
    <w:uiPriority w:val="49"/>
    <w:rsid w:val="00035DA8"/>
    <w:pPr>
      <w:spacing w:after="0" w:line="240" w:lineRule="auto"/>
    </w:pPr>
    <w:tblPr>
      <w:tblStyleRowBandSize w:val="1"/>
      <w:tblStyleColBandSize w:val="1"/>
      <w:tblBorders>
        <w:top w:val="single" w:sz="4" w:space="0" w:color="8CB59F" w:themeColor="accent2" w:themeTint="99"/>
        <w:left w:val="single" w:sz="4" w:space="0" w:color="8CB59F" w:themeColor="accent2" w:themeTint="99"/>
        <w:bottom w:val="single" w:sz="4" w:space="0" w:color="8CB59F" w:themeColor="accent2" w:themeTint="99"/>
        <w:right w:val="single" w:sz="4" w:space="0" w:color="8CB59F" w:themeColor="accent2" w:themeTint="99"/>
        <w:insideH w:val="single" w:sz="4" w:space="0" w:color="8CB59F" w:themeColor="accent2" w:themeTint="99"/>
        <w:insideV w:val="single" w:sz="4" w:space="0" w:color="8CB59F" w:themeColor="accent2" w:themeTint="99"/>
      </w:tblBorders>
    </w:tblPr>
    <w:tblStylePr w:type="firstRow">
      <w:rPr>
        <w:b/>
        <w:bCs/>
        <w:color w:val="FFFFFF" w:themeColor="background1"/>
      </w:rPr>
      <w:tblPr/>
      <w:tcPr>
        <w:tcBorders>
          <w:top w:val="single" w:sz="4" w:space="0" w:color="4D7861" w:themeColor="accent2"/>
          <w:left w:val="single" w:sz="4" w:space="0" w:color="4D7861" w:themeColor="accent2"/>
          <w:bottom w:val="single" w:sz="4" w:space="0" w:color="4D7861" w:themeColor="accent2"/>
          <w:right w:val="single" w:sz="4" w:space="0" w:color="4D7861" w:themeColor="accent2"/>
          <w:insideH w:val="nil"/>
          <w:insideV w:val="nil"/>
        </w:tcBorders>
        <w:shd w:val="clear" w:color="auto" w:fill="4D7861" w:themeFill="accent2"/>
      </w:tcPr>
    </w:tblStylePr>
    <w:tblStylePr w:type="lastRow">
      <w:rPr>
        <w:b/>
        <w:bCs/>
      </w:rPr>
      <w:tblPr/>
      <w:tcPr>
        <w:tcBorders>
          <w:top w:val="double" w:sz="4" w:space="0" w:color="4D7861" w:themeColor="accent2"/>
        </w:tcBorders>
      </w:tcPr>
    </w:tblStylePr>
    <w:tblStylePr w:type="firstCol">
      <w:rPr>
        <w:b/>
        <w:bCs/>
      </w:rPr>
    </w:tblStylePr>
    <w:tblStylePr w:type="lastCol">
      <w:rPr>
        <w:b/>
        <w:bCs/>
      </w:rPr>
    </w:tblStylePr>
    <w:tblStylePr w:type="band1Vert">
      <w:tblPr/>
      <w:tcPr>
        <w:shd w:val="clear" w:color="auto" w:fill="D8E6DF" w:themeFill="accent2" w:themeFillTint="33"/>
      </w:tcPr>
    </w:tblStylePr>
    <w:tblStylePr w:type="band1Horz">
      <w:tblPr/>
      <w:tcPr>
        <w:shd w:val="clear" w:color="auto" w:fill="D8E6DF" w:themeFill="accent2" w:themeFillTint="33"/>
      </w:tcPr>
    </w:tblStylePr>
  </w:style>
  <w:style w:type="paragraph" w:styleId="Revision">
    <w:name w:val="Revision"/>
    <w:hidden/>
    <w:uiPriority w:val="99"/>
    <w:semiHidden/>
    <w:rsid w:val="00D43A7A"/>
    <w:pPr>
      <w:spacing w:after="0" w:line="240" w:lineRule="auto"/>
    </w:pPr>
    <w:rPr>
      <w:rFonts w:ascii="Calibri Light" w:eastAsia="Times New Roman" w:hAnsi="Calibri Light" w:cs="Times New Roman"/>
      <w:szCs w:val="20"/>
      <w:lang w:eastAsia="en-AU"/>
    </w:rPr>
  </w:style>
  <w:style w:type="paragraph" w:styleId="CommentSubject">
    <w:name w:val="annotation subject"/>
    <w:basedOn w:val="CommentText"/>
    <w:next w:val="CommentText"/>
    <w:link w:val="CommentSubjectChar"/>
    <w:uiPriority w:val="99"/>
    <w:semiHidden/>
    <w:unhideWhenUsed/>
    <w:rsid w:val="00985BDF"/>
    <w:rPr>
      <w:rFonts w:ascii="Calibri Light" w:hAnsi="Calibri Light"/>
      <w:b/>
      <w:bCs/>
    </w:rPr>
  </w:style>
  <w:style w:type="character" w:customStyle="1" w:styleId="CommentSubjectChar">
    <w:name w:val="Comment Subject Char"/>
    <w:basedOn w:val="CommentTextChar"/>
    <w:link w:val="CommentSubject"/>
    <w:uiPriority w:val="99"/>
    <w:semiHidden/>
    <w:rsid w:val="00985BDF"/>
    <w:rPr>
      <w:rFonts w:ascii="Calibri Light" w:eastAsia="Times New Roman" w:hAnsi="Calibri Light" w:cs="Times New Roman"/>
      <w:b/>
      <w:bCs/>
      <w:sz w:val="20"/>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022649">
      <w:bodyDiv w:val="1"/>
      <w:marLeft w:val="0"/>
      <w:marRight w:val="0"/>
      <w:marTop w:val="0"/>
      <w:marBottom w:val="0"/>
      <w:divBdr>
        <w:top w:val="none" w:sz="0" w:space="0" w:color="auto"/>
        <w:left w:val="none" w:sz="0" w:space="0" w:color="auto"/>
        <w:bottom w:val="none" w:sz="0" w:space="0" w:color="auto"/>
        <w:right w:val="none" w:sz="0" w:space="0" w:color="auto"/>
      </w:divBdr>
    </w:div>
    <w:div w:id="810555610">
      <w:bodyDiv w:val="1"/>
      <w:marLeft w:val="0"/>
      <w:marRight w:val="0"/>
      <w:marTop w:val="0"/>
      <w:marBottom w:val="0"/>
      <w:divBdr>
        <w:top w:val="none" w:sz="0" w:space="0" w:color="auto"/>
        <w:left w:val="none" w:sz="0" w:space="0" w:color="auto"/>
        <w:bottom w:val="none" w:sz="0" w:space="0" w:color="auto"/>
        <w:right w:val="none" w:sz="0" w:space="0" w:color="auto"/>
      </w:divBdr>
    </w:div>
    <w:div w:id="883638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edia@treasury.gov.au" TargetMode="External"/><Relationship Id="rId18" Type="http://schemas.openxmlformats.org/officeDocument/2006/relationships/header" Target="header3.xml"/><Relationship Id="rId26" Type="http://schemas.openxmlformats.org/officeDocument/2006/relationships/hyperlink" Target="https://treasury.gov.au/the-department/corporate-publications/emissions-reduction-plan" TargetMode="External"/><Relationship Id="rId39" Type="http://schemas.openxmlformats.org/officeDocument/2006/relationships/hyperlink" Target="https://www.finance.gov.au/government/climate-action-government-operations/aps-net-zero-emissions-2030" TargetMode="External"/><Relationship Id="rId21" Type="http://schemas.openxmlformats.org/officeDocument/2006/relationships/hyperlink" Target="https://www.dcceew.gov.au/climate-change/policy/adaptation/climate-risk-opportunity-management-program" TargetMode="External"/><Relationship Id="rId34" Type="http://schemas.openxmlformats.org/officeDocument/2006/relationships/footer" Target="footer6.xml"/><Relationship Id="rId42" Type="http://schemas.openxmlformats.org/officeDocument/2006/relationships/hyperlink" Target="https://treasury.gov.au/the-department/corporate-publications/emissions-reduction-plan" TargetMode="External"/><Relationship Id="rId47" Type="http://schemas.openxmlformats.org/officeDocument/2006/relationships/header" Target="header11.xml"/><Relationship Id="rId50" Type="http://schemas.openxmlformats.org/officeDocument/2006/relationships/theme" Target="theme/theme1.xml"/><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eader" Target="header2.xml"/><Relationship Id="rId29" Type="http://schemas.openxmlformats.org/officeDocument/2006/relationships/footer" Target="footer4.xml"/><Relationship Id="rId11" Type="http://schemas.openxmlformats.org/officeDocument/2006/relationships/hyperlink" Target="https://creativecommons.org/licenses/by/4.0/" TargetMode="External"/><Relationship Id="rId24" Type="http://schemas.openxmlformats.org/officeDocument/2006/relationships/hyperlink" Target="https://www.apsacademy.gov.au/courses/program-cromp-climate-risk-and-opportunity-management-program" TargetMode="External"/><Relationship Id="rId32" Type="http://schemas.openxmlformats.org/officeDocument/2006/relationships/header" Target="header6.xml"/><Relationship Id="rId37" Type="http://schemas.openxmlformats.org/officeDocument/2006/relationships/footer" Target="footer8.xml"/><Relationship Id="rId40" Type="http://schemas.openxmlformats.org/officeDocument/2006/relationships/hyperlink" Target="https://www.finance.gov.au/government/climate-action-government-operations/aps-net-zero-emissions-2030" TargetMode="External"/><Relationship Id="rId45"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hyperlink" Target="https://www.dcceew.gov.au/climate-change/publications/climate-risk-opportunity-management-program-resources" TargetMode="External"/><Relationship Id="rId28" Type="http://schemas.openxmlformats.org/officeDocument/2006/relationships/header" Target="header4.xml"/><Relationship Id="rId36" Type="http://schemas.openxmlformats.org/officeDocument/2006/relationships/header" Target="header8.xml"/><Relationship Id="rId49" Type="http://schemas.openxmlformats.org/officeDocument/2006/relationships/fontTable" Target="fontTable.xml"/><Relationship Id="rId10" Type="http://schemas.openxmlformats.org/officeDocument/2006/relationships/image" Target="media/image3.wmf"/><Relationship Id="rId19" Type="http://schemas.openxmlformats.org/officeDocument/2006/relationships/footer" Target="footer3.xml"/><Relationship Id="rId31" Type="http://schemas.openxmlformats.org/officeDocument/2006/relationships/footer" Target="footer5.xml"/><Relationship Id="rId44" Type="http://schemas.openxmlformats.org/officeDocument/2006/relationships/header" Target="header10.xml"/><Relationship Id="rId4" Type="http://schemas.openxmlformats.org/officeDocument/2006/relationships/webSettings" Target="webSettings.xml"/><Relationship Id="rId9" Type="http://schemas.openxmlformats.org/officeDocument/2006/relationships/hyperlink" Target="https://creativecommons.org/licenses/by/4.0/legalcode" TargetMode="External"/><Relationship Id="rId14" Type="http://schemas.openxmlformats.org/officeDocument/2006/relationships/footer" Target="footer1.xml"/><Relationship Id="rId22" Type="http://schemas.openxmlformats.org/officeDocument/2006/relationships/hyperlink" Target="https://www.dcceew.gov.au/climate-change/policy/adaptation/climate-risk-opportunity-management-program" TargetMode="External"/><Relationship Id="rId27" Type="http://schemas.openxmlformats.org/officeDocument/2006/relationships/hyperlink" Target="https://www.dcceew.gov.au/sites/default/files/documents/climate-risk-management-organisation-application-guide.pdf" TargetMode="External"/><Relationship Id="rId30" Type="http://schemas.openxmlformats.org/officeDocument/2006/relationships/header" Target="header5.xml"/><Relationship Id="rId35" Type="http://schemas.openxmlformats.org/officeDocument/2006/relationships/footer" Target="footer7.xml"/><Relationship Id="rId43" Type="http://schemas.openxmlformats.org/officeDocument/2006/relationships/header" Target="header9.xml"/><Relationship Id="rId48" Type="http://schemas.openxmlformats.org/officeDocument/2006/relationships/footer" Target="footer11.xml"/><Relationship Id="rId8" Type="http://schemas.openxmlformats.org/officeDocument/2006/relationships/hyperlink" Target="https://creativecommons.org/licenses/by/4.0/" TargetMode="External"/><Relationship Id="rId3" Type="http://schemas.openxmlformats.org/officeDocument/2006/relationships/settings" Target="settings.xml"/><Relationship Id="rId12" Type="http://schemas.openxmlformats.org/officeDocument/2006/relationships/hyperlink" Target="http://www.pmc.gov.au/government/commonwealth-coat-arms" TargetMode="External"/><Relationship Id="rId17" Type="http://schemas.openxmlformats.org/officeDocument/2006/relationships/footer" Target="footer2.xml"/><Relationship Id="rId25" Type="http://schemas.openxmlformats.org/officeDocument/2006/relationships/hyperlink" Target="https://www.apsacademy.gov.au/courses/foundations-net-zero-government-operations" TargetMode="External"/><Relationship Id="rId33" Type="http://schemas.openxmlformats.org/officeDocument/2006/relationships/header" Target="header7.xml"/><Relationship Id="rId38" Type="http://schemas.openxmlformats.org/officeDocument/2006/relationships/hyperlink" Target="https://www.finance.gov.au/sites/default/files/2025-11/metrics-and-targets-year-2-factsheet.docx" TargetMode="External"/><Relationship Id="rId46" Type="http://schemas.openxmlformats.org/officeDocument/2006/relationships/footer" Target="footer10.xml"/><Relationship Id="rId20" Type="http://schemas.openxmlformats.org/officeDocument/2006/relationships/hyperlink" Target="https://corporate-plan.treasury.gov.au/" TargetMode="External"/><Relationship Id="rId41" Type="http://schemas.openxmlformats.org/officeDocument/2006/relationships/hyperlink" Target="https://www.finance.gov.au/sites/default/files/2026-06/APS-Net-Zero-2030-Target-Factsheet%202025-26-FY-Update.pdf" TargetMode="External"/><Relationship Id="rId1" Type="http://schemas.openxmlformats.org/officeDocument/2006/relationships/numbering" Target="numbering.xml"/><Relationship Id="rId6"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6.xml.rels><?xml version="1.0" encoding="UTF-8" standalone="yes"?>
<Relationships xmlns="http://schemas.openxmlformats.org/package/2006/relationships"><Relationship Id="rId1" Type="http://schemas.openxmlformats.org/officeDocument/2006/relationships/image" Target="media/image4.png"/></Relationships>
</file>

<file path=word/_rels/footer7.xml.rels><?xml version="1.0" encoding="UTF-8" standalone="yes"?>
<Relationships xmlns="http://schemas.openxmlformats.org/package/2006/relationships"><Relationship Id="rId1" Type="http://schemas.openxmlformats.org/officeDocument/2006/relationships/image" Target="media/image4.png"/></Relationships>
</file>

<file path=word/_rels/footer9.xml.rels><?xml version="1.0" encoding="UTF-8" standalone="yes"?>
<Relationships xmlns="http://schemas.openxmlformats.org/package/2006/relationships"><Relationship Id="rId1" Type="http://schemas.openxmlformats.org/officeDocument/2006/relationships/image" Target="media/image4.png"/></Relationships>
</file>

<file path=word/_rels/footer10.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s>
</file>

<file path=word/_rels/header6.xml.rels><?xml version="1.0" encoding="UTF-8" standalone="yes"?>
<Relationships xmlns="http://schemas.openxmlformats.org/package/2006/relationships"><Relationship Id="rId1" Type="http://schemas.openxmlformats.org/officeDocument/2006/relationships/image" Target="media/image5.jpg"/></Relationships>
</file>

<file path=word/_rels/header7.xml.rels><?xml version="1.0" encoding="UTF-8" standalone="yes"?>
<Relationships xmlns="http://schemas.openxmlformats.org/package/2006/relationships"><Relationship Id="rId1" Type="http://schemas.openxmlformats.org/officeDocument/2006/relationships/image" Target="media/image5.jpg"/></Relationships>
</file>

<file path=word/_rels/header10.xml.rels><?xml version="1.0" encoding="UTF-8" standalone="yes"?>
<Relationships xmlns="http://schemas.openxmlformats.org/package/2006/relationships"><Relationship Id="rId1" Type="http://schemas.openxmlformats.org/officeDocument/2006/relationships/image" Target="media/image5.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SYBrand">
  <a:themeElements>
    <a:clrScheme name="TSY Corporate">
      <a:dk1>
        <a:sysClr val="windowText" lastClr="000000"/>
      </a:dk1>
      <a:lt1>
        <a:sysClr val="window" lastClr="FFFFFF"/>
      </a:lt1>
      <a:dk2>
        <a:srgbClr val="5F5F5F"/>
      </a:dk2>
      <a:lt2>
        <a:srgbClr val="EEEEEE"/>
      </a:lt2>
      <a:accent1>
        <a:srgbClr val="2C384A"/>
      </a:accent1>
      <a:accent2>
        <a:srgbClr val="4D7861"/>
      </a:accent2>
      <a:accent3>
        <a:srgbClr val="5D779D"/>
      </a:accent3>
      <a:accent4>
        <a:srgbClr val="B1F0CF"/>
      </a:accent4>
      <a:accent5>
        <a:srgbClr val="90B6F0"/>
      </a:accent5>
      <a:accent6>
        <a:srgbClr val="F0AE81"/>
      </a:accent6>
      <a:hlink>
        <a:srgbClr val="3A6FAF"/>
      </a:hlink>
      <a:folHlink>
        <a:srgbClr val="844D9E"/>
      </a:folHlink>
    </a:clrScheme>
    <a:fontScheme name="Custom 1">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4893</Words>
  <Characters>27896</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Commonwealth Climate Disclosure 2025–26</vt:lpstr>
    </vt:vector>
  </TitlesOfParts>
  <Company/>
  <LinksUpToDate>false</LinksUpToDate>
  <CharactersWithSpaces>32724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Climate Disclosure 2025–26</dc:title>
  <dc:subject/>
  <dc:creator>Australian Government</dc:creator>
  <cp:keywords/>
  <cp:lastModifiedBy/>
  <cp:revision>1</cp:revision>
  <dcterms:created xsi:type="dcterms:W3CDTF">2026-11-02T23:56:00Z</dcterms:created>
  <dcterms:modified xsi:type="dcterms:W3CDTF">2026-11-03T04:08:00Z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932d64-9ab1-4d9b-81d2-a3a8b82dd47d_Enabled">
    <vt:lpwstr>true</vt:lpwstr>
  </property>
  <property fmtid="{D5CDD505-2E9C-101B-9397-08002B2CF9AE}" pid="3" name="MSIP_Label_4f932d64-9ab1-4d9b-81d2-a3a8b82dd47d_SetDate">
    <vt:lpwstr>2026-11-02T23:57:11Z</vt:lpwstr>
  </property>
  <property fmtid="{D5CDD505-2E9C-101B-9397-08002B2CF9AE}" pid="4" name="MSIP_Label_4f932d64-9ab1-4d9b-81d2-a3a8b82dd47d_Method">
    <vt:lpwstr>Privileged</vt:lpwstr>
  </property>
  <property fmtid="{D5CDD505-2E9C-101B-9397-08002B2CF9AE}" pid="5" name="MSIP_Label_4f932d64-9ab1-4d9b-81d2-a3a8b82dd47d_Name">
    <vt:lpwstr>OFFICIAL No Visual Marking</vt:lpwstr>
  </property>
  <property fmtid="{D5CDD505-2E9C-101B-9397-08002B2CF9AE}" pid="6" name="MSIP_Label_4f932d64-9ab1-4d9b-81d2-a3a8b82dd47d_SiteId">
    <vt:lpwstr>214f1646-2021-47cc-8397-e3d3a7ba7d9d</vt:lpwstr>
  </property>
  <property fmtid="{D5CDD505-2E9C-101B-9397-08002B2CF9AE}" pid="7" name="MSIP_Label_4f932d64-9ab1-4d9b-81d2-a3a8b82dd47d_ActionId">
    <vt:lpwstr>44b0ae41-a6d5-46c1-80dd-d22b980dd63a</vt:lpwstr>
  </property>
  <property fmtid="{D5CDD505-2E9C-101B-9397-08002B2CF9AE}" pid="8" name="MSIP_Label_4f932d64-9ab1-4d9b-81d2-a3a8b82dd47d_ContentBits">
    <vt:lpwstr>0</vt:lpwstr>
  </property>
  <property fmtid="{D5CDD505-2E9C-101B-9397-08002B2CF9AE}" pid="9" name="MSIP_Label_4f932d64-9ab1-4d9b-81d2-a3a8b82dd47d_Tag">
    <vt:lpwstr>10, 0, 1, 1</vt:lpwstr>
  </property>
</Properties>
</file>