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0000" w:themeColor="text1"/>
          <w:sz w:val="22"/>
        </w:rPr>
        <w:id w:val="875589956"/>
        <w:docPartObj>
          <w:docPartGallery w:val="Cover Pages"/>
          <w:docPartUnique/>
        </w:docPartObj>
      </w:sdtPr>
      <w:sdtEndPr/>
      <w:sdtContent>
        <w:p w14:paraId="02F643BF" w14:textId="77777777" w:rsidR="00CE7B45" w:rsidRPr="00141EA0" w:rsidRDefault="00CE7B45" w:rsidP="008C5EC0">
          <w:pPr>
            <w:pStyle w:val="Header"/>
          </w:pPr>
          <w:r w:rsidRPr="00141EA0">
            <w:rPr>
              <w:noProof/>
            </w:rPr>
            <w:drawing>
              <wp:inline distT="0" distB="0" distL="0" distR="0" wp14:anchorId="224B989F" wp14:editId="3E053F1F">
                <wp:extent cx="2203708" cy="536449"/>
                <wp:effectExtent l="0" t="0" r="6350" b="0"/>
                <wp:docPr id="19" name="Picture 19"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ustralian Government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3708" cy="536449"/>
                        </a:xfrm>
                        <a:prstGeom prst="rect">
                          <a:avLst/>
                        </a:prstGeom>
                      </pic:spPr>
                    </pic:pic>
                  </a:graphicData>
                </a:graphic>
              </wp:inline>
            </w:drawing>
          </w:r>
          <w:r w:rsidRPr="00141EA0">
            <w:rPr>
              <w:noProof/>
            </w:rPr>
            <mc:AlternateContent>
              <mc:Choice Requires="wps">
                <w:drawing>
                  <wp:anchor distT="0" distB="0" distL="114300" distR="114300" simplePos="0" relativeHeight="251667456" behindDoc="1" locked="1" layoutInCell="1" allowOverlap="1" wp14:anchorId="09504951" wp14:editId="68195FA5">
                    <wp:simplePos x="0" y="0"/>
                    <wp:positionH relativeFrom="column">
                      <wp:align>center</wp:align>
                    </wp:positionH>
                    <wp:positionV relativeFrom="page">
                      <wp:align>center</wp:align>
                    </wp:positionV>
                    <wp:extent cx="7200000" cy="10332000"/>
                    <wp:effectExtent l="0" t="0" r="1270" b="0"/>
                    <wp:wrapNone/>
                    <wp:docPr id="10" name="Rectangl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200000" cy="1033200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AD516" id="Rectangle 10" o:spid="_x0000_s1026" alt="&quot;&quot;" style="position:absolute;margin-left:0;margin-top:0;width:566.95pt;height:813.55pt;z-index:-251649024;visibility:visible;mso-wrap-style:square;mso-width-percent:0;mso-height-percent:0;mso-wrap-distance-left:9pt;mso-wrap-distance-top:0;mso-wrap-distance-right:9pt;mso-wrap-distance-bottom:0;mso-position-horizontal:center;mso-position-horizontal-relative:text;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" fillcolor="#dedede [2894]" stroked="f" strokeweight="2pt">
                    <o:lock v:ext="edit" aspectratio="t"/>
                    <w10:wrap anchory="page"/>
                    <w10:anchorlock/>
                  </v:rect>
                </w:pict>
              </mc:Fallback>
            </mc:AlternateContent>
          </w:r>
        </w:p>
        <w:p w14:paraId="3C91B900" w14:textId="490C4FBF" w:rsidR="00CE7B45" w:rsidRPr="00141EA0" w:rsidRDefault="002D588D" w:rsidP="00E14C06">
          <w:pPr>
            <w:pStyle w:val="Title"/>
          </w:pPr>
          <w:bookmarkStart w:id="0" w:name="_Toc239238834"/>
          <w:r w:rsidRPr="00141EA0">
            <w:t>Government response to the</w:t>
          </w:r>
          <w:r w:rsidR="00B27789">
            <w:t xml:space="preserve"> </w:t>
          </w:r>
          <w:r w:rsidRPr="00141EA0">
            <w:t>Independent Review of the Enhanced Regulatory Sandbox</w:t>
          </w:r>
          <w:bookmarkEnd w:id="0"/>
        </w:p>
        <w:p w14:paraId="3D72FAD6" w14:textId="0A57E797" w:rsidR="00CE7B45" w:rsidRPr="00141EA0" w:rsidRDefault="00CE7B45" w:rsidP="008C5EC0">
          <w:pPr>
            <w:pStyle w:val="Subtitle"/>
          </w:pPr>
        </w:p>
        <w:p w14:paraId="4B697E33" w14:textId="5368594D" w:rsidR="00CE7B45" w:rsidRPr="00141EA0" w:rsidRDefault="002D588D" w:rsidP="002A77EC">
          <w:pPr>
            <w:pStyle w:val="ReportDate"/>
          </w:pPr>
          <w:r w:rsidRPr="00141EA0">
            <w:rPr>
              <w:rFonts w:asciiTheme="majorHAnsi" w:eastAsiaTheme="majorEastAsia" w:hAnsiTheme="majorHAnsi" w:cstheme="majorBidi"/>
              <w:iCs/>
              <w:sz w:val="44"/>
              <w:szCs w:val="44"/>
            </w:rPr>
            <w:t>September 2026</w:t>
          </w:r>
        </w:p>
        <w:p w14:paraId="291B4E7C" w14:textId="77777777" w:rsidR="00CE7B45" w:rsidRPr="00141EA0" w:rsidRDefault="0046763F" w:rsidP="00253878"/>
      </w:sdtContent>
    </w:sdt>
    <w:p w14:paraId="179EAA5D" w14:textId="77777777" w:rsidR="00253878" w:rsidRPr="00141EA0" w:rsidRDefault="00253878"/>
    <w:p w14:paraId="483F79F5" w14:textId="77777777" w:rsidR="00B775EE" w:rsidRPr="00141EA0" w:rsidRDefault="00B775EE">
      <w:pPr>
        <w:spacing w:before="0" w:after="160" w:line="259" w:lineRule="auto"/>
      </w:pPr>
      <w:r w:rsidRPr="00141EA0">
        <w:br w:type="page"/>
      </w:r>
    </w:p>
    <w:p w14:paraId="463675A9" w14:textId="5FD31952" w:rsidR="000E0B74" w:rsidRPr="00141EA0" w:rsidRDefault="000E0B74" w:rsidP="005877AC">
      <w:pPr>
        <w:spacing w:before="0" w:after="160" w:line="259" w:lineRule="auto"/>
      </w:pPr>
      <w:r w:rsidRPr="00141EA0">
        <w:lastRenderedPageBreak/>
        <w:t>© Commonwealth of Australia 20</w:t>
      </w:r>
      <w:r w:rsidR="00191CFE" w:rsidRPr="00141EA0">
        <w:t>2</w:t>
      </w:r>
      <w:r w:rsidR="00160008" w:rsidRPr="00141EA0">
        <w:t>6</w:t>
      </w:r>
    </w:p>
    <w:p w14:paraId="4032C316" w14:textId="548CC938" w:rsidR="000E0B74" w:rsidRPr="00141EA0" w:rsidRDefault="000E0B74" w:rsidP="000E0B74">
      <w:pPr>
        <w:tabs>
          <w:tab w:val="left" w:pos="1650"/>
        </w:tabs>
        <w:rPr>
          <w:rFonts w:cstheme="minorBidi"/>
          <w:sz w:val="24"/>
          <w:szCs w:val="24"/>
        </w:rPr>
      </w:pPr>
      <w:r w:rsidRPr="00141EA0">
        <w:t>This publication is available for your use under a</w:t>
      </w:r>
      <w:r w:rsidRPr="00141EA0">
        <w:rPr>
          <w:rFonts w:cstheme="minorHAnsi"/>
          <w:sz w:val="24"/>
          <w:szCs w:val="24"/>
        </w:rPr>
        <w:t xml:space="preserve"> </w:t>
      </w:r>
      <w:hyperlink r:id="rId9" w:history="1">
        <w:r w:rsidR="00AC102B" w:rsidRPr="00141EA0">
          <w:rPr>
            <w:rStyle w:val="Hyperlink"/>
          </w:rPr>
          <w:t>Creative Commons Attribution 4.0 International</w:t>
        </w:r>
      </w:hyperlink>
      <w:r w:rsidR="00AC102B" w:rsidRPr="00141EA0">
        <w:rPr>
          <w:rFonts w:cstheme="minorHAnsi"/>
          <w:sz w:val="24"/>
          <w:szCs w:val="24"/>
        </w:rPr>
        <w:t xml:space="preserve"> </w:t>
      </w:r>
      <w:r w:rsidRPr="00141EA0">
        <w:t xml:space="preserve">licence, with the exception of the Commonwealth Coat of Arms, the </w:t>
      </w:r>
      <w:r w:rsidR="00160008" w:rsidRPr="00141EA0">
        <w:t>Australian Government</w:t>
      </w:r>
      <w:r w:rsidRPr="00141EA0">
        <w:t xml:space="preserve"> logo, photographs, images, </w:t>
      </w:r>
      <w:r w:rsidR="00372D99" w:rsidRPr="00141EA0">
        <w:t xml:space="preserve">third party materials, materials protected by a trademark, </w:t>
      </w:r>
      <w:r w:rsidRPr="00141EA0">
        <w:t>signatures and where otherwise stated</w:t>
      </w:r>
      <w:r w:rsidR="00372D99" w:rsidRPr="00141EA0">
        <w:t xml:space="preserve">. </w:t>
      </w:r>
      <w:r w:rsidRPr="00141EA0">
        <w:t>The full licence terms are available from</w:t>
      </w:r>
      <w:r w:rsidRPr="00141EA0">
        <w:rPr>
          <w:rFonts w:cstheme="minorHAnsi"/>
          <w:sz w:val="24"/>
          <w:szCs w:val="24"/>
        </w:rPr>
        <w:t xml:space="preserve"> </w:t>
      </w:r>
      <w:hyperlink r:id="rId10" w:history="1">
        <w:r w:rsidR="00372D99" w:rsidRPr="00141EA0">
          <w:rPr>
            <w:rStyle w:val="Hyperlink"/>
          </w:rPr>
          <w:t>creativecommons.org/licenses/by/4.0/legalcode</w:t>
        </w:r>
      </w:hyperlink>
      <w:r w:rsidR="00AC102B" w:rsidRPr="00141EA0">
        <w:rPr>
          <w:rFonts w:cstheme="minorHAnsi"/>
          <w:sz w:val="24"/>
          <w:szCs w:val="24"/>
        </w:rPr>
        <w:t xml:space="preserve">. </w:t>
      </w:r>
    </w:p>
    <w:p w14:paraId="7672ED05" w14:textId="77777777" w:rsidR="000E0B74" w:rsidRPr="00141EA0" w:rsidRDefault="000E0B74" w:rsidP="000E0B74">
      <w:pPr>
        <w:pStyle w:val="ChartGraphic"/>
        <w:jc w:val="left"/>
      </w:pPr>
      <w:r w:rsidRPr="00141EA0">
        <w:rPr>
          <w:noProof/>
        </w:rPr>
        <w:drawing>
          <wp:inline distT="0" distB="0" distL="0" distR="0" wp14:anchorId="61B4ECB0" wp14:editId="74E8FE9D">
            <wp:extent cx="809625" cy="285750"/>
            <wp:effectExtent l="0" t="0" r="9525" b="0"/>
            <wp:docPr id="3" name="Picture 1" descr="Creative Commons attribution licence 3.0 icon. " title="Creative Comm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 by_gre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403F9FEC" w14:textId="5E6F8AC4" w:rsidR="00160008" w:rsidRPr="00141EA0" w:rsidRDefault="00160008" w:rsidP="00160008">
      <w:r w:rsidRPr="00141EA0">
        <w:t xml:space="preserve">Use of Commonwealth of Australia material under a </w:t>
      </w:r>
      <w:hyperlink r:id="rId12" w:history="1">
        <w:r w:rsidRPr="00141EA0">
          <w:rPr>
            <w:rStyle w:val="Hyperlink"/>
          </w:rPr>
          <w:t xml:space="preserve">Creative Commons Attribution 4.0 </w:t>
        </w:r>
        <w:r w:rsidRPr="00AE6E5B">
          <w:rPr>
            <w:rStyle w:val="Hyperlink"/>
            <w:color w:val="auto"/>
          </w:rPr>
          <w:t>International</w:t>
        </w:r>
      </w:hyperlink>
      <w:r w:rsidRPr="00141EA0">
        <w:t xml:space="preserve"> licence requires you to attribute the work (but not in any way that suggests that the Commonwealth of Australia endorses you or your use of the work).</w:t>
      </w:r>
    </w:p>
    <w:p w14:paraId="1502DFBC" w14:textId="73849471" w:rsidR="00160008" w:rsidRPr="00141EA0" w:rsidRDefault="00160008" w:rsidP="00160008">
      <w:pPr>
        <w:rPr>
          <w:b/>
          <w:bCs/>
        </w:rPr>
      </w:pPr>
      <w:r w:rsidRPr="00141EA0">
        <w:rPr>
          <w:b/>
          <w:bCs/>
        </w:rPr>
        <w:t xml:space="preserve">Commonwealth of Australia material used ‘as supplied’ </w:t>
      </w:r>
    </w:p>
    <w:p w14:paraId="68803F42" w14:textId="1490E08B" w:rsidR="00160008" w:rsidRPr="00141EA0" w:rsidRDefault="00160008" w:rsidP="00160008">
      <w:r w:rsidRPr="00141EA0">
        <w:t xml:space="preserve">Provided you have not modified or transformed Commonwealth of Australia material in any way including, for example, by changing the Commonwealth of Australia text; calculating percentage changes; graphing or charting data; or deriving new statistics from published Commonwealth of Australia statistics – then the Commonwealth of Australia prefers the following attribution: </w:t>
      </w:r>
    </w:p>
    <w:p w14:paraId="0CC352A1" w14:textId="0AB54E0F" w:rsidR="000E0B74" w:rsidRPr="00141EA0" w:rsidRDefault="000E0B74" w:rsidP="00160008">
      <w:pPr>
        <w:rPr>
          <w:rStyle w:val="Emphasis"/>
        </w:rPr>
      </w:pPr>
      <w:r w:rsidRPr="00141EA0">
        <w:t>Source:</w:t>
      </w:r>
      <w:r w:rsidRPr="00141EA0">
        <w:rPr>
          <w:rStyle w:val="Emphasis"/>
        </w:rPr>
        <w:t xml:space="preserve"> </w:t>
      </w:r>
      <w:r w:rsidR="004327A3" w:rsidRPr="00141EA0">
        <w:rPr>
          <w:rStyle w:val="Emphasis"/>
        </w:rPr>
        <w:t>The Commonwealth of Australia.</w:t>
      </w:r>
    </w:p>
    <w:p w14:paraId="3C459D24" w14:textId="77777777" w:rsidR="000E0B74" w:rsidRPr="00141EA0" w:rsidRDefault="000E0B74" w:rsidP="000E0B74">
      <w:pPr>
        <w:rPr>
          <w:rStyle w:val="Strong"/>
        </w:rPr>
      </w:pPr>
      <w:r w:rsidRPr="00141EA0">
        <w:rPr>
          <w:rStyle w:val="Strong"/>
        </w:rPr>
        <w:t>Derivative material</w:t>
      </w:r>
    </w:p>
    <w:p w14:paraId="55AA3FD3" w14:textId="55513CAD" w:rsidR="000E0B74" w:rsidRPr="00141EA0" w:rsidRDefault="000E0B74" w:rsidP="000E0B74">
      <w:r w:rsidRPr="00141EA0">
        <w:t xml:space="preserve">If you have modified or transformed </w:t>
      </w:r>
      <w:r w:rsidR="00160008" w:rsidRPr="00141EA0">
        <w:t>Commonwealth</w:t>
      </w:r>
      <w:r w:rsidR="00412369" w:rsidRPr="00141EA0">
        <w:t xml:space="preserve"> </w:t>
      </w:r>
      <w:r w:rsidRPr="00141EA0">
        <w:t xml:space="preserve">material, or derived new material from those of the </w:t>
      </w:r>
      <w:r w:rsidR="00160008" w:rsidRPr="00141EA0">
        <w:t>Commonwealth of Australia</w:t>
      </w:r>
      <w:r w:rsidR="00412369" w:rsidRPr="00141EA0">
        <w:t xml:space="preserve"> </w:t>
      </w:r>
      <w:r w:rsidRPr="00141EA0">
        <w:t xml:space="preserve">in any way, then </w:t>
      </w:r>
      <w:r w:rsidR="00160008" w:rsidRPr="00141EA0">
        <w:t>the Commonwealth of Australia</w:t>
      </w:r>
      <w:r w:rsidR="00412369" w:rsidRPr="00141EA0">
        <w:t xml:space="preserve"> </w:t>
      </w:r>
      <w:r w:rsidRPr="00141EA0">
        <w:t xml:space="preserve">prefers the following attribution: </w:t>
      </w:r>
    </w:p>
    <w:p w14:paraId="7F5F6202" w14:textId="77777777" w:rsidR="000E0B74" w:rsidRPr="00141EA0" w:rsidRDefault="000E0B74" w:rsidP="000E0B74">
      <w:pPr>
        <w:ind w:firstLine="720"/>
        <w:rPr>
          <w:rStyle w:val="Emphasis"/>
        </w:rPr>
      </w:pPr>
      <w:r w:rsidRPr="00141EA0">
        <w:rPr>
          <w:rStyle w:val="Emphasis"/>
        </w:rPr>
        <w:t xml:space="preserve">Based on </w:t>
      </w:r>
      <w:r w:rsidR="004327A3" w:rsidRPr="00141EA0">
        <w:rPr>
          <w:rStyle w:val="Emphasis"/>
        </w:rPr>
        <w:t>Commonwealth of Australia</w:t>
      </w:r>
      <w:r w:rsidR="004327A3" w:rsidRPr="00141EA0" w:rsidDel="002A3368">
        <w:rPr>
          <w:rStyle w:val="Emphasis"/>
        </w:rPr>
        <w:t xml:space="preserve"> </w:t>
      </w:r>
      <w:r w:rsidRPr="00141EA0">
        <w:rPr>
          <w:rStyle w:val="Emphasis"/>
        </w:rPr>
        <w:t>data.</w:t>
      </w:r>
    </w:p>
    <w:p w14:paraId="093FD733" w14:textId="77777777" w:rsidR="000E0B74" w:rsidRPr="00141EA0" w:rsidRDefault="000E0B74" w:rsidP="000E0B74">
      <w:pPr>
        <w:rPr>
          <w:rStyle w:val="Strong"/>
        </w:rPr>
      </w:pPr>
      <w:r w:rsidRPr="00141EA0">
        <w:rPr>
          <w:rStyle w:val="Strong"/>
        </w:rPr>
        <w:t>Use of the Coat of Arms</w:t>
      </w:r>
    </w:p>
    <w:p w14:paraId="712F655D" w14:textId="77777777" w:rsidR="005C503A" w:rsidRPr="00141EA0" w:rsidRDefault="005C503A" w:rsidP="005C503A">
      <w:r w:rsidRPr="00141EA0">
        <w:t xml:space="preserve">The terms under which the Coat of Arms can be used are set out on the Department of the Prime Minister and Cabinet website (see </w:t>
      </w:r>
      <w:hyperlink r:id="rId13" w:history="1">
        <w:r w:rsidR="00372D99" w:rsidRPr="00141EA0">
          <w:rPr>
            <w:rStyle w:val="Hyperlink"/>
          </w:rPr>
          <w:t>www.pmc.gov.au/government/commonwealth-coat-arms</w:t>
        </w:r>
      </w:hyperlink>
      <w:r w:rsidRPr="00141EA0">
        <w:t>).</w:t>
      </w:r>
    </w:p>
    <w:p w14:paraId="42509693" w14:textId="77777777" w:rsidR="000E0B74" w:rsidRPr="00141EA0" w:rsidRDefault="000E0B74" w:rsidP="000E0B74">
      <w:pPr>
        <w:rPr>
          <w:rStyle w:val="Strong"/>
        </w:rPr>
      </w:pPr>
      <w:r w:rsidRPr="00141EA0">
        <w:rPr>
          <w:rStyle w:val="Strong"/>
        </w:rPr>
        <w:t>Other uses</w:t>
      </w:r>
    </w:p>
    <w:p w14:paraId="28AD4D8F" w14:textId="77777777" w:rsidR="000E0B74" w:rsidRPr="00141EA0" w:rsidRDefault="000E0B74" w:rsidP="000E0B74">
      <w:r w:rsidRPr="00141EA0">
        <w:t>Enquiries regarding this licence and any other use of this document are welcome at:</w:t>
      </w:r>
    </w:p>
    <w:p w14:paraId="1B853DB8" w14:textId="77777777" w:rsidR="000E0B74" w:rsidRPr="00141EA0" w:rsidRDefault="000E0B74" w:rsidP="000E0B74">
      <w:pPr>
        <w:ind w:left="720"/>
        <w:rPr>
          <w:rStyle w:val="Hyperlink"/>
        </w:rPr>
      </w:pPr>
      <w:r w:rsidRPr="00141EA0">
        <w:t>Manager</w:t>
      </w:r>
      <w:r w:rsidR="00A72960" w:rsidRPr="00141EA0">
        <w:br/>
      </w:r>
      <w:r w:rsidRPr="00141EA0">
        <w:t>Media Unit</w:t>
      </w:r>
      <w:r w:rsidRPr="00141EA0">
        <w:br/>
        <w:t>The Treasury</w:t>
      </w:r>
      <w:r w:rsidRPr="00141EA0">
        <w:br/>
        <w:t xml:space="preserve">Langton Crescent </w:t>
      </w:r>
      <w:r w:rsidRPr="00141EA0">
        <w:br/>
        <w:t>Parkes</w:t>
      </w:r>
      <w:r w:rsidR="005005F5" w:rsidRPr="00141EA0">
        <w:t> </w:t>
      </w:r>
      <w:r w:rsidRPr="00141EA0">
        <w:t>ACT</w:t>
      </w:r>
      <w:r w:rsidR="005005F5" w:rsidRPr="00141EA0">
        <w:t> </w:t>
      </w:r>
      <w:r w:rsidRPr="00141EA0">
        <w:t>2600</w:t>
      </w:r>
      <w:r w:rsidRPr="00141EA0">
        <w:br/>
        <w:t xml:space="preserve">Email: </w:t>
      </w:r>
      <w:hyperlink r:id="rId14" w:history="1">
        <w:r w:rsidR="001515FD" w:rsidRPr="00141EA0">
          <w:rPr>
            <w:rStyle w:val="Hyperlink"/>
          </w:rPr>
          <w:t>media@treasury.gov.au</w:t>
        </w:r>
      </w:hyperlink>
    </w:p>
    <w:p w14:paraId="619D7C5B" w14:textId="77777777" w:rsidR="00F836F9" w:rsidRPr="00141EA0" w:rsidRDefault="00F836F9" w:rsidP="005005F5"/>
    <w:p w14:paraId="71B897F5" w14:textId="77777777" w:rsidR="005005F5" w:rsidRPr="00141EA0" w:rsidRDefault="005005F5" w:rsidP="005005F5">
      <w:pPr>
        <w:sectPr w:rsidR="005005F5" w:rsidRPr="00141EA0" w:rsidSect="00253878">
          <w:pgSz w:w="11906" w:h="16838" w:code="9"/>
          <w:pgMar w:top="1843" w:right="1418" w:bottom="1418" w:left="1418" w:header="709" w:footer="709" w:gutter="0"/>
          <w:pgNumType w:fmt="lowerRoman" w:start="0"/>
          <w:cols w:space="708"/>
          <w:titlePg/>
          <w:docGrid w:linePitch="360"/>
        </w:sectPr>
      </w:pPr>
    </w:p>
    <w:p w14:paraId="51AA773B" w14:textId="77777777" w:rsidR="000E0B74" w:rsidRPr="00141EA0" w:rsidRDefault="000E0B74" w:rsidP="005005F5">
      <w:pPr>
        <w:pStyle w:val="Heading1"/>
      </w:pPr>
      <w:bookmarkStart w:id="1" w:name="_Toc239238835"/>
      <w:r w:rsidRPr="00141EA0">
        <w:lastRenderedPageBreak/>
        <w:t>Contents</w:t>
      </w:r>
      <w:bookmarkEnd w:id="1"/>
    </w:p>
    <w:p w14:paraId="5CA1901C" w14:textId="2C088B1E" w:rsidR="00B27789" w:rsidRDefault="000E0B74">
      <w:pPr>
        <w:pStyle w:val="TOC1"/>
        <w:rPr>
          <w:rFonts w:eastAsiaTheme="minorEastAsia" w:cstheme="minorBidi"/>
          <w:b w:val="0"/>
          <w:color w:val="auto"/>
          <w:kern w:val="2"/>
          <w:szCs w:val="24"/>
          <w14:ligatures w14:val="standardContextual"/>
        </w:rPr>
      </w:pPr>
      <w:r w:rsidRPr="00141EA0">
        <w:rPr>
          <w:noProof w:val="0"/>
          <w:color w:val="004A7F"/>
        </w:rPr>
        <w:fldChar w:fldCharType="begin"/>
      </w:r>
      <w:r w:rsidRPr="00141EA0">
        <w:rPr>
          <w:noProof w:val="0"/>
        </w:rPr>
        <w:instrText xml:space="preserve"> TOC \o "1-3" \h \z \u </w:instrText>
      </w:r>
      <w:r w:rsidRPr="00141EA0">
        <w:rPr>
          <w:noProof w:val="0"/>
          <w:color w:val="004A7F"/>
        </w:rPr>
        <w:fldChar w:fldCharType="separate"/>
      </w:r>
      <w:hyperlink w:anchor="_Toc239238834" w:history="1">
        <w:r w:rsidR="00B27789" w:rsidRPr="00DF5FF6">
          <w:rPr>
            <w:rStyle w:val="Hyperlink"/>
          </w:rPr>
          <w:t>Government response to the Independent Review of the Enhanced Regulatory Sandbox</w:t>
        </w:r>
        <w:r w:rsidR="00B27789">
          <w:rPr>
            <w:webHidden/>
          </w:rPr>
          <w:tab/>
        </w:r>
        <w:r w:rsidR="00B27789">
          <w:rPr>
            <w:webHidden/>
          </w:rPr>
          <w:fldChar w:fldCharType="begin"/>
        </w:r>
        <w:r w:rsidR="00B27789">
          <w:rPr>
            <w:webHidden/>
          </w:rPr>
          <w:instrText xml:space="preserve"> PAGEREF _Toc239238834 \h </w:instrText>
        </w:r>
        <w:r w:rsidR="00B27789">
          <w:rPr>
            <w:webHidden/>
          </w:rPr>
        </w:r>
        <w:r w:rsidR="00B27789">
          <w:rPr>
            <w:webHidden/>
          </w:rPr>
          <w:fldChar w:fldCharType="separate"/>
        </w:r>
        <w:r w:rsidR="00B27789">
          <w:rPr>
            <w:webHidden/>
          </w:rPr>
          <w:t xml:space="preserve"> </w:t>
        </w:r>
        <w:r w:rsidR="00B27789">
          <w:rPr>
            <w:webHidden/>
          </w:rPr>
          <w:fldChar w:fldCharType="end"/>
        </w:r>
      </w:hyperlink>
    </w:p>
    <w:p w14:paraId="3D2261B5" w14:textId="182832DD" w:rsidR="00B27789" w:rsidRDefault="00B27789">
      <w:pPr>
        <w:pStyle w:val="TOC1"/>
        <w:rPr>
          <w:rFonts w:eastAsiaTheme="minorEastAsia" w:cstheme="minorBidi"/>
          <w:b w:val="0"/>
          <w:color w:val="auto"/>
          <w:kern w:val="2"/>
          <w:szCs w:val="24"/>
          <w14:ligatures w14:val="standardContextual"/>
        </w:rPr>
      </w:pPr>
      <w:hyperlink w:anchor="_Toc239238835" w:history="1">
        <w:r w:rsidRPr="00DF5FF6">
          <w:rPr>
            <w:rStyle w:val="Hyperlink"/>
          </w:rPr>
          <w:t>Contents</w:t>
        </w:r>
        <w:r>
          <w:rPr>
            <w:webHidden/>
          </w:rPr>
          <w:tab/>
        </w:r>
        <w:r>
          <w:rPr>
            <w:webHidden/>
          </w:rPr>
          <w:fldChar w:fldCharType="begin"/>
        </w:r>
        <w:r>
          <w:rPr>
            <w:webHidden/>
          </w:rPr>
          <w:instrText xml:space="preserve"> PAGEREF _Toc239238835 \h </w:instrText>
        </w:r>
        <w:r>
          <w:rPr>
            <w:webHidden/>
          </w:rPr>
        </w:r>
        <w:r>
          <w:rPr>
            <w:webHidden/>
          </w:rPr>
          <w:fldChar w:fldCharType="separate"/>
        </w:r>
        <w:r>
          <w:rPr>
            <w:webHidden/>
          </w:rPr>
          <w:t>1</w:t>
        </w:r>
        <w:r>
          <w:rPr>
            <w:webHidden/>
          </w:rPr>
          <w:fldChar w:fldCharType="end"/>
        </w:r>
      </w:hyperlink>
    </w:p>
    <w:p w14:paraId="6B0B26EE" w14:textId="3B81CBAD" w:rsidR="00B27789" w:rsidRDefault="00B27789">
      <w:pPr>
        <w:pStyle w:val="TOC1"/>
        <w:rPr>
          <w:rFonts w:eastAsiaTheme="minorEastAsia" w:cstheme="minorBidi"/>
          <w:b w:val="0"/>
          <w:color w:val="auto"/>
          <w:kern w:val="2"/>
          <w:szCs w:val="24"/>
          <w14:ligatures w14:val="standardContextual"/>
        </w:rPr>
      </w:pPr>
      <w:hyperlink w:anchor="_Toc239238836" w:history="1">
        <w:r w:rsidRPr="00DF5FF6">
          <w:rPr>
            <w:rStyle w:val="Hyperlink"/>
          </w:rPr>
          <w:t>Background</w:t>
        </w:r>
        <w:r>
          <w:rPr>
            <w:webHidden/>
          </w:rPr>
          <w:tab/>
        </w:r>
        <w:r>
          <w:rPr>
            <w:webHidden/>
          </w:rPr>
          <w:fldChar w:fldCharType="begin"/>
        </w:r>
        <w:r>
          <w:rPr>
            <w:webHidden/>
          </w:rPr>
          <w:instrText xml:space="preserve"> PAGEREF _Toc239238836 \h </w:instrText>
        </w:r>
        <w:r>
          <w:rPr>
            <w:webHidden/>
          </w:rPr>
        </w:r>
        <w:r>
          <w:rPr>
            <w:webHidden/>
          </w:rPr>
          <w:fldChar w:fldCharType="separate"/>
        </w:r>
        <w:r>
          <w:rPr>
            <w:webHidden/>
          </w:rPr>
          <w:t>2</w:t>
        </w:r>
        <w:r>
          <w:rPr>
            <w:webHidden/>
          </w:rPr>
          <w:fldChar w:fldCharType="end"/>
        </w:r>
      </w:hyperlink>
    </w:p>
    <w:p w14:paraId="25E171EC" w14:textId="3780041B" w:rsidR="00B27789" w:rsidRDefault="00B27789">
      <w:pPr>
        <w:pStyle w:val="TOC1"/>
        <w:rPr>
          <w:rFonts w:eastAsiaTheme="minorEastAsia" w:cstheme="minorBidi"/>
          <w:b w:val="0"/>
          <w:color w:val="auto"/>
          <w:kern w:val="2"/>
          <w:szCs w:val="24"/>
          <w14:ligatures w14:val="standardContextual"/>
        </w:rPr>
      </w:pPr>
      <w:hyperlink w:anchor="_Toc239238837" w:history="1">
        <w:r w:rsidRPr="00DF5FF6">
          <w:rPr>
            <w:rStyle w:val="Hyperlink"/>
          </w:rPr>
          <w:t>Summary of the Government response</w:t>
        </w:r>
        <w:r>
          <w:rPr>
            <w:webHidden/>
          </w:rPr>
          <w:tab/>
        </w:r>
        <w:r>
          <w:rPr>
            <w:webHidden/>
          </w:rPr>
          <w:fldChar w:fldCharType="begin"/>
        </w:r>
        <w:r>
          <w:rPr>
            <w:webHidden/>
          </w:rPr>
          <w:instrText xml:space="preserve"> PAGEREF _Toc239238837 \h </w:instrText>
        </w:r>
        <w:r>
          <w:rPr>
            <w:webHidden/>
          </w:rPr>
        </w:r>
        <w:r>
          <w:rPr>
            <w:webHidden/>
          </w:rPr>
          <w:fldChar w:fldCharType="separate"/>
        </w:r>
        <w:r>
          <w:rPr>
            <w:webHidden/>
          </w:rPr>
          <w:t>3</w:t>
        </w:r>
        <w:r>
          <w:rPr>
            <w:webHidden/>
          </w:rPr>
          <w:fldChar w:fldCharType="end"/>
        </w:r>
      </w:hyperlink>
    </w:p>
    <w:p w14:paraId="54DC2F25" w14:textId="03AA1365" w:rsidR="00B27789" w:rsidRDefault="00B27789">
      <w:pPr>
        <w:pStyle w:val="TOC1"/>
        <w:rPr>
          <w:rFonts w:eastAsiaTheme="minorEastAsia" w:cstheme="minorBidi"/>
          <w:b w:val="0"/>
          <w:color w:val="auto"/>
          <w:kern w:val="2"/>
          <w:szCs w:val="24"/>
          <w14:ligatures w14:val="standardContextual"/>
        </w:rPr>
      </w:pPr>
      <w:hyperlink w:anchor="_Toc239238838" w:history="1">
        <w:r w:rsidRPr="00DF5FF6">
          <w:rPr>
            <w:rStyle w:val="Hyperlink"/>
          </w:rPr>
          <w:t>Response to the recommendations</w:t>
        </w:r>
        <w:r>
          <w:rPr>
            <w:webHidden/>
          </w:rPr>
          <w:tab/>
        </w:r>
        <w:r>
          <w:rPr>
            <w:webHidden/>
          </w:rPr>
          <w:fldChar w:fldCharType="begin"/>
        </w:r>
        <w:r>
          <w:rPr>
            <w:webHidden/>
          </w:rPr>
          <w:instrText xml:space="preserve"> PAGEREF _Toc239238838 \h </w:instrText>
        </w:r>
        <w:r>
          <w:rPr>
            <w:webHidden/>
          </w:rPr>
        </w:r>
        <w:r>
          <w:rPr>
            <w:webHidden/>
          </w:rPr>
          <w:fldChar w:fldCharType="separate"/>
        </w:r>
        <w:r>
          <w:rPr>
            <w:webHidden/>
          </w:rPr>
          <w:t>4</w:t>
        </w:r>
        <w:r>
          <w:rPr>
            <w:webHidden/>
          </w:rPr>
          <w:fldChar w:fldCharType="end"/>
        </w:r>
      </w:hyperlink>
    </w:p>
    <w:p w14:paraId="1E097210" w14:textId="353E9861" w:rsidR="00B27789" w:rsidRDefault="00B27789">
      <w:pPr>
        <w:pStyle w:val="TOC2"/>
        <w:rPr>
          <w:rFonts w:eastAsiaTheme="minorEastAsia" w:cstheme="minorBidi"/>
          <w:color w:val="auto"/>
          <w:kern w:val="2"/>
          <w:sz w:val="24"/>
          <w:szCs w:val="24"/>
          <w14:ligatures w14:val="standardContextual"/>
        </w:rPr>
      </w:pPr>
      <w:hyperlink w:anchor="_Toc239238839" w:history="1">
        <w:r w:rsidRPr="00DF5FF6">
          <w:rPr>
            <w:rStyle w:val="Hyperlink"/>
          </w:rPr>
          <w:t>Recommendation 1.1 — Financial innovation strategy</w:t>
        </w:r>
        <w:r>
          <w:rPr>
            <w:webHidden/>
          </w:rPr>
          <w:tab/>
        </w:r>
        <w:r>
          <w:rPr>
            <w:webHidden/>
          </w:rPr>
          <w:fldChar w:fldCharType="begin"/>
        </w:r>
        <w:r>
          <w:rPr>
            <w:webHidden/>
          </w:rPr>
          <w:instrText xml:space="preserve"> PAGEREF _Toc239238839 \h </w:instrText>
        </w:r>
        <w:r>
          <w:rPr>
            <w:webHidden/>
          </w:rPr>
        </w:r>
        <w:r>
          <w:rPr>
            <w:webHidden/>
          </w:rPr>
          <w:fldChar w:fldCharType="separate"/>
        </w:r>
        <w:r>
          <w:rPr>
            <w:webHidden/>
          </w:rPr>
          <w:t>4</w:t>
        </w:r>
        <w:r>
          <w:rPr>
            <w:webHidden/>
          </w:rPr>
          <w:fldChar w:fldCharType="end"/>
        </w:r>
      </w:hyperlink>
    </w:p>
    <w:p w14:paraId="6B699E8F" w14:textId="6DE1C4AA" w:rsidR="00B27789" w:rsidRDefault="00B27789">
      <w:pPr>
        <w:pStyle w:val="TOC2"/>
        <w:rPr>
          <w:rFonts w:eastAsiaTheme="minorEastAsia" w:cstheme="minorBidi"/>
          <w:color w:val="auto"/>
          <w:kern w:val="2"/>
          <w:sz w:val="24"/>
          <w:szCs w:val="24"/>
          <w14:ligatures w14:val="standardContextual"/>
        </w:rPr>
      </w:pPr>
      <w:hyperlink w:anchor="_Toc239238840" w:history="1">
        <w:r w:rsidRPr="00DF5FF6">
          <w:rPr>
            <w:rStyle w:val="Hyperlink"/>
          </w:rPr>
          <w:t>Recommendation 1.2 — Industry-led regulatory understanding</w:t>
        </w:r>
        <w:r>
          <w:rPr>
            <w:webHidden/>
          </w:rPr>
          <w:tab/>
        </w:r>
        <w:r>
          <w:rPr>
            <w:webHidden/>
          </w:rPr>
          <w:fldChar w:fldCharType="begin"/>
        </w:r>
        <w:r>
          <w:rPr>
            <w:webHidden/>
          </w:rPr>
          <w:instrText xml:space="preserve"> PAGEREF _Toc239238840 \h </w:instrText>
        </w:r>
        <w:r>
          <w:rPr>
            <w:webHidden/>
          </w:rPr>
        </w:r>
        <w:r>
          <w:rPr>
            <w:webHidden/>
          </w:rPr>
          <w:fldChar w:fldCharType="separate"/>
        </w:r>
        <w:r>
          <w:rPr>
            <w:webHidden/>
          </w:rPr>
          <w:t>4</w:t>
        </w:r>
        <w:r>
          <w:rPr>
            <w:webHidden/>
          </w:rPr>
          <w:fldChar w:fldCharType="end"/>
        </w:r>
      </w:hyperlink>
    </w:p>
    <w:p w14:paraId="4DF4D07B" w14:textId="5B32E97B" w:rsidR="00B27789" w:rsidRDefault="00B27789">
      <w:pPr>
        <w:pStyle w:val="TOC2"/>
        <w:rPr>
          <w:rFonts w:eastAsiaTheme="minorEastAsia" w:cstheme="minorBidi"/>
          <w:color w:val="auto"/>
          <w:kern w:val="2"/>
          <w:sz w:val="24"/>
          <w:szCs w:val="24"/>
          <w14:ligatures w14:val="standardContextual"/>
        </w:rPr>
      </w:pPr>
      <w:hyperlink w:anchor="_Toc239238841" w:history="1">
        <w:r w:rsidRPr="00DF5FF6">
          <w:rPr>
            <w:rStyle w:val="Hyperlink"/>
          </w:rPr>
          <w:t>Recommendation 3.1 — Reform the general regulatory sandbox</w:t>
        </w:r>
        <w:r>
          <w:rPr>
            <w:webHidden/>
          </w:rPr>
          <w:tab/>
        </w:r>
        <w:r>
          <w:rPr>
            <w:webHidden/>
          </w:rPr>
          <w:fldChar w:fldCharType="begin"/>
        </w:r>
        <w:r>
          <w:rPr>
            <w:webHidden/>
          </w:rPr>
          <w:instrText xml:space="preserve"> PAGEREF _Toc239238841 \h </w:instrText>
        </w:r>
        <w:r>
          <w:rPr>
            <w:webHidden/>
          </w:rPr>
        </w:r>
        <w:r>
          <w:rPr>
            <w:webHidden/>
          </w:rPr>
          <w:fldChar w:fldCharType="separate"/>
        </w:r>
        <w:r>
          <w:rPr>
            <w:webHidden/>
          </w:rPr>
          <w:t>4</w:t>
        </w:r>
        <w:r>
          <w:rPr>
            <w:webHidden/>
          </w:rPr>
          <w:fldChar w:fldCharType="end"/>
        </w:r>
      </w:hyperlink>
    </w:p>
    <w:p w14:paraId="43EED454" w14:textId="218266FC" w:rsidR="00B27789" w:rsidRDefault="00B27789">
      <w:pPr>
        <w:pStyle w:val="TOC2"/>
        <w:rPr>
          <w:rFonts w:eastAsiaTheme="minorEastAsia" w:cstheme="minorBidi"/>
          <w:color w:val="auto"/>
          <w:kern w:val="2"/>
          <w:sz w:val="24"/>
          <w:szCs w:val="24"/>
          <w14:ligatures w14:val="standardContextual"/>
        </w:rPr>
      </w:pPr>
      <w:hyperlink w:anchor="_Toc239238842" w:history="1">
        <w:r w:rsidRPr="00DF5FF6">
          <w:rPr>
            <w:rStyle w:val="Hyperlink"/>
          </w:rPr>
          <w:t>Recommendation 3.2 — Integration with ASIC’s broader functions</w:t>
        </w:r>
        <w:r>
          <w:rPr>
            <w:webHidden/>
          </w:rPr>
          <w:tab/>
        </w:r>
        <w:r>
          <w:rPr>
            <w:webHidden/>
          </w:rPr>
          <w:fldChar w:fldCharType="begin"/>
        </w:r>
        <w:r>
          <w:rPr>
            <w:webHidden/>
          </w:rPr>
          <w:instrText xml:space="preserve"> PAGEREF _Toc239238842 \h </w:instrText>
        </w:r>
        <w:r>
          <w:rPr>
            <w:webHidden/>
          </w:rPr>
        </w:r>
        <w:r>
          <w:rPr>
            <w:webHidden/>
          </w:rPr>
          <w:fldChar w:fldCharType="separate"/>
        </w:r>
        <w:r>
          <w:rPr>
            <w:webHidden/>
          </w:rPr>
          <w:t>5</w:t>
        </w:r>
        <w:r>
          <w:rPr>
            <w:webHidden/>
          </w:rPr>
          <w:fldChar w:fldCharType="end"/>
        </w:r>
      </w:hyperlink>
    </w:p>
    <w:p w14:paraId="3C546598" w14:textId="2A9D1341" w:rsidR="00B27789" w:rsidRDefault="00B27789">
      <w:pPr>
        <w:pStyle w:val="TOC2"/>
        <w:rPr>
          <w:rFonts w:eastAsiaTheme="minorEastAsia" w:cstheme="minorBidi"/>
          <w:color w:val="auto"/>
          <w:kern w:val="2"/>
          <w:sz w:val="24"/>
          <w:szCs w:val="24"/>
          <w14:ligatures w14:val="standardContextual"/>
        </w:rPr>
      </w:pPr>
      <w:hyperlink w:anchor="_Toc239238843" w:history="1">
        <w:r w:rsidRPr="00DF5FF6">
          <w:rPr>
            <w:rStyle w:val="Hyperlink"/>
          </w:rPr>
          <w:t>Recommendation 4.1 — Thematic sandboxes</w:t>
        </w:r>
        <w:r>
          <w:rPr>
            <w:webHidden/>
          </w:rPr>
          <w:tab/>
        </w:r>
        <w:r>
          <w:rPr>
            <w:webHidden/>
          </w:rPr>
          <w:fldChar w:fldCharType="begin"/>
        </w:r>
        <w:r>
          <w:rPr>
            <w:webHidden/>
          </w:rPr>
          <w:instrText xml:space="preserve"> PAGEREF _Toc239238843 \h </w:instrText>
        </w:r>
        <w:r>
          <w:rPr>
            <w:webHidden/>
          </w:rPr>
        </w:r>
        <w:r>
          <w:rPr>
            <w:webHidden/>
          </w:rPr>
          <w:fldChar w:fldCharType="separate"/>
        </w:r>
        <w:r>
          <w:rPr>
            <w:webHidden/>
          </w:rPr>
          <w:t>5</w:t>
        </w:r>
        <w:r>
          <w:rPr>
            <w:webHidden/>
          </w:rPr>
          <w:fldChar w:fldCharType="end"/>
        </w:r>
      </w:hyperlink>
    </w:p>
    <w:p w14:paraId="0CCA5236" w14:textId="665FD694" w:rsidR="00B27789" w:rsidRDefault="00B27789">
      <w:pPr>
        <w:pStyle w:val="TOC2"/>
        <w:rPr>
          <w:rFonts w:eastAsiaTheme="minorEastAsia" w:cstheme="minorBidi"/>
          <w:color w:val="auto"/>
          <w:kern w:val="2"/>
          <w:sz w:val="24"/>
          <w:szCs w:val="24"/>
          <w14:ligatures w14:val="standardContextual"/>
        </w:rPr>
      </w:pPr>
      <w:hyperlink w:anchor="_Toc239238844" w:history="1">
        <w:r w:rsidRPr="00DF5FF6">
          <w:rPr>
            <w:rStyle w:val="Hyperlink"/>
          </w:rPr>
          <w:t>Recommendation 4.2 — Public-private financial innovation committee</w:t>
        </w:r>
        <w:r>
          <w:rPr>
            <w:webHidden/>
          </w:rPr>
          <w:tab/>
        </w:r>
        <w:r>
          <w:rPr>
            <w:webHidden/>
          </w:rPr>
          <w:fldChar w:fldCharType="begin"/>
        </w:r>
        <w:r>
          <w:rPr>
            <w:webHidden/>
          </w:rPr>
          <w:instrText xml:space="preserve"> PAGEREF _Toc239238844 \h </w:instrText>
        </w:r>
        <w:r>
          <w:rPr>
            <w:webHidden/>
          </w:rPr>
        </w:r>
        <w:r>
          <w:rPr>
            <w:webHidden/>
          </w:rPr>
          <w:fldChar w:fldCharType="separate"/>
        </w:r>
        <w:r>
          <w:rPr>
            <w:webHidden/>
          </w:rPr>
          <w:t>5</w:t>
        </w:r>
        <w:r>
          <w:rPr>
            <w:webHidden/>
          </w:rPr>
          <w:fldChar w:fldCharType="end"/>
        </w:r>
      </w:hyperlink>
    </w:p>
    <w:p w14:paraId="477FDD11" w14:textId="78D43B46" w:rsidR="00E8688E" w:rsidRDefault="000E0B74" w:rsidP="0056582C">
      <w:pPr>
        <w:pStyle w:val="SingleParagraph"/>
        <w:ind w:right="-2"/>
      </w:pPr>
      <w:r w:rsidRPr="00141EA0">
        <w:fldChar w:fldCharType="end"/>
      </w:r>
      <w:bookmarkStart w:id="2" w:name="_Toc432067103"/>
      <w:bookmarkStart w:id="3" w:name="_Toc452635030"/>
    </w:p>
    <w:p w14:paraId="569DA51D" w14:textId="6187602D" w:rsidR="00B775EE" w:rsidRPr="00141EA0" w:rsidRDefault="00E8688E" w:rsidP="00E8688E">
      <w:pPr>
        <w:spacing w:before="0" w:after="160" w:line="259" w:lineRule="auto"/>
      </w:pPr>
      <w:r>
        <w:br w:type="page"/>
      </w:r>
    </w:p>
    <w:p w14:paraId="61359A45" w14:textId="0E697219" w:rsidR="002D588D" w:rsidRPr="00141EA0" w:rsidRDefault="002D588D" w:rsidP="002D588D">
      <w:pPr>
        <w:pStyle w:val="Heading1"/>
      </w:pPr>
      <w:bookmarkStart w:id="4" w:name="_Toc239238836"/>
      <w:bookmarkStart w:id="5" w:name="_Toc432067104"/>
      <w:bookmarkStart w:id="6" w:name="_Toc452635031"/>
      <w:bookmarkEnd w:id="2"/>
      <w:bookmarkEnd w:id="3"/>
      <w:r w:rsidRPr="00141EA0">
        <w:lastRenderedPageBreak/>
        <w:t>Background</w:t>
      </w:r>
      <w:bookmarkEnd w:id="4"/>
    </w:p>
    <w:p w14:paraId="68F20E0E" w14:textId="77777777" w:rsidR="00766BF2" w:rsidRPr="00141EA0" w:rsidRDefault="00766BF2" w:rsidP="00766BF2">
      <w:r w:rsidRPr="00141EA0">
        <w:rPr>
          <w:rFonts w:cs="Aptos"/>
          <w:szCs w:val="21"/>
        </w:rPr>
        <w:t xml:space="preserve">In 2020, the Enhanced Regulatory Sandbox (ERS) was introduced, allowing individuals and businesses to test certain innovative financial and credit services without obtaining an Australian Financial Services (AFS) or Australian Credit licence. The ERS is currently administered by ASIC on behalf of the </w:t>
      </w:r>
      <w:r w:rsidRPr="00141EA0">
        <w:t>Government.</w:t>
      </w:r>
      <w:r w:rsidRPr="00141EA0">
        <w:rPr>
          <w:rFonts w:cs="Aptos"/>
          <w:szCs w:val="21"/>
        </w:rPr>
        <w:t xml:space="preserve"> The ERS </w:t>
      </w:r>
      <w:r w:rsidRPr="00141EA0">
        <w:t>replaced</w:t>
      </w:r>
      <w:r w:rsidRPr="00141EA0">
        <w:rPr>
          <w:rFonts w:cs="Aptos"/>
          <w:szCs w:val="21"/>
        </w:rPr>
        <w:t xml:space="preserve"> the previous ASIC regulatory sandbox that was established in December 2016.</w:t>
      </w:r>
    </w:p>
    <w:p w14:paraId="29120F85" w14:textId="77777777" w:rsidR="00766BF2" w:rsidRPr="00141EA0" w:rsidRDefault="00766BF2" w:rsidP="00766BF2">
      <w:pPr>
        <w:rPr>
          <w:rFonts w:cs="Aptos"/>
          <w:szCs w:val="21"/>
        </w:rPr>
      </w:pPr>
      <w:r w:rsidRPr="00141EA0">
        <w:rPr>
          <w:rFonts w:cs="Aptos"/>
          <w:szCs w:val="21"/>
        </w:rPr>
        <w:t xml:space="preserve">The ERS included a legislated requirement for an independent review to assess whether the regime was achieving its objectives and supporting financial innovation as intended. To support this, section 4 of the </w:t>
      </w:r>
      <w:r w:rsidRPr="00141EA0">
        <w:rPr>
          <w:rFonts w:cs="Aptos"/>
          <w:i/>
          <w:szCs w:val="21"/>
        </w:rPr>
        <w:t>Treasury Laws Amendment (2018 Measures No. 2) Act 2020</w:t>
      </w:r>
      <w:r w:rsidRPr="00141EA0">
        <w:rPr>
          <w:rFonts w:cs="Aptos"/>
          <w:szCs w:val="21"/>
        </w:rPr>
        <w:t xml:space="preserve"> (Cth) required an independent review to commence as soon as possible 12 months after the commencement of the regime and to report to Government within six months.</w:t>
      </w:r>
    </w:p>
    <w:p w14:paraId="34EA3264" w14:textId="77777777" w:rsidR="00766BF2" w:rsidRPr="00141EA0" w:rsidRDefault="00766BF2" w:rsidP="00766BF2">
      <w:r w:rsidRPr="00141EA0">
        <w:rPr>
          <w:rFonts w:cs="Aptos"/>
          <w:szCs w:val="21"/>
        </w:rPr>
        <w:t xml:space="preserve">On 2 September 2025, the Government </w:t>
      </w:r>
      <w:r w:rsidRPr="00141EA0">
        <w:t>established an</w:t>
      </w:r>
      <w:r w:rsidRPr="00141EA0">
        <w:rPr>
          <w:rFonts w:cs="Aptos"/>
          <w:szCs w:val="21"/>
        </w:rPr>
        <w:t xml:space="preserve"> independent review to be undertaken by Maha El Dimachki. The review commenced in November 2025, </w:t>
      </w:r>
      <w:r w:rsidRPr="00141EA0">
        <w:t>examining</w:t>
      </w:r>
      <w:r w:rsidRPr="00141EA0">
        <w:rPr>
          <w:rFonts w:cs="Aptos"/>
          <w:szCs w:val="21"/>
        </w:rPr>
        <w:t xml:space="preserve"> </w:t>
      </w:r>
      <w:r w:rsidRPr="00141EA0">
        <w:rPr>
          <w:rFonts w:cs="Aptos"/>
        </w:rPr>
        <w:t>the role of regulatory sandboxes in supporting financial innovation in Australia, including the design, operation and effectiveness of ASIC’s ERS</w:t>
      </w:r>
      <w:r w:rsidRPr="00141EA0">
        <w:rPr>
          <w:rFonts w:cs="Aptos"/>
          <w:szCs w:val="21"/>
        </w:rPr>
        <w:t>. Following consultation with industry, regulators and other stakeholders, the final report was delivered to Government on 22 May 2026 and subsequently tabled in Parliament on 1 July 2026.</w:t>
      </w:r>
    </w:p>
    <w:p w14:paraId="179BEE56" w14:textId="77777777" w:rsidR="00766BF2" w:rsidRPr="00141EA0" w:rsidRDefault="00766BF2" w:rsidP="00766BF2">
      <w:r w:rsidRPr="00141EA0">
        <w:rPr>
          <w:rFonts w:cs="Aptos"/>
        </w:rPr>
        <w:t xml:space="preserve">The Government has considered the review’s six recommendations. </w:t>
      </w:r>
      <w:r w:rsidRPr="00141EA0">
        <w:t>The Government</w:t>
      </w:r>
      <w:r w:rsidRPr="00141EA0">
        <w:rPr>
          <w:rFonts w:cs="Aptos"/>
        </w:rPr>
        <w:t xml:space="preserve"> agrees to </w:t>
      </w:r>
      <w:r w:rsidRPr="00141EA0">
        <w:t>all</w:t>
      </w:r>
      <w:r w:rsidRPr="00141EA0">
        <w:rPr>
          <w:rFonts w:cs="Aptos"/>
        </w:rPr>
        <w:t xml:space="preserve"> recommendations </w:t>
      </w:r>
      <w:r w:rsidRPr="00141EA0">
        <w:t xml:space="preserve">directed to it </w:t>
      </w:r>
      <w:r w:rsidRPr="00141EA0">
        <w:rPr>
          <w:rFonts w:cs="Aptos"/>
        </w:rPr>
        <w:t xml:space="preserve">and </w:t>
      </w:r>
      <w:r w:rsidRPr="00141EA0">
        <w:t>supports the recommendations directed to ASIC or industry</w:t>
      </w:r>
      <w:r w:rsidRPr="00141EA0">
        <w:rPr>
          <w:rFonts w:cs="Aptos"/>
        </w:rPr>
        <w:t xml:space="preserve">, recognising that </w:t>
      </w:r>
      <w:r w:rsidRPr="00141EA0">
        <w:t>those</w:t>
      </w:r>
      <w:r w:rsidRPr="00141EA0">
        <w:rPr>
          <w:rFonts w:cs="Aptos"/>
        </w:rPr>
        <w:t xml:space="preserve"> recommendations </w:t>
      </w:r>
      <w:r w:rsidRPr="00141EA0">
        <w:t>will inform</w:t>
      </w:r>
      <w:r w:rsidRPr="00141EA0">
        <w:rPr>
          <w:rFonts w:cs="Aptos"/>
        </w:rPr>
        <w:t xml:space="preserve"> the Government’s forward work program.</w:t>
      </w:r>
    </w:p>
    <w:p w14:paraId="3DE1F304" w14:textId="33C85719" w:rsidR="00E8688E" w:rsidRDefault="00766BF2" w:rsidP="00766BF2">
      <w:r w:rsidRPr="00141EA0">
        <w:t>The Government is committed to supporting responsible financial innovation, reducing unnecessary regulatory burden and maintaining strong consumer protection, market integrity and financial stability. This response forms part of the Government’s broader productivity and financial innovation agenda, including work on payments modernisation, digital assets, tokenisation, Digital ID, the Consumer Data Right and responsible AI adoption.</w:t>
      </w:r>
    </w:p>
    <w:p w14:paraId="27C22F34" w14:textId="77777777" w:rsidR="00E8688E" w:rsidRDefault="00E8688E">
      <w:pPr>
        <w:spacing w:before="0" w:after="160" w:line="259" w:lineRule="auto"/>
      </w:pPr>
      <w:r>
        <w:br w:type="page"/>
      </w:r>
    </w:p>
    <w:p w14:paraId="551C251B" w14:textId="77777777" w:rsidR="00E8688E" w:rsidRPr="00141EA0" w:rsidRDefault="00E8688E" w:rsidP="00766BF2"/>
    <w:p w14:paraId="34D4EC21" w14:textId="61DB03F4" w:rsidR="00E07921" w:rsidRPr="00141EA0" w:rsidRDefault="00E07921" w:rsidP="00E07921">
      <w:pPr>
        <w:pStyle w:val="Heading1"/>
      </w:pPr>
      <w:bookmarkStart w:id="7" w:name="_Toc239238837"/>
      <w:r w:rsidRPr="00141EA0">
        <w:t>Summary of the Government response</w:t>
      </w:r>
      <w:bookmarkEnd w:id="7"/>
      <w:r>
        <w:br/>
      </w:r>
    </w:p>
    <w:tbl>
      <w:tblPr>
        <w:tblStyle w:val="TableGrid"/>
        <w:tblW w:w="0" w:type="auto"/>
        <w:jc w:val="center"/>
        <w:tblLook w:val="04A0" w:firstRow="1" w:lastRow="0" w:firstColumn="1" w:lastColumn="0" w:noHBand="0" w:noVBand="1"/>
      </w:tblPr>
      <w:tblGrid>
        <w:gridCol w:w="808"/>
        <w:gridCol w:w="2379"/>
        <w:gridCol w:w="1193"/>
        <w:gridCol w:w="4680"/>
      </w:tblGrid>
      <w:tr w:rsidR="00E07921" w:rsidRPr="00141EA0" w14:paraId="2264FC6A" w14:textId="77777777" w:rsidTr="001C4D92">
        <w:trPr>
          <w:cnfStyle w:val="100000000000" w:firstRow="1" w:lastRow="0" w:firstColumn="0" w:lastColumn="0" w:oddVBand="0" w:evenVBand="0" w:oddHBand="0" w:evenHBand="0" w:firstRowFirstColumn="0" w:firstRowLastColumn="0" w:lastRowFirstColumn="0" w:lastRowLastColumn="0"/>
          <w:jc w:val="center"/>
        </w:trPr>
        <w:tc>
          <w:tcPr>
            <w:tcW w:w="900" w:type="dxa"/>
            <w:tcBorders>
              <w:top w:val="single" w:sz="4" w:space="0" w:color="D9E2F3"/>
              <w:left w:val="single" w:sz="4" w:space="0" w:color="D9E2F3"/>
              <w:bottom w:val="single" w:sz="4" w:space="0" w:color="D9E2F3"/>
              <w:right w:val="single" w:sz="4" w:space="0" w:color="D9E2F3"/>
            </w:tcBorders>
            <w:shd w:val="clear" w:color="auto" w:fill="004A7F"/>
            <w:tcMar>
              <w:top w:w="100" w:type="dxa"/>
              <w:left w:w="100" w:type="dxa"/>
              <w:bottom w:w="100" w:type="dxa"/>
              <w:right w:w="100" w:type="dxa"/>
            </w:tcMar>
          </w:tcPr>
          <w:p w14:paraId="67738175" w14:textId="77777777" w:rsidR="00E07921" w:rsidRPr="00141EA0" w:rsidRDefault="00E07921" w:rsidP="001C4D92">
            <w:r w:rsidRPr="00141EA0">
              <w:rPr>
                <w:color w:val="FFFFFF"/>
                <w:sz w:val="19"/>
              </w:rPr>
              <w:t>No.</w:t>
            </w:r>
          </w:p>
        </w:tc>
        <w:tc>
          <w:tcPr>
            <w:tcW w:w="2600" w:type="dxa"/>
            <w:tcBorders>
              <w:top w:val="single" w:sz="4" w:space="0" w:color="D9E2F3"/>
              <w:left w:val="single" w:sz="4" w:space="0" w:color="D9E2F3"/>
              <w:bottom w:val="single" w:sz="4" w:space="0" w:color="D9E2F3"/>
              <w:right w:val="single" w:sz="4" w:space="0" w:color="D9E2F3"/>
            </w:tcBorders>
            <w:shd w:val="clear" w:color="auto" w:fill="004A7F"/>
            <w:tcMar>
              <w:top w:w="100" w:type="dxa"/>
              <w:left w:w="100" w:type="dxa"/>
              <w:bottom w:w="100" w:type="dxa"/>
              <w:right w:w="100" w:type="dxa"/>
            </w:tcMar>
          </w:tcPr>
          <w:p w14:paraId="553A4CAE" w14:textId="77777777" w:rsidR="00E07921" w:rsidRPr="00141EA0" w:rsidRDefault="00E07921" w:rsidP="001C4D92">
            <w:r w:rsidRPr="00141EA0">
              <w:rPr>
                <w:color w:val="FFFFFF"/>
                <w:sz w:val="19"/>
              </w:rPr>
              <w:t>Recommendation theme</w:t>
            </w:r>
          </w:p>
        </w:tc>
        <w:tc>
          <w:tcPr>
            <w:tcW w:w="1200" w:type="dxa"/>
            <w:tcBorders>
              <w:top w:val="single" w:sz="4" w:space="0" w:color="D9E2F3"/>
              <w:left w:val="single" w:sz="4" w:space="0" w:color="D9E2F3"/>
              <w:bottom w:val="single" w:sz="4" w:space="0" w:color="D9E2F3"/>
              <w:right w:val="single" w:sz="4" w:space="0" w:color="D9E2F3"/>
            </w:tcBorders>
            <w:shd w:val="clear" w:color="auto" w:fill="004A7F"/>
            <w:tcMar>
              <w:top w:w="100" w:type="dxa"/>
              <w:left w:w="100" w:type="dxa"/>
              <w:bottom w:w="100" w:type="dxa"/>
              <w:right w:w="100" w:type="dxa"/>
            </w:tcMar>
          </w:tcPr>
          <w:p w14:paraId="389C8D9F" w14:textId="77777777" w:rsidR="00E07921" w:rsidRPr="00141EA0" w:rsidRDefault="00E07921" w:rsidP="001C4D92">
            <w:r w:rsidRPr="00141EA0">
              <w:rPr>
                <w:color w:val="FFFFFF"/>
                <w:sz w:val="19"/>
              </w:rPr>
              <w:t>Government response</w:t>
            </w:r>
          </w:p>
        </w:tc>
        <w:tc>
          <w:tcPr>
            <w:tcW w:w="5600" w:type="dxa"/>
            <w:tcBorders>
              <w:top w:val="single" w:sz="4" w:space="0" w:color="D9E2F3"/>
              <w:left w:val="single" w:sz="4" w:space="0" w:color="D9E2F3"/>
              <w:bottom w:val="single" w:sz="4" w:space="0" w:color="D9E2F3"/>
              <w:right w:val="single" w:sz="4" w:space="0" w:color="D9E2F3"/>
            </w:tcBorders>
            <w:shd w:val="clear" w:color="auto" w:fill="004A7F"/>
            <w:tcMar>
              <w:top w:w="100" w:type="dxa"/>
              <w:left w:w="100" w:type="dxa"/>
              <w:bottom w:w="100" w:type="dxa"/>
              <w:right w:w="100" w:type="dxa"/>
            </w:tcMar>
          </w:tcPr>
          <w:p w14:paraId="68F1E181" w14:textId="77777777" w:rsidR="00E07921" w:rsidRPr="00141EA0" w:rsidRDefault="00E07921" w:rsidP="001C4D92">
            <w:r w:rsidRPr="00141EA0">
              <w:rPr>
                <w:color w:val="FFFFFF"/>
                <w:sz w:val="19"/>
              </w:rPr>
              <w:t>Key action</w:t>
            </w:r>
          </w:p>
        </w:tc>
      </w:tr>
      <w:tr w:rsidR="00E07921" w:rsidRPr="00141EA0" w14:paraId="4B4EA2EE" w14:textId="77777777" w:rsidTr="001C4D92">
        <w:trPr>
          <w:jc w:val="center"/>
        </w:trPr>
        <w:tc>
          <w:tcPr>
            <w:tcW w:w="9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17342D3A" w14:textId="77777777" w:rsidR="00E07921" w:rsidRPr="00141EA0" w:rsidRDefault="00E07921" w:rsidP="001C4D92">
            <w:pPr>
              <w:jc w:val="center"/>
            </w:pPr>
            <w:r w:rsidRPr="00141EA0">
              <w:t>1.1</w:t>
            </w:r>
          </w:p>
        </w:tc>
        <w:tc>
          <w:tcPr>
            <w:tcW w:w="2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47B7BED2" w14:textId="77777777" w:rsidR="00E07921" w:rsidRPr="00141EA0" w:rsidRDefault="00E07921" w:rsidP="001C4D92">
            <w:r w:rsidRPr="00141EA0">
              <w:t>Financial innovation strategy</w:t>
            </w:r>
          </w:p>
        </w:tc>
        <w:tc>
          <w:tcPr>
            <w:tcW w:w="1200" w:type="dxa"/>
            <w:tcBorders>
              <w:top w:val="single" w:sz="4" w:space="0" w:color="D9E2F3"/>
              <w:left w:val="single" w:sz="4" w:space="0" w:color="D9E2F3"/>
              <w:bottom w:val="single" w:sz="4" w:space="0" w:color="D9E2F3"/>
              <w:right w:val="single" w:sz="4" w:space="0" w:color="D9E2F3"/>
            </w:tcBorders>
            <w:shd w:val="clear" w:color="auto" w:fill="D9EAD3"/>
            <w:tcMar>
              <w:top w:w="100" w:type="dxa"/>
              <w:left w:w="100" w:type="dxa"/>
              <w:bottom w:w="100" w:type="dxa"/>
              <w:right w:w="100" w:type="dxa"/>
            </w:tcMar>
            <w:vAlign w:val="center"/>
          </w:tcPr>
          <w:p w14:paraId="6F205355" w14:textId="77777777" w:rsidR="00E07921" w:rsidRPr="00141EA0" w:rsidRDefault="00E07921" w:rsidP="001C4D92">
            <w:pPr>
              <w:jc w:val="center"/>
            </w:pPr>
            <w:r w:rsidRPr="00141EA0">
              <w:t>Agree</w:t>
            </w:r>
          </w:p>
        </w:tc>
        <w:tc>
          <w:tcPr>
            <w:tcW w:w="5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4629C3F0" w14:textId="77777777" w:rsidR="00E07921" w:rsidRPr="00141EA0" w:rsidRDefault="00E07921" w:rsidP="001C4D92">
            <w:r w:rsidRPr="00141EA0">
              <w:t>Release a financial innovation strategy to articulate ambition, coordinate effort and support a common understanding across industry, regulators and government.</w:t>
            </w:r>
          </w:p>
        </w:tc>
      </w:tr>
      <w:tr w:rsidR="00E07921" w:rsidRPr="00141EA0" w14:paraId="192AE1DA" w14:textId="77777777" w:rsidTr="001C4D92">
        <w:trPr>
          <w:jc w:val="center"/>
        </w:trPr>
        <w:tc>
          <w:tcPr>
            <w:tcW w:w="9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22CD6F03" w14:textId="77777777" w:rsidR="00E07921" w:rsidRPr="00141EA0" w:rsidRDefault="00E07921" w:rsidP="001C4D92">
            <w:pPr>
              <w:jc w:val="center"/>
            </w:pPr>
            <w:r w:rsidRPr="00141EA0">
              <w:t>1.2</w:t>
            </w:r>
          </w:p>
        </w:tc>
        <w:tc>
          <w:tcPr>
            <w:tcW w:w="2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3E2884CE" w14:textId="77777777" w:rsidR="00E07921" w:rsidRPr="00141EA0" w:rsidRDefault="00E07921" w:rsidP="001C4D92">
            <w:r w:rsidRPr="00141EA0">
              <w:t>Industry-led regulatory understanding</w:t>
            </w:r>
          </w:p>
        </w:tc>
        <w:tc>
          <w:tcPr>
            <w:tcW w:w="1200" w:type="dxa"/>
            <w:tcBorders>
              <w:top w:val="nil"/>
              <w:left w:val="nil"/>
              <w:bottom w:val="single" w:sz="8" w:space="0" w:color="D9E2F3"/>
              <w:right w:val="single" w:sz="8" w:space="0" w:color="D9E2F3"/>
            </w:tcBorders>
            <w:shd w:val="clear" w:color="auto" w:fill="D9EAD3"/>
            <w:tcMar>
              <w:top w:w="100" w:type="dxa"/>
              <w:left w:w="100" w:type="dxa"/>
              <w:bottom w:w="100" w:type="dxa"/>
              <w:right w:w="100" w:type="dxa"/>
            </w:tcMar>
            <w:vAlign w:val="center"/>
            <w:hideMark/>
          </w:tcPr>
          <w:p w14:paraId="337BADF3" w14:textId="77777777" w:rsidR="00E07921" w:rsidRPr="00141EA0" w:rsidRDefault="00E07921" w:rsidP="001C4D92">
            <w:pPr>
              <w:jc w:val="center"/>
            </w:pPr>
            <w:r w:rsidRPr="00141EA0">
              <w:rPr>
                <w:color w:val="000000"/>
              </w:rPr>
              <w:t>Support</w:t>
            </w:r>
          </w:p>
        </w:tc>
        <w:tc>
          <w:tcPr>
            <w:tcW w:w="5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2ACD1853" w14:textId="77777777" w:rsidR="00E07921" w:rsidRPr="00141EA0" w:rsidRDefault="00E07921" w:rsidP="001C4D92">
            <w:r w:rsidRPr="00141EA0">
              <w:t>The Government is engaging with industry on how best to achieve this, including through the public-private financial innovation committee and other industry working groups.</w:t>
            </w:r>
          </w:p>
        </w:tc>
      </w:tr>
      <w:tr w:rsidR="00E07921" w:rsidRPr="00141EA0" w14:paraId="44EC163C" w14:textId="77777777" w:rsidTr="001C4D92">
        <w:trPr>
          <w:jc w:val="center"/>
        </w:trPr>
        <w:tc>
          <w:tcPr>
            <w:tcW w:w="9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1D27166E" w14:textId="77777777" w:rsidR="00E07921" w:rsidRPr="00141EA0" w:rsidRDefault="00E07921" w:rsidP="001C4D92">
            <w:pPr>
              <w:jc w:val="center"/>
            </w:pPr>
            <w:r w:rsidRPr="00141EA0">
              <w:t>3.1</w:t>
            </w:r>
          </w:p>
        </w:tc>
        <w:tc>
          <w:tcPr>
            <w:tcW w:w="2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7F943035" w14:textId="77777777" w:rsidR="00E07921" w:rsidRPr="00141EA0" w:rsidRDefault="00E07921" w:rsidP="001C4D92">
            <w:r w:rsidRPr="00141EA0">
              <w:t>Reform the general regulatory sandbox</w:t>
            </w:r>
          </w:p>
        </w:tc>
        <w:tc>
          <w:tcPr>
            <w:tcW w:w="1200" w:type="dxa"/>
            <w:tcBorders>
              <w:top w:val="single" w:sz="4" w:space="0" w:color="D9E2F3"/>
              <w:left w:val="single" w:sz="4" w:space="0" w:color="D9E2F3"/>
              <w:bottom w:val="single" w:sz="4" w:space="0" w:color="D9E2F3"/>
              <w:right w:val="single" w:sz="4" w:space="0" w:color="D9E2F3"/>
            </w:tcBorders>
            <w:shd w:val="clear" w:color="auto" w:fill="D9EAD3"/>
            <w:tcMar>
              <w:top w:w="100" w:type="dxa"/>
              <w:left w:w="100" w:type="dxa"/>
              <w:bottom w:w="100" w:type="dxa"/>
              <w:right w:w="100" w:type="dxa"/>
            </w:tcMar>
            <w:vAlign w:val="center"/>
          </w:tcPr>
          <w:p w14:paraId="730A4E92" w14:textId="77777777" w:rsidR="00E07921" w:rsidRPr="00141EA0" w:rsidRDefault="00E07921" w:rsidP="001C4D92">
            <w:pPr>
              <w:jc w:val="center"/>
            </w:pPr>
            <w:r w:rsidRPr="00141EA0">
              <w:t>Agree</w:t>
            </w:r>
          </w:p>
        </w:tc>
        <w:tc>
          <w:tcPr>
            <w:tcW w:w="5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6D7537D7" w14:textId="77777777" w:rsidR="00E07921" w:rsidRPr="00141EA0" w:rsidRDefault="00E07921" w:rsidP="001C4D92">
            <w:r w:rsidRPr="00141EA0">
              <w:t>Progress repeal of the current ERS legislation and regulations through a future legislation prioritisation process, enabling ASIC to design a more flexible replacement model using existing relief powers.</w:t>
            </w:r>
          </w:p>
        </w:tc>
      </w:tr>
      <w:tr w:rsidR="00E07921" w:rsidRPr="00141EA0" w14:paraId="5C0AE8CF" w14:textId="77777777" w:rsidTr="001C4D92">
        <w:trPr>
          <w:jc w:val="center"/>
        </w:trPr>
        <w:tc>
          <w:tcPr>
            <w:tcW w:w="9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301DE1A0" w14:textId="77777777" w:rsidR="00E07921" w:rsidRPr="00141EA0" w:rsidRDefault="00E07921" w:rsidP="001C4D92">
            <w:pPr>
              <w:jc w:val="center"/>
            </w:pPr>
            <w:r w:rsidRPr="00141EA0">
              <w:t>3.2</w:t>
            </w:r>
          </w:p>
        </w:tc>
        <w:tc>
          <w:tcPr>
            <w:tcW w:w="2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05658B33" w14:textId="77777777" w:rsidR="00E07921" w:rsidRPr="00141EA0" w:rsidRDefault="00E07921" w:rsidP="001C4D92">
            <w:r w:rsidRPr="00141EA0">
              <w:t>Integration with ASIC functions</w:t>
            </w:r>
          </w:p>
        </w:tc>
        <w:tc>
          <w:tcPr>
            <w:tcW w:w="1200" w:type="dxa"/>
            <w:tcBorders>
              <w:top w:val="nil"/>
              <w:left w:val="nil"/>
              <w:bottom w:val="single" w:sz="8" w:space="0" w:color="D9E2F3"/>
              <w:right w:val="single" w:sz="8" w:space="0" w:color="D9E2F3"/>
            </w:tcBorders>
            <w:shd w:val="clear" w:color="auto" w:fill="D9EAD3"/>
            <w:tcMar>
              <w:top w:w="100" w:type="dxa"/>
              <w:left w:w="100" w:type="dxa"/>
              <w:bottom w:w="100" w:type="dxa"/>
              <w:right w:w="100" w:type="dxa"/>
            </w:tcMar>
            <w:vAlign w:val="center"/>
            <w:hideMark/>
          </w:tcPr>
          <w:p w14:paraId="2399CF5D" w14:textId="77777777" w:rsidR="00E07921" w:rsidRPr="00141EA0" w:rsidRDefault="00E07921" w:rsidP="001C4D92">
            <w:pPr>
              <w:jc w:val="center"/>
            </w:pPr>
            <w:r w:rsidRPr="00141EA0">
              <w:rPr>
                <w:color w:val="000000"/>
              </w:rPr>
              <w:t>Support</w:t>
            </w:r>
          </w:p>
        </w:tc>
        <w:tc>
          <w:tcPr>
            <w:tcW w:w="5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5EB4E03A" w14:textId="77777777" w:rsidR="00E07921" w:rsidRPr="00141EA0" w:rsidRDefault="00E07921" w:rsidP="001C4D92">
            <w:pPr>
              <w:spacing w:line="276" w:lineRule="auto"/>
            </w:pPr>
            <w:r w:rsidRPr="00141EA0">
              <w:t xml:space="preserve">The Government is working with ASIC to ensure any renewed sandbox framework is well integrated with ASIC’s broader functions. </w:t>
            </w:r>
          </w:p>
        </w:tc>
      </w:tr>
      <w:tr w:rsidR="00E07921" w:rsidRPr="00141EA0" w14:paraId="00293956" w14:textId="77777777" w:rsidTr="001C4D92">
        <w:trPr>
          <w:jc w:val="center"/>
        </w:trPr>
        <w:tc>
          <w:tcPr>
            <w:tcW w:w="9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299241F0" w14:textId="77777777" w:rsidR="00E07921" w:rsidRPr="00141EA0" w:rsidRDefault="00E07921" w:rsidP="001C4D92">
            <w:pPr>
              <w:jc w:val="center"/>
            </w:pPr>
            <w:r w:rsidRPr="00141EA0">
              <w:t>4.1</w:t>
            </w:r>
          </w:p>
        </w:tc>
        <w:tc>
          <w:tcPr>
            <w:tcW w:w="2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6AF86DE0" w14:textId="77777777" w:rsidR="00E07921" w:rsidRPr="00141EA0" w:rsidRDefault="00E07921" w:rsidP="001C4D92">
            <w:r w:rsidRPr="00141EA0">
              <w:t>Thematic sandboxes</w:t>
            </w:r>
          </w:p>
        </w:tc>
        <w:tc>
          <w:tcPr>
            <w:tcW w:w="1200" w:type="dxa"/>
            <w:tcBorders>
              <w:top w:val="nil"/>
              <w:left w:val="nil"/>
              <w:bottom w:val="single" w:sz="8" w:space="0" w:color="D9E2F3"/>
              <w:right w:val="single" w:sz="8" w:space="0" w:color="D9E2F3"/>
            </w:tcBorders>
            <w:shd w:val="clear" w:color="auto" w:fill="D9EAD3"/>
            <w:tcMar>
              <w:top w:w="100" w:type="dxa"/>
              <w:left w:w="100" w:type="dxa"/>
              <w:bottom w:w="100" w:type="dxa"/>
              <w:right w:w="100" w:type="dxa"/>
            </w:tcMar>
            <w:vAlign w:val="center"/>
            <w:hideMark/>
          </w:tcPr>
          <w:p w14:paraId="579C1479" w14:textId="77777777" w:rsidR="00E07921" w:rsidRPr="00141EA0" w:rsidRDefault="00E07921" w:rsidP="001C4D92">
            <w:pPr>
              <w:jc w:val="center"/>
            </w:pPr>
            <w:r w:rsidRPr="00141EA0">
              <w:rPr>
                <w:color w:val="000000"/>
              </w:rPr>
              <w:t>Support</w:t>
            </w:r>
          </w:p>
        </w:tc>
        <w:tc>
          <w:tcPr>
            <w:tcW w:w="5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19CA4797" w14:textId="77777777" w:rsidR="00E07921" w:rsidRPr="00141EA0" w:rsidRDefault="00E07921" w:rsidP="001C4D92">
            <w:r w:rsidRPr="00141EA0">
              <w:t>Support ASIC consideration of thematic sandboxes, including digital financial market infrastructure sandbox arrangements, subject to resourcing and detailed design.</w:t>
            </w:r>
          </w:p>
        </w:tc>
      </w:tr>
      <w:tr w:rsidR="00E07921" w:rsidRPr="00141EA0" w14:paraId="6EA27E3C" w14:textId="77777777" w:rsidTr="001C4D92">
        <w:trPr>
          <w:jc w:val="center"/>
        </w:trPr>
        <w:tc>
          <w:tcPr>
            <w:tcW w:w="9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488944AD" w14:textId="77777777" w:rsidR="00E07921" w:rsidRPr="00141EA0" w:rsidRDefault="00E07921" w:rsidP="001C4D92">
            <w:pPr>
              <w:jc w:val="center"/>
            </w:pPr>
            <w:r w:rsidRPr="00141EA0">
              <w:t>4.2</w:t>
            </w:r>
          </w:p>
        </w:tc>
        <w:tc>
          <w:tcPr>
            <w:tcW w:w="2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551C6FAC" w14:textId="77777777" w:rsidR="00E07921" w:rsidRPr="00141EA0" w:rsidRDefault="00E07921" w:rsidP="001C4D92">
            <w:r w:rsidRPr="00141EA0">
              <w:t>Public-private financial innovation committee</w:t>
            </w:r>
          </w:p>
        </w:tc>
        <w:tc>
          <w:tcPr>
            <w:tcW w:w="1200" w:type="dxa"/>
            <w:tcBorders>
              <w:top w:val="single" w:sz="4" w:space="0" w:color="D9E2F3"/>
              <w:left w:val="single" w:sz="4" w:space="0" w:color="D9E2F3"/>
              <w:bottom w:val="single" w:sz="4" w:space="0" w:color="D9E2F3"/>
              <w:right w:val="single" w:sz="4" w:space="0" w:color="D9E2F3"/>
            </w:tcBorders>
            <w:shd w:val="clear" w:color="auto" w:fill="D9EAD3"/>
            <w:tcMar>
              <w:top w:w="100" w:type="dxa"/>
              <w:left w:w="100" w:type="dxa"/>
              <w:bottom w:w="100" w:type="dxa"/>
              <w:right w:w="100" w:type="dxa"/>
            </w:tcMar>
            <w:vAlign w:val="center"/>
          </w:tcPr>
          <w:p w14:paraId="3EF50502" w14:textId="77777777" w:rsidR="00E07921" w:rsidRPr="00141EA0" w:rsidRDefault="00E07921" w:rsidP="001C4D92">
            <w:pPr>
              <w:jc w:val="center"/>
            </w:pPr>
            <w:r w:rsidRPr="00141EA0">
              <w:t>Agree</w:t>
            </w:r>
          </w:p>
        </w:tc>
        <w:tc>
          <w:tcPr>
            <w:tcW w:w="5600" w:type="dxa"/>
            <w:tcBorders>
              <w:top w:val="single" w:sz="4" w:space="0" w:color="D9E2F3"/>
              <w:left w:val="single" w:sz="4" w:space="0" w:color="D9E2F3"/>
              <w:bottom w:val="single" w:sz="4" w:space="0" w:color="D9E2F3"/>
              <w:right w:val="single" w:sz="4" w:space="0" w:color="D9E2F3"/>
            </w:tcBorders>
            <w:tcMar>
              <w:top w:w="100" w:type="dxa"/>
              <w:left w:w="100" w:type="dxa"/>
              <w:bottom w:w="100" w:type="dxa"/>
              <w:right w:w="100" w:type="dxa"/>
            </w:tcMar>
            <w:vAlign w:val="center"/>
          </w:tcPr>
          <w:p w14:paraId="58CDEA4D" w14:textId="77777777" w:rsidR="00E07921" w:rsidRPr="00141EA0" w:rsidRDefault="00E07921" w:rsidP="001C4D92">
            <w:r w:rsidRPr="00141EA0">
              <w:t>Establish a Treasury-convened committee to support coordination, prioritisation and monitoring of thematic sandboxes and financial innovation developments.</w:t>
            </w:r>
          </w:p>
        </w:tc>
      </w:tr>
    </w:tbl>
    <w:p w14:paraId="356C9589" w14:textId="77777777" w:rsidR="00E07921" w:rsidRDefault="00E07921" w:rsidP="00E07921"/>
    <w:p w14:paraId="5985EA2C" w14:textId="60795199" w:rsidR="002D588D" w:rsidRPr="00141EA0" w:rsidRDefault="00766BF2" w:rsidP="009E04E4">
      <w:pPr>
        <w:pStyle w:val="Heading1"/>
      </w:pPr>
      <w:bookmarkStart w:id="8" w:name="_Toc239238838"/>
      <w:r w:rsidRPr="00141EA0">
        <w:lastRenderedPageBreak/>
        <w:t>Response to the recommendations</w:t>
      </w:r>
      <w:bookmarkEnd w:id="8"/>
    </w:p>
    <w:p w14:paraId="029E1BAB" w14:textId="77777777" w:rsidR="00766BF2" w:rsidRPr="00141EA0" w:rsidRDefault="00766BF2" w:rsidP="00766BF2">
      <w:pPr>
        <w:pStyle w:val="Heading2"/>
      </w:pPr>
      <w:bookmarkStart w:id="9" w:name="_Toc239238839"/>
      <w:r w:rsidRPr="00141EA0">
        <w:t>Recommendation 1.1 — Financial innovation strategy</w:t>
      </w:r>
      <w:bookmarkEnd w:id="9"/>
    </w:p>
    <w:p w14:paraId="06982E97" w14:textId="77777777" w:rsidR="00766BF2" w:rsidRPr="00E37CD2" w:rsidRDefault="00766BF2" w:rsidP="00766BF2">
      <w:pPr>
        <w:pStyle w:val="BodyText"/>
        <w:rPr>
          <w:rFonts w:asciiTheme="minorHAnsi" w:hAnsiTheme="minorHAnsi" w:cstheme="minorHAnsi"/>
          <w:sz w:val="22"/>
          <w:lang w:val="en-AU"/>
        </w:rPr>
      </w:pPr>
      <w:r w:rsidRPr="002F13A8">
        <w:rPr>
          <w:rFonts w:asciiTheme="minorHAnsi" w:hAnsiTheme="minorHAnsi" w:cstheme="minorHAnsi"/>
          <w:b/>
          <w:sz w:val="22"/>
          <w:lang w:val="en-AU"/>
        </w:rPr>
        <w:t xml:space="preserve">The Government agrees: </w:t>
      </w:r>
      <w:r w:rsidRPr="002F13A8">
        <w:rPr>
          <w:rFonts w:asciiTheme="minorHAnsi" w:hAnsiTheme="minorHAnsi" w:cstheme="minorHAnsi"/>
          <w:sz w:val="22"/>
          <w:lang w:val="en-AU"/>
        </w:rPr>
        <w:t xml:space="preserve">The </w:t>
      </w:r>
      <w:r w:rsidRPr="00E37CD2">
        <w:rPr>
          <w:rFonts w:asciiTheme="minorHAnsi" w:hAnsiTheme="minorHAnsi" w:cstheme="minorHAnsi"/>
          <w:sz w:val="22"/>
          <w:lang w:val="en-AU"/>
        </w:rPr>
        <w:t xml:space="preserve">Government </w:t>
      </w:r>
      <w:r w:rsidRPr="00E37CD2">
        <w:rPr>
          <w:rFonts w:asciiTheme="minorHAnsi" w:hAnsiTheme="minorHAnsi" w:cstheme="minorHAnsi"/>
          <w:b/>
          <w:bCs/>
          <w:sz w:val="22"/>
          <w:lang w:val="en-AU"/>
        </w:rPr>
        <w:t>agrees</w:t>
      </w:r>
      <w:r w:rsidRPr="00E37CD2">
        <w:rPr>
          <w:rFonts w:asciiTheme="minorHAnsi" w:hAnsiTheme="minorHAnsi" w:cstheme="minorHAnsi"/>
          <w:sz w:val="22"/>
          <w:lang w:val="en-AU"/>
        </w:rPr>
        <w:t xml:space="preserve"> to this recommendation.</w:t>
      </w:r>
    </w:p>
    <w:p w14:paraId="17400491" w14:textId="77777777" w:rsidR="00766BF2" w:rsidRPr="00E37CD2" w:rsidRDefault="00766BF2" w:rsidP="00766BF2">
      <w:pPr>
        <w:pStyle w:val="BodyText"/>
        <w:rPr>
          <w:rFonts w:asciiTheme="minorHAnsi" w:hAnsiTheme="minorHAnsi" w:cstheme="minorHAnsi"/>
          <w:sz w:val="22"/>
          <w:lang w:val="en-AU"/>
        </w:rPr>
      </w:pPr>
      <w:r w:rsidRPr="00E37CD2">
        <w:rPr>
          <w:rFonts w:asciiTheme="minorHAnsi" w:hAnsiTheme="minorHAnsi" w:cstheme="minorHAnsi"/>
          <w:sz w:val="22"/>
          <w:lang w:val="en-AU"/>
        </w:rPr>
        <w:t>The Government has developed a financial innovation strategy to articulate Australia’s ambition for financial innovation, coordinate efforts across industry, regulators and government, and provide a common understanding of objectives. The strategy is forward looking and informed by the fintech landscape in Australia, relevant policy developments and global developments.</w:t>
      </w:r>
    </w:p>
    <w:p w14:paraId="0DFBF181" w14:textId="4E526020" w:rsidR="00766BF2" w:rsidRPr="00E37CD2" w:rsidRDefault="00766BF2" w:rsidP="00766BF2">
      <w:pPr>
        <w:pStyle w:val="BodyText"/>
        <w:rPr>
          <w:rFonts w:asciiTheme="minorHAnsi" w:hAnsiTheme="minorHAnsi" w:cstheme="minorHAnsi"/>
          <w:sz w:val="22"/>
          <w:lang w:val="en-AU"/>
        </w:rPr>
      </w:pPr>
      <w:r w:rsidRPr="00E37CD2">
        <w:rPr>
          <w:rFonts w:asciiTheme="minorHAnsi" w:hAnsiTheme="minorHAnsi" w:cstheme="minorHAnsi"/>
          <w:sz w:val="22"/>
          <w:lang w:val="en-AU"/>
        </w:rPr>
        <w:t>Following a period of targeted consultation, the Government has now published a financial innovation strategy. The strategy builds on existing and announced initiatives, including payments modernisation, Digital ID, the Consumer Data Right, Project Acacia, work to support responsible AI adoption and Budget initiatives relating to tokenisation and strengthened regulator–industry coordination.</w:t>
      </w:r>
      <w:r w:rsidR="00B1654F">
        <w:rPr>
          <w:rFonts w:asciiTheme="minorHAnsi" w:hAnsiTheme="minorHAnsi" w:cstheme="minorHAnsi"/>
          <w:sz w:val="22"/>
          <w:lang w:val="en-AU"/>
        </w:rPr>
        <w:br/>
      </w:r>
    </w:p>
    <w:p w14:paraId="156CAD5B" w14:textId="671AF99A" w:rsidR="00766BF2" w:rsidRPr="00141EA0" w:rsidRDefault="00766BF2" w:rsidP="00766BF2">
      <w:pPr>
        <w:pStyle w:val="Heading2"/>
      </w:pPr>
      <w:bookmarkStart w:id="10" w:name="_Toc239238840"/>
      <w:r w:rsidRPr="00141EA0">
        <w:t>Recommendation 1.2 — Industry-led regulatory understanding</w:t>
      </w:r>
      <w:bookmarkEnd w:id="10"/>
    </w:p>
    <w:p w14:paraId="054342D5" w14:textId="77777777" w:rsidR="00766BF2" w:rsidRPr="00E37CD2" w:rsidRDefault="00766BF2" w:rsidP="00766BF2">
      <w:pPr>
        <w:pStyle w:val="BodyText"/>
        <w:rPr>
          <w:rFonts w:asciiTheme="minorHAnsi" w:hAnsiTheme="minorHAnsi" w:cstheme="minorHAnsi"/>
          <w:sz w:val="22"/>
          <w:lang w:val="en-AU"/>
        </w:rPr>
      </w:pPr>
      <w:r w:rsidRPr="002F13A8">
        <w:rPr>
          <w:rFonts w:asciiTheme="minorHAnsi" w:hAnsiTheme="minorHAnsi" w:cstheme="minorHAnsi"/>
          <w:b/>
          <w:bCs/>
          <w:sz w:val="22"/>
          <w:lang w:val="en-AU"/>
        </w:rPr>
        <w:t>The Government supports</w:t>
      </w:r>
      <w:r w:rsidRPr="002F13A8">
        <w:rPr>
          <w:rFonts w:asciiTheme="minorHAnsi" w:hAnsiTheme="minorHAnsi" w:cstheme="minorHAnsi"/>
          <w:b/>
          <w:sz w:val="22"/>
          <w:lang w:val="en-AU"/>
        </w:rPr>
        <w:t xml:space="preserve">: </w:t>
      </w:r>
      <w:r w:rsidRPr="002F13A8">
        <w:rPr>
          <w:rFonts w:asciiTheme="minorHAnsi" w:hAnsiTheme="minorHAnsi" w:cstheme="minorHAnsi"/>
          <w:sz w:val="22"/>
          <w:lang w:val="en-AU"/>
        </w:rPr>
        <w:t xml:space="preserve">The Government </w:t>
      </w:r>
      <w:r w:rsidRPr="00E37CD2">
        <w:rPr>
          <w:rFonts w:asciiTheme="minorHAnsi" w:hAnsiTheme="minorHAnsi" w:cstheme="minorHAnsi"/>
          <w:b/>
          <w:bCs/>
          <w:sz w:val="22"/>
          <w:lang w:val="en-AU"/>
        </w:rPr>
        <w:t>supports</w:t>
      </w:r>
      <w:r w:rsidRPr="00E37CD2">
        <w:rPr>
          <w:rFonts w:asciiTheme="minorHAnsi" w:hAnsiTheme="minorHAnsi" w:cstheme="minorHAnsi"/>
          <w:sz w:val="22"/>
          <w:lang w:val="en-AU"/>
        </w:rPr>
        <w:t xml:space="preserve"> the intent of this recommendation, noting it is directed to industry.</w:t>
      </w:r>
    </w:p>
    <w:p w14:paraId="00679B25" w14:textId="6031655E" w:rsidR="00766BF2" w:rsidRPr="00E37CD2" w:rsidRDefault="00766BF2" w:rsidP="00766BF2">
      <w:pPr>
        <w:pStyle w:val="BodyText"/>
        <w:rPr>
          <w:rFonts w:asciiTheme="minorHAnsi" w:hAnsiTheme="minorHAnsi" w:cstheme="minorHAnsi"/>
          <w:sz w:val="22"/>
          <w:lang w:val="en-AU"/>
        </w:rPr>
      </w:pPr>
      <w:r w:rsidRPr="00E37CD2">
        <w:rPr>
          <w:rFonts w:asciiTheme="minorHAnsi" w:hAnsiTheme="minorHAnsi" w:cstheme="minorHAnsi"/>
          <w:sz w:val="22"/>
          <w:lang w:val="en-AU"/>
        </w:rPr>
        <w:t>This recommendation is directed to the financial sector. The Government supports industry playing a leading role in improving understanding of regulatory requirements, particularly for new entrants and innovative firms seeking to engage with Australia’s financial regulatory framework.</w:t>
      </w:r>
      <w:r w:rsidR="00B1654F">
        <w:rPr>
          <w:rFonts w:asciiTheme="minorHAnsi" w:hAnsiTheme="minorHAnsi" w:cstheme="minorHAnsi"/>
          <w:sz w:val="22"/>
          <w:lang w:val="en-AU"/>
        </w:rPr>
        <w:br/>
      </w:r>
    </w:p>
    <w:p w14:paraId="21B7874A" w14:textId="0803A4B9" w:rsidR="00766BF2" w:rsidRPr="00141EA0" w:rsidRDefault="00766BF2" w:rsidP="00766BF2">
      <w:pPr>
        <w:pStyle w:val="Heading2"/>
      </w:pPr>
      <w:bookmarkStart w:id="11" w:name="_Toc239238841"/>
      <w:r w:rsidRPr="00141EA0">
        <w:t>Recommendation 3.1 — Reform the general regulatory sandbox</w:t>
      </w:r>
      <w:bookmarkEnd w:id="11"/>
    </w:p>
    <w:p w14:paraId="18CDDD7E" w14:textId="77777777" w:rsidR="00766BF2" w:rsidRPr="00E37CD2" w:rsidRDefault="00766BF2" w:rsidP="00766BF2">
      <w:pPr>
        <w:pStyle w:val="BodyText"/>
        <w:rPr>
          <w:rFonts w:asciiTheme="minorHAnsi" w:hAnsiTheme="minorHAnsi" w:cstheme="minorHAnsi"/>
          <w:sz w:val="22"/>
          <w:lang w:val="en-AU"/>
        </w:rPr>
      </w:pPr>
      <w:r w:rsidRPr="002F13A8">
        <w:rPr>
          <w:rFonts w:asciiTheme="minorHAnsi" w:hAnsiTheme="minorHAnsi" w:cstheme="minorHAnsi"/>
          <w:b/>
          <w:sz w:val="22"/>
          <w:lang w:val="en-AU"/>
        </w:rPr>
        <w:t xml:space="preserve">The Government agrees: </w:t>
      </w:r>
      <w:r w:rsidRPr="00E37CD2">
        <w:rPr>
          <w:rFonts w:asciiTheme="minorHAnsi" w:hAnsiTheme="minorHAnsi" w:cstheme="minorHAnsi"/>
          <w:sz w:val="22"/>
          <w:lang w:val="en-AU"/>
        </w:rPr>
        <w:t xml:space="preserve">The Government </w:t>
      </w:r>
      <w:r w:rsidRPr="00E37CD2">
        <w:rPr>
          <w:rFonts w:asciiTheme="minorHAnsi" w:hAnsiTheme="minorHAnsi" w:cstheme="minorHAnsi"/>
          <w:b/>
          <w:bCs/>
          <w:sz w:val="22"/>
          <w:lang w:val="en-AU"/>
        </w:rPr>
        <w:t>agrees</w:t>
      </w:r>
      <w:r w:rsidRPr="00E37CD2">
        <w:rPr>
          <w:rFonts w:asciiTheme="minorHAnsi" w:hAnsiTheme="minorHAnsi" w:cstheme="minorHAnsi"/>
          <w:sz w:val="22"/>
          <w:lang w:val="en-AU"/>
        </w:rPr>
        <w:t xml:space="preserve"> to this recommendation, noting that elements of the recommendation are directed to ASIC.</w:t>
      </w:r>
    </w:p>
    <w:p w14:paraId="2CB6EC73" w14:textId="77777777" w:rsidR="00766BF2" w:rsidRPr="00E37CD2" w:rsidRDefault="00766BF2" w:rsidP="00766BF2">
      <w:pPr>
        <w:pStyle w:val="BodyText"/>
        <w:rPr>
          <w:rFonts w:asciiTheme="minorHAnsi" w:hAnsiTheme="minorHAnsi" w:cstheme="minorHAnsi"/>
          <w:sz w:val="22"/>
          <w:lang w:val="en-AU"/>
        </w:rPr>
      </w:pPr>
      <w:r w:rsidRPr="00E37CD2">
        <w:rPr>
          <w:rFonts w:asciiTheme="minorHAnsi" w:hAnsiTheme="minorHAnsi" w:cstheme="minorHAnsi"/>
          <w:sz w:val="22"/>
          <w:lang w:val="en-AU"/>
        </w:rPr>
        <w:t>The Government supports reforming the current ERS to broaden its scope, increase its flexibility and better align it with ASIC’s broader regulatory toolkit. Repealing the current ERS legislation and regulations would allow ASIC to develop a better-functioning replacement sandbox that leverages ASIC’s existing relief powers and can adapt to evolving technologies, business models and policy priorities.</w:t>
      </w:r>
    </w:p>
    <w:p w14:paraId="0099C66B" w14:textId="04E10347" w:rsidR="00766BF2" w:rsidRPr="00141EA0" w:rsidRDefault="00766BF2" w:rsidP="00766BF2">
      <w:pPr>
        <w:pStyle w:val="Heading2"/>
      </w:pPr>
      <w:bookmarkStart w:id="12" w:name="_Toc239238842"/>
      <w:r w:rsidRPr="00141EA0">
        <w:lastRenderedPageBreak/>
        <w:t>Recommendation 3.2 — Integration with ASIC’s broader functions</w:t>
      </w:r>
      <w:bookmarkEnd w:id="12"/>
    </w:p>
    <w:p w14:paraId="265DAF68" w14:textId="77777777" w:rsidR="00766BF2" w:rsidRPr="00E37CD2" w:rsidRDefault="00766BF2" w:rsidP="00766BF2">
      <w:pPr>
        <w:pStyle w:val="BodyText"/>
        <w:rPr>
          <w:rFonts w:asciiTheme="minorHAnsi" w:hAnsiTheme="minorHAnsi" w:cstheme="minorHAnsi"/>
          <w:sz w:val="22"/>
          <w:lang w:val="en-AU"/>
        </w:rPr>
      </w:pPr>
      <w:r w:rsidRPr="002F13A8">
        <w:rPr>
          <w:rFonts w:asciiTheme="minorHAnsi" w:hAnsiTheme="minorHAnsi" w:cstheme="minorHAnsi"/>
          <w:b/>
          <w:bCs/>
          <w:sz w:val="22"/>
          <w:lang w:val="en-AU"/>
        </w:rPr>
        <w:t>The Government supports</w:t>
      </w:r>
      <w:r w:rsidRPr="002F13A8">
        <w:rPr>
          <w:rFonts w:asciiTheme="minorHAnsi" w:hAnsiTheme="minorHAnsi" w:cstheme="minorHAnsi"/>
          <w:b/>
          <w:sz w:val="22"/>
          <w:lang w:val="en-AU"/>
        </w:rPr>
        <w:t xml:space="preserve">: </w:t>
      </w:r>
      <w:r w:rsidRPr="002F13A8">
        <w:rPr>
          <w:rFonts w:asciiTheme="minorHAnsi" w:hAnsiTheme="minorHAnsi" w:cstheme="minorHAnsi"/>
          <w:sz w:val="22"/>
          <w:lang w:val="en-AU"/>
        </w:rPr>
        <w:t xml:space="preserve">The </w:t>
      </w:r>
      <w:r w:rsidRPr="00E37CD2">
        <w:rPr>
          <w:rFonts w:asciiTheme="minorHAnsi" w:hAnsiTheme="minorHAnsi" w:cstheme="minorHAnsi"/>
          <w:sz w:val="22"/>
          <w:lang w:val="en-AU"/>
        </w:rPr>
        <w:t xml:space="preserve">Government </w:t>
      </w:r>
      <w:r w:rsidRPr="00E37CD2">
        <w:rPr>
          <w:rFonts w:asciiTheme="minorHAnsi" w:hAnsiTheme="minorHAnsi" w:cstheme="minorHAnsi"/>
          <w:b/>
          <w:bCs/>
          <w:sz w:val="22"/>
          <w:lang w:val="en-AU"/>
        </w:rPr>
        <w:t>supports</w:t>
      </w:r>
      <w:r w:rsidRPr="00E37CD2">
        <w:rPr>
          <w:rFonts w:asciiTheme="minorHAnsi" w:hAnsiTheme="minorHAnsi" w:cstheme="minorHAnsi"/>
          <w:sz w:val="22"/>
          <w:lang w:val="en-AU"/>
        </w:rPr>
        <w:t xml:space="preserve"> the intent of this recommendation, noting it is directed to ASIC.</w:t>
      </w:r>
    </w:p>
    <w:p w14:paraId="115B11E1" w14:textId="475C2832" w:rsidR="00B15227" w:rsidRPr="00B1654F" w:rsidRDefault="00766BF2" w:rsidP="00B1654F">
      <w:pPr>
        <w:pStyle w:val="BodyText"/>
        <w:rPr>
          <w:rFonts w:asciiTheme="minorHAnsi" w:hAnsiTheme="minorHAnsi" w:cstheme="minorHAnsi"/>
          <w:sz w:val="22"/>
          <w:lang w:val="en-AU"/>
        </w:rPr>
      </w:pPr>
      <w:r w:rsidRPr="00E37CD2">
        <w:rPr>
          <w:rFonts w:asciiTheme="minorHAnsi" w:hAnsiTheme="minorHAnsi" w:cstheme="minorHAnsi"/>
          <w:sz w:val="22"/>
          <w:lang w:val="en-AU"/>
        </w:rPr>
        <w:t>This recommendation is directed to ASIC. The Government supports the view that a renewed sandbox framework should be better integrated with ASIC’s licensing, supervision and innovation functions so participants have clearer pathways and ASIC can build stronger knowledge of emerging technologies and innovative business models.</w:t>
      </w:r>
      <w:r w:rsidR="00B1654F">
        <w:rPr>
          <w:rFonts w:asciiTheme="minorHAnsi" w:hAnsiTheme="minorHAnsi" w:cstheme="minorHAnsi"/>
          <w:sz w:val="22"/>
          <w:lang w:val="en-AU"/>
        </w:rPr>
        <w:br/>
      </w:r>
    </w:p>
    <w:p w14:paraId="051AF8E1" w14:textId="0BF356F1" w:rsidR="00766BF2" w:rsidRPr="00141EA0" w:rsidRDefault="00766BF2" w:rsidP="00766BF2">
      <w:pPr>
        <w:pStyle w:val="Heading2"/>
      </w:pPr>
      <w:bookmarkStart w:id="13" w:name="_Toc239238843"/>
      <w:r w:rsidRPr="00141EA0">
        <w:t>Recommendation 4.1 — Thematic sandboxes</w:t>
      </w:r>
      <w:bookmarkEnd w:id="13"/>
    </w:p>
    <w:p w14:paraId="76CA7952" w14:textId="77777777" w:rsidR="00766BF2" w:rsidRPr="00E37CD2" w:rsidRDefault="00766BF2" w:rsidP="00766BF2">
      <w:pPr>
        <w:pStyle w:val="BodyText"/>
        <w:rPr>
          <w:rFonts w:asciiTheme="minorHAnsi" w:hAnsiTheme="minorHAnsi" w:cstheme="minorHAnsi"/>
          <w:sz w:val="22"/>
          <w:lang w:val="en-AU"/>
        </w:rPr>
      </w:pPr>
      <w:r w:rsidRPr="002F13A8">
        <w:rPr>
          <w:rFonts w:asciiTheme="minorHAnsi" w:hAnsiTheme="minorHAnsi" w:cstheme="minorHAnsi"/>
          <w:b/>
          <w:bCs/>
          <w:sz w:val="22"/>
          <w:lang w:val="en-AU"/>
        </w:rPr>
        <w:t>The Government supports</w:t>
      </w:r>
      <w:r w:rsidRPr="002F13A8">
        <w:rPr>
          <w:rFonts w:asciiTheme="minorHAnsi" w:hAnsiTheme="minorHAnsi" w:cstheme="minorHAnsi"/>
          <w:b/>
          <w:sz w:val="22"/>
          <w:lang w:val="en-AU"/>
        </w:rPr>
        <w:t xml:space="preserve">: </w:t>
      </w:r>
      <w:r w:rsidRPr="002F13A8">
        <w:rPr>
          <w:rFonts w:asciiTheme="minorHAnsi" w:hAnsiTheme="minorHAnsi" w:cstheme="minorHAnsi"/>
          <w:sz w:val="22"/>
          <w:lang w:val="en-AU"/>
        </w:rPr>
        <w:t xml:space="preserve">The </w:t>
      </w:r>
      <w:r w:rsidRPr="00E37CD2">
        <w:rPr>
          <w:rFonts w:asciiTheme="minorHAnsi" w:hAnsiTheme="minorHAnsi" w:cstheme="minorHAnsi"/>
          <w:sz w:val="22"/>
          <w:lang w:val="en-AU"/>
        </w:rPr>
        <w:t xml:space="preserve">Government </w:t>
      </w:r>
      <w:r w:rsidRPr="00E37CD2">
        <w:rPr>
          <w:rFonts w:asciiTheme="minorHAnsi" w:hAnsiTheme="minorHAnsi" w:cstheme="minorHAnsi"/>
          <w:b/>
          <w:bCs/>
          <w:sz w:val="22"/>
          <w:lang w:val="en-AU"/>
        </w:rPr>
        <w:t>supports</w:t>
      </w:r>
      <w:r w:rsidRPr="00E37CD2">
        <w:rPr>
          <w:rFonts w:asciiTheme="minorHAnsi" w:hAnsiTheme="minorHAnsi" w:cstheme="minorHAnsi"/>
          <w:sz w:val="22"/>
          <w:lang w:val="en-AU"/>
        </w:rPr>
        <w:t xml:space="preserve"> the intent of this recommendation, noting it is directed to ASIC.</w:t>
      </w:r>
    </w:p>
    <w:p w14:paraId="069FB219" w14:textId="152218F8" w:rsidR="00B15227" w:rsidRPr="00B1654F" w:rsidRDefault="00766BF2" w:rsidP="00B1654F">
      <w:pPr>
        <w:pStyle w:val="BodyText"/>
        <w:rPr>
          <w:rFonts w:asciiTheme="minorHAnsi" w:hAnsiTheme="minorHAnsi" w:cstheme="minorHAnsi"/>
          <w:sz w:val="22"/>
          <w:lang w:val="en-AU"/>
        </w:rPr>
      </w:pPr>
      <w:r w:rsidRPr="00E37CD2">
        <w:rPr>
          <w:rFonts w:asciiTheme="minorHAnsi" w:hAnsiTheme="minorHAnsi" w:cstheme="minorHAnsi"/>
          <w:sz w:val="22"/>
          <w:lang w:val="en-AU"/>
        </w:rPr>
        <w:t>This recommendation is directed to ASIC. The Government supports consideration of thematic sandboxes as a way to target specific sectors, emerging themes and technologies and to facilitate innovation and policy development within ASIC’s areas of sole regulatory responsibility.</w:t>
      </w:r>
      <w:r w:rsidR="00B1654F">
        <w:rPr>
          <w:rFonts w:asciiTheme="minorHAnsi" w:hAnsiTheme="minorHAnsi" w:cstheme="minorHAnsi"/>
          <w:sz w:val="22"/>
          <w:lang w:val="en-AU"/>
        </w:rPr>
        <w:br/>
      </w:r>
    </w:p>
    <w:p w14:paraId="3A6F94A4" w14:textId="00DF03C1" w:rsidR="00766BF2" w:rsidRPr="00141EA0" w:rsidRDefault="00766BF2" w:rsidP="00766BF2">
      <w:pPr>
        <w:pStyle w:val="Heading2"/>
      </w:pPr>
      <w:bookmarkStart w:id="14" w:name="_Toc239238844"/>
      <w:r w:rsidRPr="00141EA0">
        <w:t>Recommendation 4.2 — Public-private financial innovation committee</w:t>
      </w:r>
      <w:bookmarkEnd w:id="14"/>
    </w:p>
    <w:p w14:paraId="65A628A6" w14:textId="77777777" w:rsidR="00766BF2" w:rsidRPr="00E37CD2" w:rsidRDefault="00766BF2" w:rsidP="00766BF2">
      <w:pPr>
        <w:pStyle w:val="BodyText"/>
        <w:rPr>
          <w:rFonts w:asciiTheme="minorHAnsi" w:hAnsiTheme="minorHAnsi" w:cstheme="minorHAnsi"/>
          <w:sz w:val="22"/>
          <w:lang w:val="en-AU"/>
        </w:rPr>
      </w:pPr>
      <w:r w:rsidRPr="002F13A8">
        <w:rPr>
          <w:rFonts w:asciiTheme="minorHAnsi" w:hAnsiTheme="minorHAnsi" w:cstheme="minorHAnsi"/>
          <w:b/>
          <w:sz w:val="22"/>
          <w:lang w:val="en-AU"/>
        </w:rPr>
        <w:t xml:space="preserve">The Government agrees: </w:t>
      </w:r>
      <w:r w:rsidRPr="002F13A8">
        <w:rPr>
          <w:rFonts w:asciiTheme="minorHAnsi" w:hAnsiTheme="minorHAnsi" w:cstheme="minorHAnsi"/>
          <w:sz w:val="22"/>
          <w:lang w:val="en-AU"/>
        </w:rPr>
        <w:t xml:space="preserve">The </w:t>
      </w:r>
      <w:r w:rsidRPr="00E37CD2">
        <w:rPr>
          <w:rFonts w:asciiTheme="minorHAnsi" w:hAnsiTheme="minorHAnsi" w:cstheme="minorHAnsi"/>
          <w:sz w:val="22"/>
          <w:lang w:val="en-AU"/>
        </w:rPr>
        <w:t xml:space="preserve">Government </w:t>
      </w:r>
      <w:r w:rsidRPr="00E37CD2">
        <w:rPr>
          <w:rFonts w:asciiTheme="minorHAnsi" w:hAnsiTheme="minorHAnsi" w:cstheme="minorHAnsi"/>
          <w:b/>
          <w:bCs/>
          <w:sz w:val="22"/>
          <w:lang w:val="en-AU"/>
        </w:rPr>
        <w:t>agrees</w:t>
      </w:r>
      <w:r w:rsidRPr="00E37CD2">
        <w:rPr>
          <w:rFonts w:asciiTheme="minorHAnsi" w:hAnsiTheme="minorHAnsi" w:cstheme="minorHAnsi"/>
          <w:sz w:val="22"/>
          <w:lang w:val="en-AU"/>
        </w:rPr>
        <w:t xml:space="preserve"> to this recommendation.</w:t>
      </w:r>
    </w:p>
    <w:p w14:paraId="60EF9304" w14:textId="7FA9B516" w:rsidR="00BB0973" w:rsidRPr="00FA57BC" w:rsidRDefault="00766BF2" w:rsidP="00FA57BC">
      <w:pPr>
        <w:pStyle w:val="BodyText"/>
        <w:rPr>
          <w:rFonts w:asciiTheme="minorHAnsi" w:hAnsiTheme="minorHAnsi" w:cstheme="minorHAnsi"/>
          <w:sz w:val="22"/>
          <w:lang w:val="en-AU"/>
        </w:rPr>
      </w:pPr>
      <w:r w:rsidRPr="00E37CD2">
        <w:rPr>
          <w:rFonts w:asciiTheme="minorHAnsi" w:hAnsiTheme="minorHAnsi" w:cstheme="minorHAnsi"/>
          <w:sz w:val="22"/>
          <w:lang w:val="en-AU"/>
        </w:rPr>
        <w:t>The Government will establish a public-private committee, including regulators, industry representatives and independent members, to support coordination across government, regulators and industry. The committee will help identify and prioritise high-value themes, sectors and technologies, consider the case for thematic sandboxes, monitor developments and support coordination between regulators on financial innovation.</w:t>
      </w:r>
      <w:bookmarkEnd w:id="5"/>
      <w:bookmarkEnd w:id="6"/>
    </w:p>
    <w:sectPr w:rsidR="00BB0973" w:rsidRPr="00FA57BC" w:rsidSect="00B66783">
      <w:headerReference w:type="even" r:id="rId15"/>
      <w:headerReference w:type="default" r:id="rId16"/>
      <w:footerReference w:type="even" r:id="rId17"/>
      <w:footerReference w:type="default" r:id="rId18"/>
      <w:headerReference w:type="first" r:id="rId19"/>
      <w:footerReference w:type="first" r:id="rId20"/>
      <w:pgSz w:w="11906" w:h="16838" w:code="9"/>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87776" w14:textId="77777777" w:rsidR="0046763F" w:rsidRPr="00141EA0" w:rsidRDefault="0046763F">
      <w:pPr>
        <w:spacing w:before="0" w:after="0"/>
      </w:pPr>
      <w:r w:rsidRPr="00141EA0">
        <w:separator/>
      </w:r>
    </w:p>
  </w:endnote>
  <w:endnote w:type="continuationSeparator" w:id="0">
    <w:p w14:paraId="66F13D8F" w14:textId="77777777" w:rsidR="0046763F" w:rsidRPr="00141EA0" w:rsidRDefault="0046763F">
      <w:pPr>
        <w:spacing w:before="0" w:after="0"/>
      </w:pPr>
      <w:r w:rsidRPr="00141E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0C93" w14:textId="79F167DC" w:rsidR="00C60B0F" w:rsidRPr="00141EA0" w:rsidRDefault="00C60B0F" w:rsidP="00C60B0F">
    <w:pPr>
      <w:pStyle w:val="FooterEven"/>
      <w:rPr>
        <w:noProof w:val="0"/>
      </w:rPr>
    </w:pPr>
    <w:r w:rsidRPr="00141EA0">
      <w:rPr>
        <w:noProof w:val="0"/>
      </w:rPr>
      <w:fldChar w:fldCharType="begin"/>
    </w:r>
    <w:r w:rsidRPr="00141EA0">
      <w:rPr>
        <w:noProof w:val="0"/>
      </w:rPr>
      <w:instrText xml:space="preserve"> PAGE   \* MERGEFORMAT </w:instrText>
    </w:r>
    <w:r w:rsidRPr="00141EA0">
      <w:rPr>
        <w:noProof w:val="0"/>
      </w:rPr>
      <w:fldChar w:fldCharType="separate"/>
    </w:r>
    <w:r w:rsidRPr="00141EA0">
      <w:rPr>
        <w:noProof w:val="0"/>
      </w:rPr>
      <w:t>2</w:t>
    </w:r>
    <w:r w:rsidRPr="00141EA0">
      <w:rPr>
        <w:noProof w:val="0"/>
      </w:rPr>
      <w:fldChar w:fldCharType="end"/>
    </w:r>
    <w:r w:rsidRPr="00141EA0">
      <w:rPr>
        <w:noProof w:val="0"/>
      </w:rPr>
      <w:t xml:space="preserve"> | </w:t>
    </w:r>
    <w:r w:rsidR="00F514B8" w:rsidRPr="00141EA0">
      <w:rPr>
        <w:noProof w:val="0"/>
      </w:rPr>
      <w:fldChar w:fldCharType="begin"/>
    </w:r>
    <w:r w:rsidR="00F514B8" w:rsidRPr="00141EA0">
      <w:rPr>
        <w:noProof w:val="0"/>
      </w:rPr>
      <w:instrText xml:space="preserve"> STYLEREF  "Heading 1"  \* MERGEFORMAT </w:instrText>
    </w:r>
    <w:r w:rsidR="00F514B8" w:rsidRPr="00141EA0">
      <w:rPr>
        <w:noProof w:val="0"/>
      </w:rPr>
      <w:fldChar w:fldCharType="separate"/>
    </w:r>
    <w:r w:rsidR="00E8688E">
      <w:t>Response to the recommendations</w:t>
    </w:r>
    <w:r w:rsidR="00F514B8" w:rsidRPr="00141EA0">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74E6" w14:textId="6561E2B0" w:rsidR="00C60B0F" w:rsidRPr="00141EA0" w:rsidRDefault="0090289D" w:rsidP="00AB738A">
    <w:pPr>
      <w:pStyle w:val="FooterOdd"/>
    </w:pPr>
    <w:fldSimple w:instr=" STYLEREF  &quot;Heading 1&quot;  \* MERGEFORMAT ">
      <w:r w:rsidR="00E8688E">
        <w:rPr>
          <w:noProof/>
        </w:rPr>
        <w:t>Response to the recommendations</w:t>
      </w:r>
    </w:fldSimple>
    <w:r w:rsidR="00C60B0F" w:rsidRPr="00141EA0">
      <w:t xml:space="preserve"> | </w:t>
    </w:r>
    <w:r w:rsidR="00C60B0F" w:rsidRPr="00141EA0">
      <w:fldChar w:fldCharType="begin"/>
    </w:r>
    <w:r w:rsidR="00C60B0F" w:rsidRPr="00141EA0">
      <w:instrText xml:space="preserve"> PAGE   \* MERGEFORMAT </w:instrText>
    </w:r>
    <w:r w:rsidR="00C60B0F" w:rsidRPr="00141EA0">
      <w:fldChar w:fldCharType="separate"/>
    </w:r>
    <w:r w:rsidR="00C60B0F" w:rsidRPr="00141EA0">
      <w:t>1</w:t>
    </w:r>
    <w:r w:rsidR="00C60B0F" w:rsidRPr="00141EA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8781" w14:textId="77777777" w:rsidR="00C60B0F" w:rsidRPr="00141EA0" w:rsidRDefault="00C60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2BE7C" w14:textId="77777777" w:rsidR="0046763F" w:rsidRPr="00141EA0" w:rsidRDefault="0046763F" w:rsidP="000F6233">
      <w:pPr>
        <w:rPr>
          <w:color w:val="B2B2B2" w:themeColor="accent2"/>
        </w:rPr>
      </w:pPr>
      <w:r w:rsidRPr="00141EA0">
        <w:rPr>
          <w:color w:val="B2B2B2" w:themeColor="accent2"/>
        </w:rPr>
        <w:separator/>
      </w:r>
    </w:p>
  </w:footnote>
  <w:footnote w:type="continuationSeparator" w:id="0">
    <w:p w14:paraId="1D093A49" w14:textId="77777777" w:rsidR="0046763F" w:rsidRPr="00141EA0" w:rsidRDefault="0046763F">
      <w:pPr>
        <w:spacing w:before="0" w:after="0"/>
        <w:rPr>
          <w:color w:val="E6E6E6" w:themeColor="accent1"/>
        </w:rPr>
      </w:pPr>
      <w:r w:rsidRPr="00141EA0">
        <w:rPr>
          <w:color w:val="E6E6E6" w:themeColor="accent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EBBB2" w14:textId="337D8D3B" w:rsidR="00C60B0F" w:rsidRPr="00141EA0" w:rsidRDefault="0090289D" w:rsidP="00420CD3">
    <w:pPr>
      <w:pStyle w:val="HeaderEven"/>
    </w:pPr>
    <w:fldSimple w:instr=" STYLEREF  Title  \* MERGEFORMAT ">
      <w:r w:rsidR="00E8688E" w:rsidRPr="00E8688E">
        <w:rPr>
          <w:b/>
          <w:bCs/>
          <w:noProof/>
        </w:rPr>
        <w:t>Government</w:t>
      </w:r>
      <w:r w:rsidR="00E8688E">
        <w:rPr>
          <w:noProof/>
        </w:rPr>
        <w:t xml:space="preserve"> response to the Independent Review of the Enhanced Regulatory Sandbox</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AA663" w14:textId="04C05C35" w:rsidR="00C60B0F" w:rsidRPr="00141EA0" w:rsidRDefault="0090289D" w:rsidP="00420CD3">
    <w:pPr>
      <w:pStyle w:val="HeaderOdd"/>
    </w:pPr>
    <w:fldSimple w:instr=" STYLEREF  Title  \* MERGEFORMAT ">
      <w:r w:rsidR="00E8688E" w:rsidRPr="00E8688E">
        <w:rPr>
          <w:b/>
          <w:bCs/>
          <w:noProof/>
        </w:rPr>
        <w:t>Government</w:t>
      </w:r>
      <w:r w:rsidR="00E8688E">
        <w:rPr>
          <w:noProof/>
        </w:rPr>
        <w:t xml:space="preserve"> response to the Independent Review of the Enhanced Regulatory Sandbox</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576F" w14:textId="77777777" w:rsidR="00C60B0F" w:rsidRPr="00141EA0" w:rsidRDefault="00C60B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10;&#10;Description automatically generated with medium confidence" style="width:102.75pt;height:16.5pt;visibility:visible;mso-wrap-style:square" o:bullet="t">
        <v:imagedata r:id="rId1" o:title="Logo&#10;&#10;Description automatically generated with medium confidence"/>
      </v:shape>
    </w:pict>
  </w:numPicBullet>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0B8F13AF"/>
    <w:multiLevelType w:val="multilevel"/>
    <w:tmpl w:val="0C7091F8"/>
    <w:lvl w:ilvl="0">
      <w:start w:val="1"/>
      <w:numFmt w:val="lowerLetter"/>
      <w:lvlText w:val="%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653560"/>
    <w:multiLevelType w:val="multilevel"/>
    <w:tmpl w:val="72F8140E"/>
    <w:styleLink w:val="OutlineList"/>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CC4E5D"/>
    <w:multiLevelType w:val="multilevel"/>
    <w:tmpl w:val="D10E9CF6"/>
    <w:numStyleLink w:val="OneLevelList"/>
  </w:abstractNum>
  <w:abstractNum w:abstractNumId="4"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440C8B"/>
    <w:multiLevelType w:val="multilevel"/>
    <w:tmpl w:val="9AFC5FD2"/>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08C2710"/>
    <w:multiLevelType w:val="multilevel"/>
    <w:tmpl w:val="7F402170"/>
    <w:styleLink w:val="BulletedList"/>
    <w:lvl w:ilvl="0">
      <w:start w:val="1"/>
      <w:numFmt w:val="bullet"/>
      <w:lvlRestart w:val="0"/>
      <w:lvlText w:val="•"/>
      <w:lvlJc w:val="left"/>
      <w:pPr>
        <w:tabs>
          <w:tab w:val="num" w:pos="283"/>
        </w:tabs>
        <w:ind w:left="284" w:hanging="284"/>
      </w:pPr>
      <w:rPr>
        <w:rFonts w:ascii="Times New Roman" w:hAnsi="Times New Roman" w:cs="Times New Roman" w:hint="default"/>
        <w:b w:val="0"/>
        <w:i w:val="0"/>
      </w:rPr>
    </w:lvl>
    <w:lvl w:ilvl="1">
      <w:start w:val="1"/>
      <w:numFmt w:val="bullet"/>
      <w:lvlText w:val="–"/>
      <w:lvlJc w:val="left"/>
      <w:pPr>
        <w:tabs>
          <w:tab w:val="num" w:pos="567"/>
        </w:tabs>
        <w:ind w:left="568" w:hanging="284"/>
      </w:pPr>
      <w:rPr>
        <w:rFonts w:ascii="Times New Roman" w:hAnsi="Times New Roman" w:cs="Times New Roman" w:hint="default"/>
        <w:b w:val="0"/>
        <w:i w:val="0"/>
      </w:rPr>
    </w:lvl>
    <w:lvl w:ilvl="2">
      <w:start w:val="1"/>
      <w:numFmt w:val="bulle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8" w15:restartNumberingAfterBreak="0">
    <w:nsid w:val="31EF577D"/>
    <w:multiLevelType w:val="hybridMultilevel"/>
    <w:tmpl w:val="49CA1762"/>
    <w:lvl w:ilvl="0" w:tplc="73E6BD10">
      <w:start w:val="1"/>
      <w:numFmt w:val="bullet"/>
      <w:lvlText w:val=""/>
      <w:lvlPicBulletId w:val="0"/>
      <w:lvlJc w:val="left"/>
      <w:pPr>
        <w:tabs>
          <w:tab w:val="num" w:pos="720"/>
        </w:tabs>
        <w:ind w:left="720" w:hanging="360"/>
      </w:pPr>
      <w:rPr>
        <w:rFonts w:ascii="Symbol" w:hAnsi="Symbol" w:hint="default"/>
      </w:rPr>
    </w:lvl>
    <w:lvl w:ilvl="1" w:tplc="9470300E" w:tentative="1">
      <w:start w:val="1"/>
      <w:numFmt w:val="bullet"/>
      <w:lvlText w:val=""/>
      <w:lvlJc w:val="left"/>
      <w:pPr>
        <w:tabs>
          <w:tab w:val="num" w:pos="1440"/>
        </w:tabs>
        <w:ind w:left="1440" w:hanging="360"/>
      </w:pPr>
      <w:rPr>
        <w:rFonts w:ascii="Symbol" w:hAnsi="Symbol" w:hint="default"/>
      </w:rPr>
    </w:lvl>
    <w:lvl w:ilvl="2" w:tplc="E56C24D0" w:tentative="1">
      <w:start w:val="1"/>
      <w:numFmt w:val="bullet"/>
      <w:lvlText w:val=""/>
      <w:lvlJc w:val="left"/>
      <w:pPr>
        <w:tabs>
          <w:tab w:val="num" w:pos="2160"/>
        </w:tabs>
        <w:ind w:left="2160" w:hanging="360"/>
      </w:pPr>
      <w:rPr>
        <w:rFonts w:ascii="Symbol" w:hAnsi="Symbol" w:hint="default"/>
      </w:rPr>
    </w:lvl>
    <w:lvl w:ilvl="3" w:tplc="9354613A" w:tentative="1">
      <w:start w:val="1"/>
      <w:numFmt w:val="bullet"/>
      <w:lvlText w:val=""/>
      <w:lvlJc w:val="left"/>
      <w:pPr>
        <w:tabs>
          <w:tab w:val="num" w:pos="2880"/>
        </w:tabs>
        <w:ind w:left="2880" w:hanging="360"/>
      </w:pPr>
      <w:rPr>
        <w:rFonts w:ascii="Symbol" w:hAnsi="Symbol" w:hint="default"/>
      </w:rPr>
    </w:lvl>
    <w:lvl w:ilvl="4" w:tplc="49326306" w:tentative="1">
      <w:start w:val="1"/>
      <w:numFmt w:val="bullet"/>
      <w:lvlText w:val=""/>
      <w:lvlJc w:val="left"/>
      <w:pPr>
        <w:tabs>
          <w:tab w:val="num" w:pos="3600"/>
        </w:tabs>
        <w:ind w:left="3600" w:hanging="360"/>
      </w:pPr>
      <w:rPr>
        <w:rFonts w:ascii="Symbol" w:hAnsi="Symbol" w:hint="default"/>
      </w:rPr>
    </w:lvl>
    <w:lvl w:ilvl="5" w:tplc="34667A02" w:tentative="1">
      <w:start w:val="1"/>
      <w:numFmt w:val="bullet"/>
      <w:lvlText w:val=""/>
      <w:lvlJc w:val="left"/>
      <w:pPr>
        <w:tabs>
          <w:tab w:val="num" w:pos="4320"/>
        </w:tabs>
        <w:ind w:left="4320" w:hanging="360"/>
      </w:pPr>
      <w:rPr>
        <w:rFonts w:ascii="Symbol" w:hAnsi="Symbol" w:hint="default"/>
      </w:rPr>
    </w:lvl>
    <w:lvl w:ilvl="6" w:tplc="03369734" w:tentative="1">
      <w:start w:val="1"/>
      <w:numFmt w:val="bullet"/>
      <w:lvlText w:val=""/>
      <w:lvlJc w:val="left"/>
      <w:pPr>
        <w:tabs>
          <w:tab w:val="num" w:pos="5040"/>
        </w:tabs>
        <w:ind w:left="5040" w:hanging="360"/>
      </w:pPr>
      <w:rPr>
        <w:rFonts w:ascii="Symbol" w:hAnsi="Symbol" w:hint="default"/>
      </w:rPr>
    </w:lvl>
    <w:lvl w:ilvl="7" w:tplc="282A4DD4" w:tentative="1">
      <w:start w:val="1"/>
      <w:numFmt w:val="bullet"/>
      <w:lvlText w:val=""/>
      <w:lvlJc w:val="left"/>
      <w:pPr>
        <w:tabs>
          <w:tab w:val="num" w:pos="5760"/>
        </w:tabs>
        <w:ind w:left="5760" w:hanging="360"/>
      </w:pPr>
      <w:rPr>
        <w:rFonts w:ascii="Symbol" w:hAnsi="Symbol" w:hint="default"/>
      </w:rPr>
    </w:lvl>
    <w:lvl w:ilvl="8" w:tplc="4D565DB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CE06931"/>
    <w:multiLevelType w:val="singleLevel"/>
    <w:tmpl w:val="36E09474"/>
    <w:lvl w:ilvl="0">
      <w:start w:val="1"/>
      <w:numFmt w:val="lowerLetter"/>
      <w:lvlText w:val="(%1)"/>
      <w:lvlJc w:val="left"/>
      <w:pPr>
        <w:ind w:left="360" w:hanging="360"/>
      </w:pPr>
      <w:rPr>
        <w:rFonts w:ascii="Arial" w:hAnsi="Arial" w:cs="Arial" w:hint="default"/>
        <w:b w:val="0"/>
        <w:i w:val="0"/>
        <w:sz w:val="16"/>
      </w:rPr>
    </w:lvl>
  </w:abstractNum>
  <w:abstractNum w:abstractNumId="12" w15:restartNumberingAfterBreak="0">
    <w:nsid w:val="510D2021"/>
    <w:multiLevelType w:val="multilevel"/>
    <w:tmpl w:val="3A1A713E"/>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24F7347"/>
    <w:multiLevelType w:val="hybridMultilevel"/>
    <w:tmpl w:val="53CE8F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9BD7DFF"/>
    <w:multiLevelType w:val="multilevel"/>
    <w:tmpl w:val="55D42826"/>
    <w:name w:val="StandardBulletedList2"/>
    <w:lvl w:ilvl="0">
      <w:start w:val="1"/>
      <w:numFmt w:val="bullet"/>
      <w:pStyle w:val="Boxbullet"/>
      <w:lvlText w:val="•"/>
      <w:lvlJc w:val="left"/>
      <w:pPr>
        <w:ind w:left="284" w:hanging="284"/>
      </w:pPr>
      <w:rPr>
        <w:rFonts w:ascii="Times New Roman" w:hAnsi="Times New Roman" w:cs="Times New Roman" w:hint="default"/>
        <w:color w:val="auto"/>
      </w:rPr>
    </w:lvl>
    <w:lvl w:ilvl="1">
      <w:start w:val="1"/>
      <w:numFmt w:val="bullet"/>
      <w:pStyle w:val="Boxdash"/>
      <w:lvlText w:val="–"/>
      <w:lvlJc w:val="left"/>
      <w:pPr>
        <w:ind w:left="568" w:hanging="284"/>
      </w:pPr>
      <w:rPr>
        <w:rFonts w:ascii="Times New Roman" w:hAnsi="Times New Roman" w:cs="Times New Roman" w:hint="default"/>
      </w:rPr>
    </w:lvl>
    <w:lvl w:ilvl="2">
      <w:start w:val="1"/>
      <w:numFmt w:val="bullet"/>
      <w:pStyle w:val="Boxdoubledot"/>
      <w:lvlText w:val=":"/>
      <w:lvlJc w:val="left"/>
      <w:pPr>
        <w:ind w:left="852" w:hanging="284"/>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abstractNum w:abstractNumId="15" w15:restartNumberingAfterBreak="0">
    <w:nsid w:val="5EFF1E76"/>
    <w:multiLevelType w:val="multilevel"/>
    <w:tmpl w:val="D9FE9894"/>
    <w:lvl w:ilvl="0">
      <w:start w:val="1"/>
      <w:numFmt w:val="lowerRoman"/>
      <w:lvlText w:val="%1."/>
      <w:lvlJc w:val="righ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7A70C5A"/>
    <w:multiLevelType w:val="multilevel"/>
    <w:tmpl w:val="34C48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D6B5224"/>
    <w:multiLevelType w:val="multilevel"/>
    <w:tmpl w:val="D0025D30"/>
    <w:name w:val="StandardBulletedList"/>
    <w:lvl w:ilvl="0">
      <w:start w:val="1"/>
      <w:numFmt w:val="bullet"/>
      <w:pStyle w:val="Bullet"/>
      <w:lvlText w:val="•"/>
      <w:lvlJc w:val="left"/>
      <w:pPr>
        <w:tabs>
          <w:tab w:val="num" w:pos="520"/>
        </w:tabs>
        <w:ind w:left="284" w:hanging="284"/>
      </w:pPr>
      <w:rPr>
        <w:rFonts w:ascii="Times New Roman" w:hAnsi="Times New Roman" w:cs="Times New Roman" w:hint="default"/>
        <w:color w:val="auto"/>
      </w:rPr>
    </w:lvl>
    <w:lvl w:ilvl="1">
      <w:start w:val="1"/>
      <w:numFmt w:val="bullet"/>
      <w:pStyle w:val="Dash"/>
      <w:lvlText w:val="–"/>
      <w:lvlJc w:val="left"/>
      <w:pPr>
        <w:tabs>
          <w:tab w:val="num" w:pos="804"/>
        </w:tabs>
        <w:ind w:left="568" w:hanging="284"/>
      </w:pPr>
      <w:rPr>
        <w:rFonts w:ascii="Times New Roman" w:hAnsi="Times New Roman" w:cs="Times New Roman" w:hint="default"/>
      </w:rPr>
    </w:lvl>
    <w:lvl w:ilvl="2">
      <w:start w:val="1"/>
      <w:numFmt w:val="bullet"/>
      <w:pStyle w:val="DoubleDot"/>
      <w:lvlText w:val=":"/>
      <w:lvlJc w:val="left"/>
      <w:pPr>
        <w:tabs>
          <w:tab w:val="num" w:pos="1088"/>
        </w:tabs>
        <w:ind w:left="852" w:hanging="284"/>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abstractNum w:abstractNumId="18" w15:restartNumberingAfterBreak="0">
    <w:nsid w:val="7EBF275E"/>
    <w:multiLevelType w:val="multilevel"/>
    <w:tmpl w:val="A6800B9E"/>
    <w:lvl w:ilvl="0">
      <w:start w:val="1"/>
      <w:numFmt w:val="decimal"/>
      <w:lvlRestart w:val="0"/>
      <w:lvlText w:val="%1."/>
      <w:lvlJc w:val="left"/>
      <w:pPr>
        <w:tabs>
          <w:tab w:val="num" w:pos="567"/>
        </w:tabs>
        <w:ind w:left="567" w:hanging="567"/>
      </w:pPr>
      <w:rPr>
        <w:rFonts w:hint="default"/>
        <w:b w:val="0"/>
        <w:i w:val="0"/>
      </w:rPr>
    </w:lvl>
    <w:lvl w:ilvl="1">
      <w:start w:val="1"/>
      <w:numFmt w:val="decimal"/>
      <w:lvlText w:val="%1.%2."/>
      <w:lvlJc w:val="left"/>
      <w:pPr>
        <w:tabs>
          <w:tab w:val="num" w:pos="1134"/>
        </w:tabs>
        <w:ind w:left="1134" w:hanging="567"/>
      </w:pPr>
      <w:rPr>
        <w:rFonts w:hint="default"/>
        <w:b w:val="0"/>
        <w:i w:val="0"/>
      </w:rPr>
    </w:lvl>
    <w:lvl w:ilvl="2">
      <w:start w:val="1"/>
      <w:numFmt w:val="decimal"/>
      <w:lvlText w:val="%1.%2.%3."/>
      <w:lvlJc w:val="left"/>
      <w:pPr>
        <w:tabs>
          <w:tab w:val="num" w:pos="1984"/>
        </w:tabs>
        <w:ind w:left="1984" w:hanging="850"/>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9" w15:restartNumberingAfterBreak="0">
    <w:nsid w:val="7F2E57A2"/>
    <w:multiLevelType w:val="multilevel"/>
    <w:tmpl w:val="D1ECFDF4"/>
    <w:lvl w:ilvl="0">
      <w:start w:val="1"/>
      <w:numFmt w:val="decimal"/>
      <w:lvlRestart w:val="0"/>
      <w:suff w:val="nothing"/>
      <w:lvlText w:val=""/>
      <w:lvlJc w:val="left"/>
      <w:pPr>
        <w:ind w:left="0" w:firstLine="0"/>
      </w:pPr>
      <w:rPr>
        <w:rFonts w:ascii="Arial" w:hAnsi="Arial" w:cs="Arial"/>
        <w:b/>
        <w:i w:val="0"/>
        <w:color w:val="000080"/>
        <w:sz w:val="24"/>
      </w:rPr>
    </w:lvl>
    <w:lvl w:ilvl="1">
      <w:start w:val="1"/>
      <w:numFmt w:val="lowerLetter"/>
      <w:lvlText w:val="(%2)"/>
      <w:lvlJc w:val="left"/>
      <w:pPr>
        <w:tabs>
          <w:tab w:val="num" w:pos="992"/>
        </w:tabs>
        <w:ind w:left="992" w:hanging="425"/>
      </w:pPr>
      <w:rPr>
        <w:rFonts w:ascii="Arial" w:hAnsi="Arial" w:cs="Arial"/>
        <w:b/>
        <w:i w:val="0"/>
        <w:color w:val="235292"/>
        <w:sz w:val="22"/>
      </w:rPr>
    </w:lvl>
    <w:lvl w:ilvl="2">
      <w:start w:val="1"/>
      <w:numFmt w:val="decimal"/>
      <w:lvlText w:val="%3"/>
      <w:lvlJc w:val="left"/>
      <w:pPr>
        <w:tabs>
          <w:tab w:val="num" w:pos="1418"/>
        </w:tabs>
        <w:ind w:left="1418" w:hanging="426"/>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num w:numId="1" w16cid:durableId="747112092">
    <w:abstractNumId w:val="7"/>
  </w:num>
  <w:num w:numId="2" w16cid:durableId="125392115">
    <w:abstractNumId w:val="0"/>
  </w:num>
  <w:num w:numId="3" w16cid:durableId="1138493796">
    <w:abstractNumId w:val="10"/>
  </w:num>
  <w:num w:numId="4" w16cid:durableId="697198535">
    <w:abstractNumId w:val="2"/>
  </w:num>
  <w:num w:numId="5" w16cid:durableId="402218185">
    <w:abstractNumId w:val="3"/>
  </w:num>
  <w:num w:numId="6" w16cid:durableId="1530605932">
    <w:abstractNumId w:val="12"/>
  </w:num>
  <w:num w:numId="7" w16cid:durableId="1077706018">
    <w:abstractNumId w:val="9"/>
    <w:lvlOverride w:ilvl="0">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16cid:durableId="1334606905">
    <w:abstractNumId w:val="4"/>
  </w:num>
  <w:num w:numId="9" w16cid:durableId="571887099">
    <w:abstractNumId w:val="1"/>
  </w:num>
  <w:num w:numId="10" w16cid:durableId="732696603">
    <w:abstractNumId w:val="6"/>
  </w:num>
  <w:num w:numId="11" w16cid:durableId="981886855">
    <w:abstractNumId w:val="18"/>
  </w:num>
  <w:num w:numId="12" w16cid:durableId="1542596121">
    <w:abstractNumId w:val="12"/>
  </w:num>
  <w:num w:numId="13" w16cid:durableId="920913257">
    <w:abstractNumId w:val="19"/>
  </w:num>
  <w:num w:numId="14" w16cid:durableId="1906601709">
    <w:abstractNumId w:val="11"/>
  </w:num>
  <w:num w:numId="15" w16cid:durableId="1810710942">
    <w:abstractNumId w:val="5"/>
  </w:num>
  <w:num w:numId="16" w16cid:durableId="289938751">
    <w:abstractNumId w:val="15"/>
  </w:num>
  <w:num w:numId="17" w16cid:durableId="157624863">
    <w:abstractNumId w:val="9"/>
  </w:num>
  <w:num w:numId="18" w16cid:durableId="447936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251550">
    <w:abstractNumId w:val="17"/>
  </w:num>
  <w:num w:numId="20" w16cid:durableId="1948073332">
    <w:abstractNumId w:val="8"/>
  </w:num>
  <w:num w:numId="21" w16cid:durableId="207180920">
    <w:abstractNumId w:val="13"/>
  </w:num>
  <w:num w:numId="22" w16cid:durableId="10652979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88D"/>
    <w:rsid w:val="00011725"/>
    <w:rsid w:val="00012C62"/>
    <w:rsid w:val="0001396A"/>
    <w:rsid w:val="0002544D"/>
    <w:rsid w:val="000332E7"/>
    <w:rsid w:val="00033C83"/>
    <w:rsid w:val="0003540B"/>
    <w:rsid w:val="0004274D"/>
    <w:rsid w:val="00043348"/>
    <w:rsid w:val="0004483F"/>
    <w:rsid w:val="00046CB4"/>
    <w:rsid w:val="0005138B"/>
    <w:rsid w:val="000522B7"/>
    <w:rsid w:val="00053717"/>
    <w:rsid w:val="00056880"/>
    <w:rsid w:val="00063336"/>
    <w:rsid w:val="000675D1"/>
    <w:rsid w:val="00073521"/>
    <w:rsid w:val="000775DE"/>
    <w:rsid w:val="00087FAF"/>
    <w:rsid w:val="000A3675"/>
    <w:rsid w:val="000B093F"/>
    <w:rsid w:val="000B302A"/>
    <w:rsid w:val="000C571D"/>
    <w:rsid w:val="000C5F40"/>
    <w:rsid w:val="000E0B74"/>
    <w:rsid w:val="000E727D"/>
    <w:rsid w:val="000E7901"/>
    <w:rsid w:val="000F19AB"/>
    <w:rsid w:val="000F6233"/>
    <w:rsid w:val="00123AC0"/>
    <w:rsid w:val="00131DC3"/>
    <w:rsid w:val="00135E4C"/>
    <w:rsid w:val="001373F5"/>
    <w:rsid w:val="00141A13"/>
    <w:rsid w:val="00141EA0"/>
    <w:rsid w:val="001515FD"/>
    <w:rsid w:val="001574C0"/>
    <w:rsid w:val="00160008"/>
    <w:rsid w:val="001606CF"/>
    <w:rsid w:val="0016128D"/>
    <w:rsid w:val="00162BD0"/>
    <w:rsid w:val="00164599"/>
    <w:rsid w:val="00165C2A"/>
    <w:rsid w:val="0017089D"/>
    <w:rsid w:val="001805A8"/>
    <w:rsid w:val="0019101A"/>
    <w:rsid w:val="00191CFE"/>
    <w:rsid w:val="00195C8E"/>
    <w:rsid w:val="00195CBF"/>
    <w:rsid w:val="001972D2"/>
    <w:rsid w:val="001A5383"/>
    <w:rsid w:val="001C358D"/>
    <w:rsid w:val="001C40A0"/>
    <w:rsid w:val="001C4EBD"/>
    <w:rsid w:val="001F1B27"/>
    <w:rsid w:val="00221EC0"/>
    <w:rsid w:val="002235F1"/>
    <w:rsid w:val="00231049"/>
    <w:rsid w:val="002314D2"/>
    <w:rsid w:val="0023305C"/>
    <w:rsid w:val="00241881"/>
    <w:rsid w:val="0024294C"/>
    <w:rsid w:val="002437D1"/>
    <w:rsid w:val="002461BA"/>
    <w:rsid w:val="00253878"/>
    <w:rsid w:val="002543D8"/>
    <w:rsid w:val="0025652F"/>
    <w:rsid w:val="002608F1"/>
    <w:rsid w:val="00263B6C"/>
    <w:rsid w:val="00272939"/>
    <w:rsid w:val="0027590B"/>
    <w:rsid w:val="00275AA1"/>
    <w:rsid w:val="002835F6"/>
    <w:rsid w:val="00285969"/>
    <w:rsid w:val="00295B30"/>
    <w:rsid w:val="00296BB1"/>
    <w:rsid w:val="002A25B8"/>
    <w:rsid w:val="002A74EF"/>
    <w:rsid w:val="002A77EC"/>
    <w:rsid w:val="002A7A31"/>
    <w:rsid w:val="002B3829"/>
    <w:rsid w:val="002C22EF"/>
    <w:rsid w:val="002D4745"/>
    <w:rsid w:val="002D588D"/>
    <w:rsid w:val="002E1FB6"/>
    <w:rsid w:val="002E454C"/>
    <w:rsid w:val="002F13A8"/>
    <w:rsid w:val="002F26A5"/>
    <w:rsid w:val="002F617F"/>
    <w:rsid w:val="00300109"/>
    <w:rsid w:val="00301755"/>
    <w:rsid w:val="0030665E"/>
    <w:rsid w:val="00306894"/>
    <w:rsid w:val="003074FE"/>
    <w:rsid w:val="003122F4"/>
    <w:rsid w:val="003268D5"/>
    <w:rsid w:val="00334176"/>
    <w:rsid w:val="0033755F"/>
    <w:rsid w:val="003448F6"/>
    <w:rsid w:val="00350388"/>
    <w:rsid w:val="00350759"/>
    <w:rsid w:val="00354D27"/>
    <w:rsid w:val="0035738A"/>
    <w:rsid w:val="00372D99"/>
    <w:rsid w:val="003744B0"/>
    <w:rsid w:val="00375655"/>
    <w:rsid w:val="003858A6"/>
    <w:rsid w:val="0039150C"/>
    <w:rsid w:val="00392DCC"/>
    <w:rsid w:val="00397BB5"/>
    <w:rsid w:val="003A5B36"/>
    <w:rsid w:val="003C24B4"/>
    <w:rsid w:val="003C6534"/>
    <w:rsid w:val="003E20D6"/>
    <w:rsid w:val="003E4D87"/>
    <w:rsid w:val="00401082"/>
    <w:rsid w:val="00410819"/>
    <w:rsid w:val="00412369"/>
    <w:rsid w:val="00416762"/>
    <w:rsid w:val="00416E55"/>
    <w:rsid w:val="00420CD3"/>
    <w:rsid w:val="00421955"/>
    <w:rsid w:val="004233EB"/>
    <w:rsid w:val="0042518A"/>
    <w:rsid w:val="004276A0"/>
    <w:rsid w:val="004327A3"/>
    <w:rsid w:val="00437EE9"/>
    <w:rsid w:val="00444A63"/>
    <w:rsid w:val="00445265"/>
    <w:rsid w:val="004559CE"/>
    <w:rsid w:val="00460E1A"/>
    <w:rsid w:val="00463DF8"/>
    <w:rsid w:val="0046763F"/>
    <w:rsid w:val="00471F60"/>
    <w:rsid w:val="00475085"/>
    <w:rsid w:val="00476CF6"/>
    <w:rsid w:val="00477AA8"/>
    <w:rsid w:val="00492FCB"/>
    <w:rsid w:val="00497F86"/>
    <w:rsid w:val="004A0F11"/>
    <w:rsid w:val="004A3EAA"/>
    <w:rsid w:val="004A7D97"/>
    <w:rsid w:val="004B5133"/>
    <w:rsid w:val="004C2902"/>
    <w:rsid w:val="004C41B6"/>
    <w:rsid w:val="004D1036"/>
    <w:rsid w:val="004D6E37"/>
    <w:rsid w:val="004E00EA"/>
    <w:rsid w:val="004E307D"/>
    <w:rsid w:val="004E6B14"/>
    <w:rsid w:val="004E7897"/>
    <w:rsid w:val="004F4B92"/>
    <w:rsid w:val="005005F5"/>
    <w:rsid w:val="00501B6C"/>
    <w:rsid w:val="00502A9D"/>
    <w:rsid w:val="00516785"/>
    <w:rsid w:val="0052419D"/>
    <w:rsid w:val="005301F8"/>
    <w:rsid w:val="005312FC"/>
    <w:rsid w:val="00532C6D"/>
    <w:rsid w:val="0053569E"/>
    <w:rsid w:val="0053603D"/>
    <w:rsid w:val="0053742A"/>
    <w:rsid w:val="00537C85"/>
    <w:rsid w:val="00541D29"/>
    <w:rsid w:val="00543F23"/>
    <w:rsid w:val="00562F17"/>
    <w:rsid w:val="00565232"/>
    <w:rsid w:val="0056582C"/>
    <w:rsid w:val="00577281"/>
    <w:rsid w:val="005776B2"/>
    <w:rsid w:val="00586605"/>
    <w:rsid w:val="005868DE"/>
    <w:rsid w:val="005877AC"/>
    <w:rsid w:val="00594C70"/>
    <w:rsid w:val="005966B7"/>
    <w:rsid w:val="005B5E2A"/>
    <w:rsid w:val="005C02A4"/>
    <w:rsid w:val="005C20D2"/>
    <w:rsid w:val="005C32FE"/>
    <w:rsid w:val="005C503A"/>
    <w:rsid w:val="005C5571"/>
    <w:rsid w:val="005D024A"/>
    <w:rsid w:val="005D0973"/>
    <w:rsid w:val="005D3461"/>
    <w:rsid w:val="005D4FD4"/>
    <w:rsid w:val="005D6D64"/>
    <w:rsid w:val="00601650"/>
    <w:rsid w:val="00604EEF"/>
    <w:rsid w:val="00605AFD"/>
    <w:rsid w:val="00611F76"/>
    <w:rsid w:val="006123D4"/>
    <w:rsid w:val="0061445B"/>
    <w:rsid w:val="00624C4B"/>
    <w:rsid w:val="006469CC"/>
    <w:rsid w:val="00647692"/>
    <w:rsid w:val="00672B5D"/>
    <w:rsid w:val="0067622C"/>
    <w:rsid w:val="00682249"/>
    <w:rsid w:val="00685CF7"/>
    <w:rsid w:val="00686165"/>
    <w:rsid w:val="00691CB5"/>
    <w:rsid w:val="006923DF"/>
    <w:rsid w:val="006A37F5"/>
    <w:rsid w:val="006B38FF"/>
    <w:rsid w:val="006C1892"/>
    <w:rsid w:val="006C5B73"/>
    <w:rsid w:val="006C645D"/>
    <w:rsid w:val="006E2D2A"/>
    <w:rsid w:val="006E3CC3"/>
    <w:rsid w:val="00706E8E"/>
    <w:rsid w:val="00713A4C"/>
    <w:rsid w:val="007169B7"/>
    <w:rsid w:val="00722B53"/>
    <w:rsid w:val="007341BE"/>
    <w:rsid w:val="00742366"/>
    <w:rsid w:val="00744484"/>
    <w:rsid w:val="007509DD"/>
    <w:rsid w:val="00763474"/>
    <w:rsid w:val="00766184"/>
    <w:rsid w:val="00766BF2"/>
    <w:rsid w:val="00777FDA"/>
    <w:rsid w:val="0078257B"/>
    <w:rsid w:val="00783D75"/>
    <w:rsid w:val="00784C0A"/>
    <w:rsid w:val="00790447"/>
    <w:rsid w:val="00794B40"/>
    <w:rsid w:val="00796E26"/>
    <w:rsid w:val="007A1079"/>
    <w:rsid w:val="007B2677"/>
    <w:rsid w:val="007B76AB"/>
    <w:rsid w:val="007D592B"/>
    <w:rsid w:val="007D5AA6"/>
    <w:rsid w:val="007D7A91"/>
    <w:rsid w:val="007E6456"/>
    <w:rsid w:val="00811943"/>
    <w:rsid w:val="00815C81"/>
    <w:rsid w:val="008207F0"/>
    <w:rsid w:val="008311B8"/>
    <w:rsid w:val="00834243"/>
    <w:rsid w:val="008374C4"/>
    <w:rsid w:val="00847832"/>
    <w:rsid w:val="00857969"/>
    <w:rsid w:val="00866C1D"/>
    <w:rsid w:val="00871DE1"/>
    <w:rsid w:val="00882CC4"/>
    <w:rsid w:val="008844AC"/>
    <w:rsid w:val="00884926"/>
    <w:rsid w:val="0088666B"/>
    <w:rsid w:val="00897F46"/>
    <w:rsid w:val="008A1B2D"/>
    <w:rsid w:val="008C4B22"/>
    <w:rsid w:val="008C5EC0"/>
    <w:rsid w:val="008C7F71"/>
    <w:rsid w:val="008D339F"/>
    <w:rsid w:val="008D43B4"/>
    <w:rsid w:val="008E6292"/>
    <w:rsid w:val="008F23EB"/>
    <w:rsid w:val="0090289D"/>
    <w:rsid w:val="00906E61"/>
    <w:rsid w:val="00917E28"/>
    <w:rsid w:val="009250E6"/>
    <w:rsid w:val="00925AA5"/>
    <w:rsid w:val="0093540D"/>
    <w:rsid w:val="00937AF5"/>
    <w:rsid w:val="0094019D"/>
    <w:rsid w:val="00942C11"/>
    <w:rsid w:val="0094351F"/>
    <w:rsid w:val="009547F8"/>
    <w:rsid w:val="00962ACF"/>
    <w:rsid w:val="009729D4"/>
    <w:rsid w:val="00980759"/>
    <w:rsid w:val="009817B0"/>
    <w:rsid w:val="009821CE"/>
    <w:rsid w:val="009A277C"/>
    <w:rsid w:val="009A658F"/>
    <w:rsid w:val="009A65CD"/>
    <w:rsid w:val="009B088F"/>
    <w:rsid w:val="009B2249"/>
    <w:rsid w:val="009C2707"/>
    <w:rsid w:val="009C2D6C"/>
    <w:rsid w:val="009C4692"/>
    <w:rsid w:val="009D2CFF"/>
    <w:rsid w:val="009E04E4"/>
    <w:rsid w:val="009E0CA5"/>
    <w:rsid w:val="009E171B"/>
    <w:rsid w:val="00A00436"/>
    <w:rsid w:val="00A015E8"/>
    <w:rsid w:val="00A07D47"/>
    <w:rsid w:val="00A10593"/>
    <w:rsid w:val="00A12F62"/>
    <w:rsid w:val="00A14FE9"/>
    <w:rsid w:val="00A24911"/>
    <w:rsid w:val="00A3749B"/>
    <w:rsid w:val="00A37D87"/>
    <w:rsid w:val="00A50D88"/>
    <w:rsid w:val="00A54654"/>
    <w:rsid w:val="00A56923"/>
    <w:rsid w:val="00A62E42"/>
    <w:rsid w:val="00A631B1"/>
    <w:rsid w:val="00A64A71"/>
    <w:rsid w:val="00A65143"/>
    <w:rsid w:val="00A65CD3"/>
    <w:rsid w:val="00A7236C"/>
    <w:rsid w:val="00A72960"/>
    <w:rsid w:val="00A72D8F"/>
    <w:rsid w:val="00A74815"/>
    <w:rsid w:val="00A93401"/>
    <w:rsid w:val="00A97160"/>
    <w:rsid w:val="00AA7D7E"/>
    <w:rsid w:val="00AB738A"/>
    <w:rsid w:val="00AC102B"/>
    <w:rsid w:val="00AC3196"/>
    <w:rsid w:val="00AC4065"/>
    <w:rsid w:val="00AE2F90"/>
    <w:rsid w:val="00AE6E5B"/>
    <w:rsid w:val="00B01D93"/>
    <w:rsid w:val="00B03DD6"/>
    <w:rsid w:val="00B15227"/>
    <w:rsid w:val="00B1654F"/>
    <w:rsid w:val="00B214C6"/>
    <w:rsid w:val="00B27789"/>
    <w:rsid w:val="00B3583B"/>
    <w:rsid w:val="00B37A8F"/>
    <w:rsid w:val="00B55B04"/>
    <w:rsid w:val="00B65347"/>
    <w:rsid w:val="00B65DE1"/>
    <w:rsid w:val="00B66783"/>
    <w:rsid w:val="00B72AF0"/>
    <w:rsid w:val="00B737EB"/>
    <w:rsid w:val="00B775EE"/>
    <w:rsid w:val="00B87927"/>
    <w:rsid w:val="00B97308"/>
    <w:rsid w:val="00BB00F3"/>
    <w:rsid w:val="00BB0973"/>
    <w:rsid w:val="00BB39C9"/>
    <w:rsid w:val="00BC26AC"/>
    <w:rsid w:val="00BC6E69"/>
    <w:rsid w:val="00BD26AA"/>
    <w:rsid w:val="00BD2B12"/>
    <w:rsid w:val="00BD454F"/>
    <w:rsid w:val="00BD659D"/>
    <w:rsid w:val="00BE376C"/>
    <w:rsid w:val="00BE7EA5"/>
    <w:rsid w:val="00C01DCC"/>
    <w:rsid w:val="00C02EE8"/>
    <w:rsid w:val="00C17787"/>
    <w:rsid w:val="00C202B3"/>
    <w:rsid w:val="00C21EE0"/>
    <w:rsid w:val="00C26EE8"/>
    <w:rsid w:val="00C30297"/>
    <w:rsid w:val="00C50B48"/>
    <w:rsid w:val="00C555AC"/>
    <w:rsid w:val="00C60B0F"/>
    <w:rsid w:val="00C713ED"/>
    <w:rsid w:val="00C72318"/>
    <w:rsid w:val="00C723D6"/>
    <w:rsid w:val="00C724E6"/>
    <w:rsid w:val="00C738B4"/>
    <w:rsid w:val="00C747A5"/>
    <w:rsid w:val="00C85314"/>
    <w:rsid w:val="00C964E0"/>
    <w:rsid w:val="00CA0116"/>
    <w:rsid w:val="00CA4BC0"/>
    <w:rsid w:val="00CA5CA8"/>
    <w:rsid w:val="00CB0157"/>
    <w:rsid w:val="00CB28E9"/>
    <w:rsid w:val="00CB5205"/>
    <w:rsid w:val="00CC2F27"/>
    <w:rsid w:val="00CC38AC"/>
    <w:rsid w:val="00CC559D"/>
    <w:rsid w:val="00CD0C13"/>
    <w:rsid w:val="00CD654B"/>
    <w:rsid w:val="00CE223E"/>
    <w:rsid w:val="00CE7B45"/>
    <w:rsid w:val="00CF3F0D"/>
    <w:rsid w:val="00D0497B"/>
    <w:rsid w:val="00D101F7"/>
    <w:rsid w:val="00D145F5"/>
    <w:rsid w:val="00D316A1"/>
    <w:rsid w:val="00D3285B"/>
    <w:rsid w:val="00D329F1"/>
    <w:rsid w:val="00D355F0"/>
    <w:rsid w:val="00D43AC8"/>
    <w:rsid w:val="00D50879"/>
    <w:rsid w:val="00D51610"/>
    <w:rsid w:val="00D54098"/>
    <w:rsid w:val="00D54F46"/>
    <w:rsid w:val="00D56113"/>
    <w:rsid w:val="00D643F4"/>
    <w:rsid w:val="00D833D9"/>
    <w:rsid w:val="00D83BD9"/>
    <w:rsid w:val="00D94DCF"/>
    <w:rsid w:val="00D94EAE"/>
    <w:rsid w:val="00DA586F"/>
    <w:rsid w:val="00DB08DA"/>
    <w:rsid w:val="00DB5E34"/>
    <w:rsid w:val="00DB7F09"/>
    <w:rsid w:val="00DC00E8"/>
    <w:rsid w:val="00DC1C56"/>
    <w:rsid w:val="00DC4756"/>
    <w:rsid w:val="00DC6379"/>
    <w:rsid w:val="00DC6AAD"/>
    <w:rsid w:val="00DC7A3B"/>
    <w:rsid w:val="00DD0545"/>
    <w:rsid w:val="00DE2763"/>
    <w:rsid w:val="00DE3A53"/>
    <w:rsid w:val="00DE3C77"/>
    <w:rsid w:val="00DE70F1"/>
    <w:rsid w:val="00DF6F61"/>
    <w:rsid w:val="00E03934"/>
    <w:rsid w:val="00E07921"/>
    <w:rsid w:val="00E101C6"/>
    <w:rsid w:val="00E14C06"/>
    <w:rsid w:val="00E22D51"/>
    <w:rsid w:val="00E349A7"/>
    <w:rsid w:val="00E37CD2"/>
    <w:rsid w:val="00E50E7C"/>
    <w:rsid w:val="00E51545"/>
    <w:rsid w:val="00E51D9E"/>
    <w:rsid w:val="00E537D1"/>
    <w:rsid w:val="00E567E6"/>
    <w:rsid w:val="00E56971"/>
    <w:rsid w:val="00E61484"/>
    <w:rsid w:val="00E65DDD"/>
    <w:rsid w:val="00E7017C"/>
    <w:rsid w:val="00E711D7"/>
    <w:rsid w:val="00E815E1"/>
    <w:rsid w:val="00E8688E"/>
    <w:rsid w:val="00E902B0"/>
    <w:rsid w:val="00E902E8"/>
    <w:rsid w:val="00E9296B"/>
    <w:rsid w:val="00E97C19"/>
    <w:rsid w:val="00EA23AC"/>
    <w:rsid w:val="00EA398F"/>
    <w:rsid w:val="00EA7C3D"/>
    <w:rsid w:val="00EB4B0B"/>
    <w:rsid w:val="00EB6878"/>
    <w:rsid w:val="00EC1E0E"/>
    <w:rsid w:val="00EC236D"/>
    <w:rsid w:val="00EC6B16"/>
    <w:rsid w:val="00ED5A20"/>
    <w:rsid w:val="00EE1447"/>
    <w:rsid w:val="00EE1BF1"/>
    <w:rsid w:val="00EE4864"/>
    <w:rsid w:val="00EE7744"/>
    <w:rsid w:val="00EF03E1"/>
    <w:rsid w:val="00EF145E"/>
    <w:rsid w:val="00EF2BBB"/>
    <w:rsid w:val="00F0082D"/>
    <w:rsid w:val="00F015AB"/>
    <w:rsid w:val="00F045E0"/>
    <w:rsid w:val="00F07C90"/>
    <w:rsid w:val="00F11922"/>
    <w:rsid w:val="00F20F8A"/>
    <w:rsid w:val="00F304A4"/>
    <w:rsid w:val="00F33DB8"/>
    <w:rsid w:val="00F514B8"/>
    <w:rsid w:val="00F51D7F"/>
    <w:rsid w:val="00F57BED"/>
    <w:rsid w:val="00F60198"/>
    <w:rsid w:val="00F669CD"/>
    <w:rsid w:val="00F737DB"/>
    <w:rsid w:val="00F73BCE"/>
    <w:rsid w:val="00F7613A"/>
    <w:rsid w:val="00F82746"/>
    <w:rsid w:val="00F836F9"/>
    <w:rsid w:val="00F845D7"/>
    <w:rsid w:val="00F92279"/>
    <w:rsid w:val="00FA57BC"/>
    <w:rsid w:val="00FB4D21"/>
    <w:rsid w:val="00FB762B"/>
    <w:rsid w:val="00FC6A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77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232"/>
    <w:pPr>
      <w:spacing w:before="240" w:after="240" w:line="240" w:lineRule="auto"/>
    </w:pPr>
    <w:rPr>
      <w:rFonts w:eastAsia="Times New Roman" w:cs="Times New Roman"/>
      <w:color w:val="000000" w:themeColor="text1"/>
      <w:szCs w:val="20"/>
      <w:lang w:eastAsia="en-AU"/>
    </w:rPr>
  </w:style>
  <w:style w:type="paragraph" w:styleId="Heading1">
    <w:name w:val="heading 1"/>
    <w:basedOn w:val="HeadingBase"/>
    <w:next w:val="Normal"/>
    <w:link w:val="Heading1Char"/>
    <w:qFormat/>
    <w:rsid w:val="0039150C"/>
    <w:pPr>
      <w:spacing w:before="600" w:line="460" w:lineRule="exact"/>
      <w:outlineLvl w:val="0"/>
    </w:pPr>
    <w:rPr>
      <w:b/>
      <w:bCs w:val="0"/>
      <w:sz w:val="56"/>
    </w:rPr>
  </w:style>
  <w:style w:type="paragraph" w:styleId="Heading2">
    <w:name w:val="heading 2"/>
    <w:basedOn w:val="HeadingBase"/>
    <w:next w:val="Normal"/>
    <w:link w:val="Heading2Char"/>
    <w:qFormat/>
    <w:rsid w:val="0039150C"/>
    <w:pPr>
      <w:spacing w:before="360" w:line="460" w:lineRule="exact"/>
      <w:outlineLvl w:val="1"/>
    </w:pPr>
    <w:rPr>
      <w:bCs w:val="0"/>
      <w:iCs/>
      <w:color w:val="4D4D4D" w:themeColor="accent6"/>
      <w:szCs w:val="28"/>
    </w:rPr>
  </w:style>
  <w:style w:type="paragraph" w:styleId="Heading3">
    <w:name w:val="heading 3"/>
    <w:basedOn w:val="HeadingBase"/>
    <w:next w:val="Normal"/>
    <w:link w:val="Heading3Char"/>
    <w:qFormat/>
    <w:rsid w:val="0039150C"/>
    <w:pPr>
      <w:spacing w:before="320" w:line="276" w:lineRule="auto"/>
      <w:outlineLvl w:val="2"/>
    </w:pPr>
    <w:rPr>
      <w:bCs w:val="0"/>
      <w:color w:val="5F5F5F" w:themeColor="accent5"/>
      <w:sz w:val="36"/>
      <w:szCs w:val="26"/>
    </w:rPr>
  </w:style>
  <w:style w:type="paragraph" w:styleId="Heading4">
    <w:name w:val="heading 4"/>
    <w:basedOn w:val="HeadingBase"/>
    <w:next w:val="Normal"/>
    <w:link w:val="Heading4Char"/>
    <w:qFormat/>
    <w:rsid w:val="0039150C"/>
    <w:pPr>
      <w:spacing w:before="280" w:line="276" w:lineRule="auto"/>
      <w:outlineLvl w:val="3"/>
    </w:pPr>
    <w:rPr>
      <w:rFonts w:ascii="Calibri Light" w:hAnsi="Calibri Light"/>
      <w:b/>
      <w:bCs w:val="0"/>
      <w:sz w:val="28"/>
      <w:szCs w:val="26"/>
    </w:rPr>
  </w:style>
  <w:style w:type="paragraph" w:styleId="Heading5">
    <w:name w:val="heading 5"/>
    <w:basedOn w:val="HeadingBase"/>
    <w:next w:val="Normal"/>
    <w:link w:val="Heading5Char"/>
    <w:rsid w:val="00296BB1"/>
    <w:pPr>
      <w:spacing w:before="240" w:after="0" w:line="276" w:lineRule="auto"/>
      <w:outlineLvl w:val="4"/>
    </w:pPr>
    <w:rPr>
      <w:bCs w:val="0"/>
      <w:iCs/>
      <w:color w:val="4D4D4D" w:themeColor="accent6"/>
      <w:sz w:val="25"/>
    </w:rPr>
  </w:style>
  <w:style w:type="paragraph" w:styleId="Heading6">
    <w:name w:val="heading 6"/>
    <w:basedOn w:val="HeadingBase"/>
    <w:next w:val="Normal"/>
    <w:link w:val="Heading6Char"/>
    <w:rsid w:val="00296BB1"/>
    <w:pPr>
      <w:spacing w:before="240" w:after="0" w:line="276" w:lineRule="auto"/>
      <w:outlineLvl w:val="5"/>
    </w:pPr>
    <w:rPr>
      <w:rFonts w:ascii="Calibri Light" w:hAnsi="Calibri Light"/>
      <w:b/>
      <w:bCs w:val="0"/>
      <w:color w:val="5F5F5F" w:themeColor="accent5"/>
      <w:sz w:val="23"/>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50C"/>
    <w:rPr>
      <w:rFonts w:asciiTheme="majorHAnsi" w:eastAsia="Times New Roman" w:hAnsiTheme="majorHAnsi" w:cs="Arial"/>
      <w:b/>
      <w:color w:val="000000" w:themeColor="text1"/>
      <w:kern w:val="32"/>
      <w:sz w:val="56"/>
      <w:szCs w:val="36"/>
      <w:lang w:eastAsia="en-AU"/>
    </w:rPr>
  </w:style>
  <w:style w:type="character" w:customStyle="1" w:styleId="Heading2Char">
    <w:name w:val="Heading 2 Char"/>
    <w:basedOn w:val="DefaultParagraphFont"/>
    <w:link w:val="Heading2"/>
    <w:rsid w:val="0039150C"/>
    <w:rPr>
      <w:rFonts w:asciiTheme="majorHAnsi" w:eastAsia="Times New Roman" w:hAnsiTheme="majorHAnsi" w:cs="Arial"/>
      <w:iCs/>
      <w:color w:val="4D4D4D" w:themeColor="accent6"/>
      <w:kern w:val="32"/>
      <w:sz w:val="48"/>
      <w:szCs w:val="28"/>
      <w:lang w:eastAsia="en-AU"/>
    </w:rPr>
  </w:style>
  <w:style w:type="character" w:customStyle="1" w:styleId="Heading3Char">
    <w:name w:val="Heading 3 Char"/>
    <w:basedOn w:val="DefaultParagraphFont"/>
    <w:link w:val="Heading3"/>
    <w:rsid w:val="0039150C"/>
    <w:rPr>
      <w:rFonts w:asciiTheme="majorHAnsi" w:eastAsia="Times New Roman" w:hAnsiTheme="majorHAnsi" w:cs="Arial"/>
      <w:color w:val="5F5F5F" w:themeColor="accent5"/>
      <w:kern w:val="32"/>
      <w:sz w:val="36"/>
      <w:szCs w:val="26"/>
      <w:lang w:eastAsia="en-AU"/>
    </w:rPr>
  </w:style>
  <w:style w:type="character" w:customStyle="1" w:styleId="Heading4Char">
    <w:name w:val="Heading 4 Char"/>
    <w:basedOn w:val="DefaultParagraphFont"/>
    <w:link w:val="Heading4"/>
    <w:rsid w:val="0039150C"/>
    <w:rPr>
      <w:rFonts w:ascii="Calibri Light" w:eastAsia="Times New Roman" w:hAnsi="Calibri Light" w:cs="Arial"/>
      <w:b/>
      <w:color w:val="000000" w:themeColor="text1"/>
      <w:kern w:val="32"/>
      <w:sz w:val="28"/>
      <w:szCs w:val="26"/>
      <w:lang w:eastAsia="en-AU"/>
    </w:rPr>
  </w:style>
  <w:style w:type="character" w:customStyle="1" w:styleId="Heading5Char">
    <w:name w:val="Heading 5 Char"/>
    <w:basedOn w:val="DefaultParagraphFont"/>
    <w:link w:val="Heading5"/>
    <w:rsid w:val="00296BB1"/>
    <w:rPr>
      <w:rFonts w:asciiTheme="majorHAnsi" w:eastAsia="Times New Roman" w:hAnsiTheme="majorHAnsi" w:cs="Arial"/>
      <w:iCs/>
      <w:color w:val="4D4D4D" w:themeColor="accent6"/>
      <w:kern w:val="32"/>
      <w:sz w:val="25"/>
      <w:szCs w:val="36"/>
      <w:lang w:eastAsia="en-AU"/>
    </w:rPr>
  </w:style>
  <w:style w:type="character" w:customStyle="1" w:styleId="Heading6Char">
    <w:name w:val="Heading 6 Char"/>
    <w:basedOn w:val="DefaultParagraphFont"/>
    <w:link w:val="Heading6"/>
    <w:rsid w:val="00296BB1"/>
    <w:rPr>
      <w:rFonts w:ascii="Calibri Light" w:eastAsia="Times New Roman" w:hAnsi="Calibri Light" w:cs="Arial"/>
      <w:b/>
      <w:color w:val="5F5F5F" w:themeColor="accent5"/>
      <w:kern w:val="32"/>
      <w:sz w:val="23"/>
      <w:lang w:eastAsia="en-AU"/>
    </w:rPr>
  </w:style>
  <w:style w:type="paragraph" w:customStyle="1" w:styleId="ChartGraphic">
    <w:name w:val="Chart Graphic"/>
    <w:basedOn w:val="Normal"/>
    <w:next w:val="Normal"/>
    <w:rsid w:val="009250E6"/>
    <w:pPr>
      <w:keepNext/>
      <w:spacing w:before="0" w:after="0"/>
      <w:jc w:val="center"/>
    </w:pPr>
    <w:rPr>
      <w:color w:val="4D4D4D" w:themeColor="accent6"/>
      <w:sz w:val="20"/>
    </w:rPr>
  </w:style>
  <w:style w:type="paragraph" w:customStyle="1" w:styleId="AlphaParagraph">
    <w:name w:val="Alpha Paragraph"/>
    <w:basedOn w:val="Normal"/>
    <w:qFormat/>
    <w:rsid w:val="000E0B74"/>
    <w:pPr>
      <w:numPr>
        <w:ilvl w:val="1"/>
        <w:numId w:val="10"/>
      </w:numPr>
      <w:spacing w:before="0"/>
    </w:pPr>
  </w:style>
  <w:style w:type="character" w:customStyle="1" w:styleId="DashChar">
    <w:name w:val="Dash Char"/>
    <w:basedOn w:val="DefaultParagraphFont"/>
    <w:link w:val="Dash"/>
    <w:locked/>
    <w:rsid w:val="00D54098"/>
    <w:rPr>
      <w:rFonts w:eastAsia="Times New Roman" w:cs="Times New Roman"/>
      <w:color w:val="000000" w:themeColor="text1"/>
      <w:szCs w:val="20"/>
      <w:lang w:eastAsia="en-AU"/>
    </w:rPr>
  </w:style>
  <w:style w:type="character" w:customStyle="1" w:styleId="DoubleDotChar">
    <w:name w:val="Double Dot Char"/>
    <w:basedOn w:val="DefaultParagraphFont"/>
    <w:link w:val="DoubleDot"/>
    <w:locked/>
    <w:rsid w:val="00D54098"/>
    <w:rPr>
      <w:rFonts w:eastAsia="Times New Roman" w:cs="Times New Roman"/>
      <w:color w:val="000000" w:themeColor="text1"/>
      <w:szCs w:val="20"/>
      <w:lang w:eastAsia="en-AU"/>
    </w:rPr>
  </w:style>
  <w:style w:type="character" w:customStyle="1" w:styleId="BulletChar">
    <w:name w:val="Bullet Char"/>
    <w:basedOn w:val="DefaultParagraphFont"/>
    <w:link w:val="Bullet"/>
    <w:locked/>
    <w:rsid w:val="00D54098"/>
    <w:rPr>
      <w:rFonts w:eastAsia="Times New Roman" w:cs="Times New Roman"/>
      <w:color w:val="000000" w:themeColor="text1"/>
      <w:szCs w:val="20"/>
      <w:lang w:eastAsia="en-AU"/>
    </w:rPr>
  </w:style>
  <w:style w:type="paragraph" w:customStyle="1" w:styleId="BoxHeading">
    <w:name w:val="Box Heading"/>
    <w:basedOn w:val="Normal"/>
    <w:next w:val="Normal"/>
    <w:rsid w:val="00565232"/>
    <w:pPr>
      <w:keepNext/>
      <w:spacing w:before="120"/>
    </w:pPr>
    <w:rPr>
      <w:b/>
      <w:sz w:val="26"/>
      <w:szCs w:val="26"/>
    </w:rPr>
  </w:style>
  <w:style w:type="paragraph" w:customStyle="1" w:styleId="BoxText">
    <w:name w:val="Box Text"/>
    <w:basedOn w:val="Normal"/>
    <w:link w:val="BoxTextChar"/>
    <w:rsid w:val="00A65143"/>
    <w:pPr>
      <w:spacing w:before="120" w:after="120"/>
    </w:pPr>
    <w:rPr>
      <w:sz w:val="20"/>
    </w:rPr>
  </w:style>
  <w:style w:type="paragraph" w:customStyle="1" w:styleId="Bullet">
    <w:name w:val="Bullet"/>
    <w:basedOn w:val="Normal"/>
    <w:link w:val="BulletChar"/>
    <w:qFormat/>
    <w:rsid w:val="00D54098"/>
    <w:pPr>
      <w:numPr>
        <w:numId w:val="19"/>
      </w:numPr>
      <w:tabs>
        <w:tab w:val="clear" w:pos="520"/>
      </w:tabs>
      <w:spacing w:before="120" w:after="60" w:line="276" w:lineRule="auto"/>
    </w:pPr>
  </w:style>
  <w:style w:type="paragraph" w:customStyle="1" w:styleId="ChartandTableFootnoteAlpha">
    <w:name w:val="Chart and Table Footnote Alpha"/>
    <w:rsid w:val="0039150C"/>
    <w:pPr>
      <w:numPr>
        <w:numId w:val="7"/>
      </w:numPr>
      <w:tabs>
        <w:tab w:val="num" w:pos="284"/>
      </w:tabs>
      <w:spacing w:before="40" w:after="40" w:line="240" w:lineRule="auto"/>
      <w:ind w:left="284" w:hanging="284"/>
      <w:contextualSpacing/>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39150C"/>
  </w:style>
  <w:style w:type="paragraph" w:customStyle="1" w:styleId="ChartorTableNote">
    <w:name w:val="Chart or Table Note"/>
    <w:next w:val="Normal"/>
    <w:rsid w:val="0039150C"/>
    <w:pPr>
      <w:spacing w:before="60" w:after="4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39150C"/>
    <w:rPr>
      <w:bCs/>
    </w:rPr>
  </w:style>
  <w:style w:type="paragraph" w:customStyle="1" w:styleId="ReportDate">
    <w:name w:val="Report Date"/>
    <w:basedOn w:val="Normal"/>
    <w:link w:val="ReportDateChar"/>
    <w:rsid w:val="004E307D"/>
    <w:pPr>
      <w:keepNext/>
      <w:spacing w:before="0" w:after="360"/>
    </w:pPr>
    <w:rPr>
      <w:color w:val="auto"/>
      <w:sz w:val="32"/>
    </w:rPr>
  </w:style>
  <w:style w:type="paragraph" w:customStyle="1" w:styleId="Dash">
    <w:name w:val="Dash"/>
    <w:basedOn w:val="Normal"/>
    <w:link w:val="DashChar"/>
    <w:qFormat/>
    <w:rsid w:val="00D54098"/>
    <w:pPr>
      <w:numPr>
        <w:ilvl w:val="1"/>
        <w:numId w:val="19"/>
      </w:numPr>
      <w:tabs>
        <w:tab w:val="clear" w:pos="804"/>
      </w:tabs>
      <w:spacing w:before="120" w:after="120"/>
    </w:pPr>
  </w:style>
  <w:style w:type="paragraph" w:customStyle="1" w:styleId="DoubleDot">
    <w:name w:val="Double Dot"/>
    <w:basedOn w:val="Normal"/>
    <w:link w:val="DoubleDotChar"/>
    <w:qFormat/>
    <w:rsid w:val="00D54098"/>
    <w:pPr>
      <w:numPr>
        <w:ilvl w:val="2"/>
        <w:numId w:val="19"/>
      </w:numPr>
      <w:tabs>
        <w:tab w:val="clear" w:pos="1088"/>
      </w:tabs>
      <w:spacing w:before="120" w:after="120"/>
    </w:pPr>
  </w:style>
  <w:style w:type="paragraph" w:customStyle="1" w:styleId="TableMainHeading">
    <w:name w:val="Table Main Heading"/>
    <w:basedOn w:val="Heading3"/>
    <w:next w:val="Normal"/>
    <w:rsid w:val="00D54F46"/>
    <w:pPr>
      <w:spacing w:before="240" w:after="60"/>
      <w:outlineLvl w:val="3"/>
    </w:pPr>
    <w:rPr>
      <w:b/>
      <w:color w:val="auto"/>
      <w:sz w:val="26"/>
    </w:rPr>
  </w:style>
  <w:style w:type="paragraph" w:customStyle="1" w:styleId="FooterEven">
    <w:name w:val="Footer Even"/>
    <w:basedOn w:val="Footer"/>
    <w:rsid w:val="008A1B2D"/>
    <w:pPr>
      <w:keepNext/>
      <w:tabs>
        <w:tab w:val="clear" w:pos="4513"/>
        <w:tab w:val="clear" w:pos="9026"/>
      </w:tabs>
      <w:jc w:val="left"/>
    </w:pPr>
    <w:rPr>
      <w:noProof/>
      <w:color w:val="auto"/>
    </w:rPr>
  </w:style>
  <w:style w:type="paragraph" w:customStyle="1" w:styleId="FooterOdd">
    <w:name w:val="Footer Odd"/>
    <w:basedOn w:val="Footer"/>
    <w:rsid w:val="008A1B2D"/>
    <w:pPr>
      <w:keepNext/>
      <w:tabs>
        <w:tab w:val="clear" w:pos="4513"/>
        <w:tab w:val="clear" w:pos="9026"/>
      </w:tabs>
      <w:jc w:val="right"/>
    </w:pPr>
    <w:rPr>
      <w:color w:val="auto"/>
    </w:rPr>
  </w:style>
  <w:style w:type="character" w:styleId="Hyperlink">
    <w:name w:val="Hyperlink"/>
    <w:basedOn w:val="DefaultParagraphFont"/>
    <w:uiPriority w:val="99"/>
    <w:rsid w:val="006923DF"/>
    <w:rPr>
      <w:color w:val="3A6FAF"/>
      <w:u w:val="none"/>
    </w:rPr>
  </w:style>
  <w:style w:type="paragraph" w:customStyle="1" w:styleId="OutlineNumbered1">
    <w:name w:val="Outline Numbered 1"/>
    <w:basedOn w:val="Normal"/>
    <w:rsid w:val="000E0B74"/>
    <w:pPr>
      <w:numPr>
        <w:numId w:val="6"/>
      </w:numPr>
      <w:spacing w:before="0"/>
    </w:pPr>
  </w:style>
  <w:style w:type="paragraph" w:customStyle="1" w:styleId="OutlineNumbered2">
    <w:name w:val="Outline Numbered 2"/>
    <w:basedOn w:val="Normal"/>
    <w:rsid w:val="000E0B74"/>
    <w:pPr>
      <w:numPr>
        <w:ilvl w:val="1"/>
        <w:numId w:val="6"/>
      </w:numPr>
      <w:spacing w:before="0"/>
    </w:pPr>
  </w:style>
  <w:style w:type="paragraph" w:customStyle="1" w:styleId="OutlineNumbered3">
    <w:name w:val="Outline Numbered 3"/>
    <w:basedOn w:val="Normal"/>
    <w:rsid w:val="000E0B74"/>
    <w:pPr>
      <w:numPr>
        <w:ilvl w:val="2"/>
        <w:numId w:val="6"/>
      </w:numPr>
      <w:spacing w:before="0"/>
    </w:pPr>
  </w:style>
  <w:style w:type="paragraph" w:customStyle="1" w:styleId="SingleParagraph">
    <w:name w:val="Single Paragraph"/>
    <w:basedOn w:val="Normal"/>
    <w:link w:val="SingleParagraphChar"/>
    <w:rsid w:val="000E0B74"/>
    <w:pPr>
      <w:spacing w:before="0" w:after="0"/>
    </w:pPr>
  </w:style>
  <w:style w:type="paragraph" w:customStyle="1" w:styleId="TableSecondHeading">
    <w:name w:val="Table Second Heading"/>
    <w:basedOn w:val="Normal"/>
    <w:next w:val="Normal"/>
    <w:rsid w:val="0039150C"/>
    <w:pPr>
      <w:keepNext/>
      <w:spacing w:before="60" w:after="60"/>
    </w:pPr>
    <w:rPr>
      <w:b/>
      <w:color w:val="5F5F5F" w:themeColor="accent5"/>
      <w:sz w:val="23"/>
    </w:rPr>
  </w:style>
  <w:style w:type="paragraph" w:customStyle="1" w:styleId="TableColumnHeadingCentred">
    <w:name w:val="Table Column Heading Centred"/>
    <w:basedOn w:val="TableTextLeft"/>
    <w:rsid w:val="00296BB1"/>
    <w:pPr>
      <w:jc w:val="center"/>
    </w:pPr>
    <w:rPr>
      <w:b/>
      <w:sz w:val="20"/>
    </w:rPr>
  </w:style>
  <w:style w:type="paragraph" w:customStyle="1" w:styleId="TableColumnHeadingLeft">
    <w:name w:val="Table Column Heading Left"/>
    <w:basedOn w:val="TableTextLeft"/>
    <w:rsid w:val="00296BB1"/>
    <w:rPr>
      <w:b/>
      <w:sz w:val="20"/>
    </w:rPr>
  </w:style>
  <w:style w:type="paragraph" w:customStyle="1" w:styleId="TableColumnHeadingRight">
    <w:name w:val="Table Column Heading Right"/>
    <w:basedOn w:val="TableTextLeft"/>
    <w:rsid w:val="00296BB1"/>
    <w:pPr>
      <w:jc w:val="right"/>
    </w:pPr>
    <w:rPr>
      <w:b/>
      <w:sz w:val="20"/>
    </w:rPr>
  </w:style>
  <w:style w:type="table" w:styleId="TableGrid">
    <w:name w:val="Table Grid"/>
    <w:basedOn w:val="TableNormal"/>
    <w:uiPriority w:val="59"/>
    <w:rsid w:val="00D316A1"/>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E6E6E6" w:themeColor="accent1"/>
        <w:sz w:val="20"/>
      </w:rPr>
      <w:tblPr/>
      <w:tcPr>
        <w:shd w:val="clear" w:color="auto" w:fill="F8F8F8" w:themeFill="background2"/>
      </w:tcPr>
    </w:tblStylePr>
  </w:style>
  <w:style w:type="paragraph" w:customStyle="1" w:styleId="TableTextCentered">
    <w:name w:val="Table Text Centered"/>
    <w:basedOn w:val="TableTextRight"/>
    <w:rsid w:val="00296BB1"/>
    <w:pPr>
      <w:jc w:val="center"/>
    </w:pPr>
    <w:rPr>
      <w:color w:val="auto"/>
    </w:rPr>
  </w:style>
  <w:style w:type="paragraph" w:customStyle="1" w:styleId="TableTextLeft">
    <w:name w:val="Table Text Left"/>
    <w:basedOn w:val="TableTextRight"/>
    <w:rsid w:val="00296BB1"/>
    <w:pPr>
      <w:jc w:val="left"/>
    </w:pPr>
    <w:rPr>
      <w:color w:val="auto"/>
    </w:rPr>
  </w:style>
  <w:style w:type="paragraph" w:customStyle="1" w:styleId="TableTextRight">
    <w:name w:val="Table Text Right"/>
    <w:basedOn w:val="Normal"/>
    <w:rsid w:val="00296BB1"/>
    <w:pPr>
      <w:spacing w:before="40" w:after="40"/>
      <w:jc w:val="right"/>
    </w:pPr>
    <w:rPr>
      <w:sz w:val="18"/>
    </w:rPr>
  </w:style>
  <w:style w:type="paragraph" w:styleId="TOC1">
    <w:name w:val="toc 1"/>
    <w:basedOn w:val="Normal"/>
    <w:next w:val="Normal"/>
    <w:uiPriority w:val="39"/>
    <w:rsid w:val="00565232"/>
    <w:pPr>
      <w:keepNext/>
      <w:tabs>
        <w:tab w:val="right" w:leader="dot" w:pos="9072"/>
      </w:tabs>
      <w:spacing w:before="180" w:after="0"/>
      <w:ind w:right="-2"/>
    </w:pPr>
    <w:rPr>
      <w:b/>
      <w:noProof/>
      <w:sz w:val="24"/>
      <w:szCs w:val="22"/>
    </w:rPr>
  </w:style>
  <w:style w:type="paragraph" w:styleId="TOC2">
    <w:name w:val="toc 2"/>
    <w:basedOn w:val="Normal"/>
    <w:next w:val="Normal"/>
    <w:uiPriority w:val="39"/>
    <w:rsid w:val="002608F1"/>
    <w:pPr>
      <w:keepNext/>
      <w:tabs>
        <w:tab w:val="right" w:leader="dot" w:pos="9072"/>
      </w:tabs>
      <w:spacing w:before="40" w:after="20"/>
      <w:ind w:right="-2"/>
    </w:pPr>
    <w:rPr>
      <w:noProof/>
      <w:color w:val="000000" w:themeColor="text2"/>
    </w:rPr>
  </w:style>
  <w:style w:type="paragraph" w:styleId="TOC3">
    <w:name w:val="toc 3"/>
    <w:basedOn w:val="Normal"/>
    <w:next w:val="Normal"/>
    <w:uiPriority w:val="39"/>
    <w:rsid w:val="002608F1"/>
    <w:pPr>
      <w:tabs>
        <w:tab w:val="right" w:leader="dot" w:pos="9072"/>
      </w:tabs>
      <w:spacing w:before="20" w:after="0"/>
      <w:ind w:left="284" w:right="-2"/>
    </w:pPr>
    <w:rPr>
      <w:rFonts w:cs="Calibri"/>
      <w:noProof/>
    </w:rPr>
  </w:style>
  <w:style w:type="numbering" w:customStyle="1" w:styleId="OutlineList">
    <w:name w:val="OutlineList"/>
    <w:uiPriority w:val="99"/>
    <w:rsid w:val="000E0B74"/>
    <w:pPr>
      <w:numPr>
        <w:numId w:val="4"/>
      </w:numPr>
    </w:pPr>
  </w:style>
  <w:style w:type="numbering" w:customStyle="1" w:styleId="BulletedList">
    <w:name w:val="Bulleted List"/>
    <w:uiPriority w:val="99"/>
    <w:rsid w:val="00611F76"/>
    <w:pPr>
      <w:numPr>
        <w:numId w:val="1"/>
      </w:numPr>
    </w:pPr>
  </w:style>
  <w:style w:type="numbering" w:customStyle="1" w:styleId="BoxBulletedList">
    <w:name w:val="Box Bulleted List"/>
    <w:uiPriority w:val="99"/>
    <w:rsid w:val="000E0B74"/>
    <w:pPr>
      <w:numPr>
        <w:numId w:val="2"/>
      </w:numPr>
    </w:pPr>
  </w:style>
  <w:style w:type="numbering" w:customStyle="1" w:styleId="OneLevelList">
    <w:name w:val="OneLevelList"/>
    <w:uiPriority w:val="99"/>
    <w:rsid w:val="000E0B74"/>
    <w:pPr>
      <w:numPr>
        <w:numId w:val="3"/>
      </w:numPr>
    </w:pPr>
  </w:style>
  <w:style w:type="numbering" w:customStyle="1" w:styleId="ChartandTableFootnoteAlphaList">
    <w:name w:val="ChartandTableFootnoteAlphaList"/>
    <w:uiPriority w:val="99"/>
    <w:rsid w:val="000E0B74"/>
    <w:pPr>
      <w:numPr>
        <w:numId w:val="17"/>
      </w:numPr>
    </w:pPr>
  </w:style>
  <w:style w:type="paragraph" w:customStyle="1" w:styleId="Heading1Numbered">
    <w:name w:val="Heading 1 Numbered"/>
    <w:basedOn w:val="Heading1"/>
    <w:next w:val="Normal"/>
    <w:rsid w:val="00EE1BF1"/>
    <w:pPr>
      <w:numPr>
        <w:numId w:val="8"/>
      </w:numPr>
    </w:pPr>
  </w:style>
  <w:style w:type="character" w:customStyle="1" w:styleId="SingleParagraphChar">
    <w:name w:val="Single Paragraph Char"/>
    <w:basedOn w:val="DefaultParagraphFont"/>
    <w:link w:val="SingleParagraph"/>
    <w:rsid w:val="000E0B74"/>
    <w:rPr>
      <w:rFonts w:ascii="Calibri" w:eastAsia="Times New Roman" w:hAnsi="Calibri" w:cs="Times New Roman"/>
      <w:szCs w:val="20"/>
      <w:lang w:eastAsia="en-AU"/>
    </w:rPr>
  </w:style>
  <w:style w:type="paragraph" w:customStyle="1" w:styleId="Heading2Numbered">
    <w:name w:val="Heading 2 Numbered"/>
    <w:basedOn w:val="Heading2"/>
    <w:next w:val="Normal"/>
    <w:rsid w:val="000E0B74"/>
    <w:pPr>
      <w:numPr>
        <w:ilvl w:val="1"/>
        <w:numId w:val="8"/>
      </w:numPr>
      <w:ind w:left="284" w:hanging="284"/>
    </w:pPr>
  </w:style>
  <w:style w:type="paragraph" w:customStyle="1" w:styleId="Heading3Numbered">
    <w:name w:val="Heading 3 Numbered"/>
    <w:basedOn w:val="Heading3"/>
    <w:rsid w:val="00EE1BF1"/>
    <w:pPr>
      <w:numPr>
        <w:ilvl w:val="2"/>
        <w:numId w:val="8"/>
      </w:numPr>
      <w:ind w:left="284" w:hanging="284"/>
    </w:pPr>
  </w:style>
  <w:style w:type="paragraph" w:styleId="Title">
    <w:name w:val="Title"/>
    <w:basedOn w:val="Normal"/>
    <w:next w:val="Normal"/>
    <w:link w:val="TitleChar"/>
    <w:uiPriority w:val="10"/>
    <w:rsid w:val="00123AC0"/>
    <w:pPr>
      <w:spacing w:before="2400" w:after="300"/>
      <w:contextualSpacing/>
      <w:outlineLvl w:val="0"/>
    </w:pPr>
    <w:rPr>
      <w:rFonts w:asciiTheme="majorHAnsi" w:eastAsiaTheme="majorEastAsia" w:hAnsiTheme="majorHAnsi" w:cstheme="majorBidi"/>
      <w:b/>
      <w:color w:val="auto"/>
      <w:spacing w:val="5"/>
      <w:kern w:val="28"/>
      <w:sz w:val="72"/>
      <w:szCs w:val="52"/>
    </w:rPr>
  </w:style>
  <w:style w:type="character" w:customStyle="1" w:styleId="TitleChar">
    <w:name w:val="Title Char"/>
    <w:basedOn w:val="DefaultParagraphFont"/>
    <w:link w:val="Title"/>
    <w:uiPriority w:val="10"/>
    <w:rsid w:val="00123AC0"/>
    <w:rPr>
      <w:rFonts w:asciiTheme="majorHAnsi" w:eastAsiaTheme="majorEastAsia" w:hAnsiTheme="majorHAnsi" w:cstheme="majorBidi"/>
      <w:b/>
      <w:spacing w:val="5"/>
      <w:kern w:val="28"/>
      <w:sz w:val="72"/>
      <w:szCs w:val="52"/>
      <w:lang w:eastAsia="en-AU"/>
    </w:rPr>
  </w:style>
  <w:style w:type="paragraph" w:styleId="Subtitle">
    <w:name w:val="Subtitle"/>
    <w:basedOn w:val="Normal"/>
    <w:next w:val="Normal"/>
    <w:link w:val="SubtitleChar"/>
    <w:uiPriority w:val="11"/>
    <w:rsid w:val="004E307D"/>
    <w:pPr>
      <w:numPr>
        <w:ilvl w:val="1"/>
      </w:numPr>
    </w:pPr>
    <w:rPr>
      <w:rFonts w:asciiTheme="majorHAnsi" w:eastAsiaTheme="majorEastAsia" w:hAnsiTheme="majorHAnsi" w:cstheme="majorBidi"/>
      <w:iCs/>
      <w:color w:val="auto"/>
      <w:sz w:val="44"/>
      <w:szCs w:val="44"/>
    </w:rPr>
  </w:style>
  <w:style w:type="character" w:customStyle="1" w:styleId="SubtitleChar">
    <w:name w:val="Subtitle Char"/>
    <w:basedOn w:val="DefaultParagraphFont"/>
    <w:link w:val="Subtitle"/>
    <w:uiPriority w:val="11"/>
    <w:rsid w:val="004E307D"/>
    <w:rPr>
      <w:rFonts w:asciiTheme="majorHAnsi" w:eastAsiaTheme="majorEastAsia" w:hAnsiTheme="majorHAnsi" w:cstheme="majorBidi"/>
      <w:iCs/>
      <w:sz w:val="44"/>
      <w:szCs w:val="44"/>
      <w:lang w:eastAsia="en-AU"/>
    </w:rPr>
  </w:style>
  <w:style w:type="character" w:styleId="SubtleEmphasis">
    <w:name w:val="Subtle Emphasis"/>
    <w:basedOn w:val="DefaultParagraphFont"/>
    <w:uiPriority w:val="19"/>
    <w:rsid w:val="000E0B74"/>
    <w:rPr>
      <w:i/>
      <w:iCs/>
      <w:color w:val="808080" w:themeColor="text1" w:themeTint="7F"/>
    </w:rPr>
  </w:style>
  <w:style w:type="paragraph" w:styleId="Footer">
    <w:name w:val="footer"/>
    <w:basedOn w:val="Normal"/>
    <w:link w:val="FooterChar"/>
    <w:unhideWhenUsed/>
    <w:rsid w:val="00191CFE"/>
    <w:pPr>
      <w:tabs>
        <w:tab w:val="center" w:pos="4513"/>
        <w:tab w:val="right" w:pos="9026"/>
      </w:tabs>
      <w:spacing w:before="0" w:after="0"/>
      <w:jc w:val="center"/>
    </w:pPr>
    <w:rPr>
      <w:sz w:val="20"/>
    </w:rPr>
  </w:style>
  <w:style w:type="character" w:customStyle="1" w:styleId="FooterChar">
    <w:name w:val="Footer Char"/>
    <w:basedOn w:val="DefaultParagraphFont"/>
    <w:link w:val="Footer"/>
    <w:rsid w:val="00191CFE"/>
    <w:rPr>
      <w:rFonts w:eastAsia="Times New Roman" w:cs="Times New Roman"/>
      <w:color w:val="000000" w:themeColor="text1"/>
      <w:sz w:val="20"/>
      <w:szCs w:val="20"/>
      <w:lang w:eastAsia="en-AU"/>
    </w:rPr>
  </w:style>
  <w:style w:type="paragraph" w:styleId="Header">
    <w:name w:val="header"/>
    <w:basedOn w:val="Normal"/>
    <w:link w:val="HeaderChar"/>
    <w:uiPriority w:val="99"/>
    <w:unhideWhenUsed/>
    <w:rsid w:val="00C723D6"/>
    <w:pPr>
      <w:keepNext/>
      <w:spacing w:before="0" w:after="0"/>
    </w:pPr>
    <w:rPr>
      <w:color w:val="auto"/>
      <w:sz w:val="20"/>
    </w:rPr>
  </w:style>
  <w:style w:type="character" w:customStyle="1" w:styleId="HeaderChar">
    <w:name w:val="Header Char"/>
    <w:basedOn w:val="DefaultParagraphFont"/>
    <w:link w:val="Header"/>
    <w:uiPriority w:val="99"/>
    <w:rsid w:val="00C723D6"/>
    <w:rPr>
      <w:rFonts w:eastAsia="Times New Roman" w:cs="Times New Roman"/>
      <w:sz w:val="20"/>
      <w:szCs w:val="20"/>
      <w:lang w:eastAsia="en-AU"/>
    </w:rPr>
  </w:style>
  <w:style w:type="character" w:styleId="PlaceholderText">
    <w:name w:val="Placeholder Text"/>
    <w:basedOn w:val="DefaultParagraphFont"/>
    <w:uiPriority w:val="99"/>
    <w:semiHidden/>
    <w:rsid w:val="00056880"/>
    <w:rPr>
      <w:color w:val="808080"/>
    </w:rPr>
  </w:style>
  <w:style w:type="paragraph" w:customStyle="1" w:styleId="AppendixHeading">
    <w:name w:val="Appendix Heading"/>
    <w:basedOn w:val="Heading1"/>
    <w:next w:val="Normal"/>
    <w:rsid w:val="00F045E0"/>
  </w:style>
  <w:style w:type="paragraph" w:customStyle="1" w:styleId="HeadingBase">
    <w:name w:val="Heading Base"/>
    <w:rsid w:val="00296BB1"/>
    <w:pPr>
      <w:keepNext/>
      <w:spacing w:after="120" w:line="240" w:lineRule="auto"/>
    </w:pPr>
    <w:rPr>
      <w:rFonts w:asciiTheme="majorHAnsi" w:eastAsia="Times New Roman" w:hAnsiTheme="majorHAnsi" w:cs="Arial"/>
      <w:bCs/>
      <w:color w:val="000000" w:themeColor="text1"/>
      <w:kern w:val="32"/>
      <w:sz w:val="48"/>
      <w:szCs w:val="36"/>
      <w:lang w:eastAsia="en-AU"/>
    </w:rPr>
  </w:style>
  <w:style w:type="character" w:customStyle="1" w:styleId="ReportDateChar">
    <w:name w:val="Report Date Char"/>
    <w:basedOn w:val="DefaultParagraphFont"/>
    <w:link w:val="ReportDate"/>
    <w:rsid w:val="004E307D"/>
    <w:rPr>
      <w:rFonts w:eastAsia="Times New Roman" w:cs="Times New Roman"/>
      <w:sz w:val="32"/>
      <w:szCs w:val="20"/>
      <w:lang w:eastAsia="en-AU"/>
    </w:rPr>
  </w:style>
  <w:style w:type="paragraph" w:customStyle="1" w:styleId="NotesHeading">
    <w:name w:val="Notes Heading"/>
    <w:basedOn w:val="Normal"/>
    <w:rsid w:val="002F617F"/>
    <w:pPr>
      <w:keepNext/>
      <w:spacing w:after="360"/>
      <w:jc w:val="center"/>
    </w:pPr>
    <w:rPr>
      <w:rFonts w:ascii="Century Gothic" w:hAnsi="Century Gothic"/>
      <w:smallCaps/>
      <w:color w:val="000000" w:themeColor="text2"/>
      <w:sz w:val="36"/>
      <w:szCs w:val="36"/>
    </w:rPr>
  </w:style>
  <w:style w:type="paragraph" w:styleId="ListParagraph">
    <w:name w:val="List Paragraph"/>
    <w:basedOn w:val="Normal"/>
    <w:uiPriority w:val="34"/>
    <w:rsid w:val="006469CC"/>
    <w:pPr>
      <w:ind w:left="720"/>
      <w:contextualSpacing/>
    </w:pPr>
  </w:style>
  <w:style w:type="paragraph" w:customStyle="1" w:styleId="TableTextIndented">
    <w:name w:val="Table Text Indented"/>
    <w:basedOn w:val="TableTextLeft"/>
    <w:rsid w:val="008E6292"/>
    <w:pPr>
      <w:ind w:left="284"/>
    </w:pPr>
  </w:style>
  <w:style w:type="paragraph" w:customStyle="1" w:styleId="TableHeadingContinued">
    <w:name w:val="Table Heading Continued"/>
    <w:basedOn w:val="TableMainHeading"/>
    <w:next w:val="TableGraphic"/>
    <w:rsid w:val="009A277C"/>
  </w:style>
  <w:style w:type="paragraph" w:customStyle="1" w:styleId="TableGraphic">
    <w:name w:val="Table Graphic"/>
    <w:basedOn w:val="HeadingBase"/>
    <w:next w:val="Normal"/>
    <w:rsid w:val="008E6292"/>
    <w:pPr>
      <w:spacing w:after="0"/>
    </w:pPr>
  </w:style>
  <w:style w:type="paragraph" w:customStyle="1" w:styleId="HeaderEven">
    <w:name w:val="Header Even"/>
    <w:basedOn w:val="Header"/>
    <w:qFormat/>
    <w:rsid w:val="008A1B2D"/>
  </w:style>
  <w:style w:type="paragraph" w:customStyle="1" w:styleId="HeaderOdd">
    <w:name w:val="Header Odd"/>
    <w:basedOn w:val="Header"/>
    <w:qFormat/>
    <w:rsid w:val="00420CD3"/>
    <w:pPr>
      <w:jc w:val="right"/>
    </w:pPr>
  </w:style>
  <w:style w:type="paragraph" w:styleId="FootnoteText">
    <w:name w:val="footnote text"/>
    <w:basedOn w:val="Normal"/>
    <w:link w:val="FootnoteTextChar"/>
    <w:uiPriority w:val="99"/>
    <w:rsid w:val="00744484"/>
    <w:pPr>
      <w:spacing w:before="0" w:after="0"/>
      <w:ind w:left="397" w:hanging="397"/>
    </w:pPr>
    <w:rPr>
      <w:sz w:val="20"/>
    </w:rPr>
  </w:style>
  <w:style w:type="character" w:customStyle="1" w:styleId="FootnoteTextChar">
    <w:name w:val="Footnote Text Char"/>
    <w:basedOn w:val="DefaultParagraphFont"/>
    <w:link w:val="FootnoteText"/>
    <w:uiPriority w:val="99"/>
    <w:rsid w:val="00744484"/>
    <w:rPr>
      <w:rFonts w:ascii="Calibri" w:eastAsia="Times New Roman" w:hAnsi="Calibri" w:cs="Times New Roman"/>
      <w:sz w:val="20"/>
      <w:szCs w:val="20"/>
      <w:lang w:eastAsia="en-AU"/>
    </w:rPr>
  </w:style>
  <w:style w:type="character" w:styleId="FootnoteReference">
    <w:name w:val="footnote reference"/>
    <w:basedOn w:val="DefaultParagraphFont"/>
    <w:uiPriority w:val="99"/>
    <w:rsid w:val="00744484"/>
    <w:rPr>
      <w:sz w:val="18"/>
    </w:rPr>
  </w:style>
  <w:style w:type="paragraph" w:styleId="BalloonText">
    <w:name w:val="Balloon Text"/>
    <w:basedOn w:val="Normal"/>
    <w:link w:val="BalloonTextChar"/>
    <w:uiPriority w:val="99"/>
    <w:semiHidden/>
    <w:unhideWhenUsed/>
    <w:rsid w:val="00C7231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318"/>
    <w:rPr>
      <w:rFonts w:ascii="Tahoma" w:eastAsia="Times New Roman" w:hAnsi="Tahoma" w:cs="Tahoma"/>
      <w:sz w:val="16"/>
      <w:szCs w:val="16"/>
      <w:lang w:eastAsia="en-AU"/>
    </w:rPr>
  </w:style>
  <w:style w:type="character" w:customStyle="1" w:styleId="BoxTextChar">
    <w:name w:val="Box Text Char"/>
    <w:basedOn w:val="DefaultParagraphFont"/>
    <w:link w:val="BoxText"/>
    <w:locked/>
    <w:rsid w:val="00A65143"/>
    <w:rPr>
      <w:rFonts w:eastAsia="Times New Roman" w:cs="Times New Roman"/>
      <w:color w:val="000000" w:themeColor="text1"/>
      <w:sz w:val="20"/>
      <w:szCs w:val="20"/>
      <w:lang w:eastAsia="en-AU"/>
    </w:rPr>
  </w:style>
  <w:style w:type="paragraph" w:customStyle="1" w:styleId="Boxbullet">
    <w:name w:val="Box bullet"/>
    <w:basedOn w:val="BoxText"/>
    <w:rsid w:val="00565232"/>
    <w:pPr>
      <w:numPr>
        <w:numId w:val="22"/>
      </w:numPr>
    </w:pPr>
    <w:rPr>
      <w:lang w:eastAsia="en-US"/>
    </w:rPr>
  </w:style>
  <w:style w:type="paragraph" w:customStyle="1" w:styleId="Boxdash">
    <w:name w:val="Box dash"/>
    <w:basedOn w:val="Boxbullet"/>
    <w:rsid w:val="00565232"/>
    <w:pPr>
      <w:numPr>
        <w:ilvl w:val="1"/>
      </w:numPr>
      <w:tabs>
        <w:tab w:val="num" w:pos="1040"/>
      </w:tabs>
      <w:spacing w:before="60" w:after="60" w:line="276" w:lineRule="auto"/>
    </w:pPr>
    <w:rPr>
      <w:rFonts w:eastAsiaTheme="minorHAnsi"/>
      <w:color w:val="0D0D0D" w:themeColor="text1" w:themeTint="F2"/>
    </w:rPr>
  </w:style>
  <w:style w:type="paragraph" w:customStyle="1" w:styleId="Boxdoubledot">
    <w:name w:val="Box double dot"/>
    <w:basedOn w:val="Boxdash"/>
    <w:rsid w:val="00565232"/>
    <w:pPr>
      <w:numPr>
        <w:ilvl w:val="2"/>
      </w:numPr>
      <w:tabs>
        <w:tab w:val="left" w:pos="567"/>
        <w:tab w:val="num" w:pos="1560"/>
      </w:tabs>
    </w:pPr>
  </w:style>
  <w:style w:type="paragraph" w:customStyle="1" w:styleId="Instructions">
    <w:name w:val="Instructions"/>
    <w:basedOn w:val="Normal"/>
    <w:uiPriority w:val="1"/>
    <w:qFormat/>
    <w:rsid w:val="00BE7EA5"/>
    <w:pPr>
      <w:shd w:val="clear" w:color="auto" w:fill="FFFF00"/>
      <w:ind w:left="170" w:hanging="170"/>
    </w:pPr>
    <w:rPr>
      <w:sz w:val="20"/>
      <w:szCs w:val="24"/>
    </w:rPr>
  </w:style>
  <w:style w:type="character" w:styleId="CommentReference">
    <w:name w:val="annotation reference"/>
    <w:basedOn w:val="DefaultParagraphFont"/>
    <w:uiPriority w:val="99"/>
    <w:semiHidden/>
    <w:unhideWhenUsed/>
    <w:rsid w:val="00BE7EA5"/>
    <w:rPr>
      <w:sz w:val="16"/>
      <w:szCs w:val="16"/>
    </w:rPr>
  </w:style>
  <w:style w:type="paragraph" w:styleId="CommentText">
    <w:name w:val="annotation text"/>
    <w:basedOn w:val="Normal"/>
    <w:link w:val="CommentTextChar"/>
    <w:uiPriority w:val="99"/>
    <w:semiHidden/>
    <w:unhideWhenUsed/>
    <w:rsid w:val="00BE7EA5"/>
    <w:rPr>
      <w:rFonts w:ascii="Calibri" w:hAnsi="Calibri"/>
      <w:sz w:val="20"/>
    </w:rPr>
  </w:style>
  <w:style w:type="character" w:customStyle="1" w:styleId="CommentTextChar">
    <w:name w:val="Comment Text Char"/>
    <w:basedOn w:val="DefaultParagraphFont"/>
    <w:link w:val="CommentText"/>
    <w:uiPriority w:val="99"/>
    <w:semiHidden/>
    <w:rsid w:val="00BE7EA5"/>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03540B"/>
    <w:rPr>
      <w:rFonts w:asciiTheme="minorHAnsi" w:hAnsiTheme="minorHAnsi"/>
      <w:b/>
      <w:bCs/>
    </w:rPr>
  </w:style>
  <w:style w:type="character" w:customStyle="1" w:styleId="CommentSubjectChar">
    <w:name w:val="Comment Subject Char"/>
    <w:basedOn w:val="CommentTextChar"/>
    <w:link w:val="CommentSubject"/>
    <w:uiPriority w:val="99"/>
    <w:semiHidden/>
    <w:rsid w:val="0003540B"/>
    <w:rPr>
      <w:rFonts w:ascii="Calibri" w:eastAsia="Times New Roman" w:hAnsi="Calibri" w:cs="Times New Roman"/>
      <w:b/>
      <w:bCs/>
      <w:color w:val="000000" w:themeColor="text1"/>
      <w:sz w:val="20"/>
      <w:szCs w:val="20"/>
      <w:lang w:eastAsia="en-AU"/>
    </w:rPr>
  </w:style>
  <w:style w:type="character" w:styleId="UnresolvedMention">
    <w:name w:val="Unresolved Mention"/>
    <w:basedOn w:val="DefaultParagraphFont"/>
    <w:uiPriority w:val="99"/>
    <w:semiHidden/>
    <w:unhideWhenUsed/>
    <w:rsid w:val="00AC102B"/>
    <w:rPr>
      <w:color w:val="605E5C"/>
      <w:shd w:val="clear" w:color="auto" w:fill="E1DFDD"/>
    </w:rPr>
  </w:style>
  <w:style w:type="character" w:styleId="Emphasis">
    <w:name w:val="Emphasis"/>
    <w:basedOn w:val="DefaultParagraphFont"/>
    <w:uiPriority w:val="20"/>
    <w:rsid w:val="005005F5"/>
    <w:rPr>
      <w:i/>
      <w:iCs/>
    </w:rPr>
  </w:style>
  <w:style w:type="table" w:customStyle="1" w:styleId="SidebySideChartTable">
    <w:name w:val="Side by Side Chart Table"/>
    <w:basedOn w:val="TableNormal"/>
    <w:uiPriority w:val="99"/>
    <w:rsid w:val="00BB0973"/>
    <w:pPr>
      <w:spacing w:after="0" w:line="240" w:lineRule="auto"/>
    </w:pPr>
    <w:tblPr>
      <w:tblStyleRowBandSize w:val="1"/>
      <w:tblStyleColBandSize w:val="1"/>
      <w:tblCellMar>
        <w:left w:w="0" w:type="dxa"/>
        <w:right w:w="0" w:type="dxa"/>
      </w:tblCellMar>
    </w:tblPr>
    <w:trPr>
      <w:cantSplit/>
    </w:trPr>
    <w:tblStylePr w:type="firstRow">
      <w:tblPr/>
      <w:trPr>
        <w:cantSplit/>
        <w:tblHeader/>
      </w:trPr>
    </w:tblStylePr>
  </w:style>
  <w:style w:type="table" w:customStyle="1" w:styleId="BoxStyle">
    <w:name w:val="Box Style"/>
    <w:basedOn w:val="TableNormal"/>
    <w:uiPriority w:val="99"/>
    <w:rsid w:val="004E7897"/>
    <w:pPr>
      <w:spacing w:after="0" w:line="240" w:lineRule="auto"/>
    </w:pPr>
    <w:rPr>
      <w:sz w:val="20"/>
    </w:rPr>
    <w:tblPr>
      <w:tblCellMar>
        <w:top w:w="284" w:type="dxa"/>
        <w:left w:w="284" w:type="dxa"/>
        <w:bottom w:w="284" w:type="dxa"/>
        <w:right w:w="284" w:type="dxa"/>
      </w:tblCellMar>
    </w:tblPr>
    <w:tcPr>
      <w:shd w:val="clear" w:color="auto" w:fill="F8F8F8" w:themeFill="background2"/>
    </w:tcPr>
  </w:style>
  <w:style w:type="character" w:styleId="Strong">
    <w:name w:val="Strong"/>
    <w:basedOn w:val="DefaultParagraphFont"/>
    <w:qFormat/>
    <w:rsid w:val="00372D99"/>
    <w:rPr>
      <w:b/>
      <w:bCs/>
    </w:rPr>
  </w:style>
  <w:style w:type="paragraph" w:styleId="BodyText">
    <w:name w:val="Body Text"/>
    <w:basedOn w:val="Normal"/>
    <w:link w:val="BodyTextChar"/>
    <w:uiPriority w:val="99"/>
    <w:unhideWhenUsed/>
    <w:rsid w:val="00766BF2"/>
    <w:pPr>
      <w:spacing w:before="0" w:after="120" w:line="259" w:lineRule="auto"/>
    </w:pPr>
    <w:rPr>
      <w:rFonts w:ascii="Aptos" w:eastAsia="Aptos" w:hAnsi="Aptos" w:cstheme="minorBidi"/>
      <w:color w:val="auto"/>
      <w:sz w:val="21"/>
      <w:szCs w:val="22"/>
      <w:lang w:val="en-US" w:eastAsia="en-US"/>
    </w:rPr>
  </w:style>
  <w:style w:type="character" w:customStyle="1" w:styleId="BodyTextChar">
    <w:name w:val="Body Text Char"/>
    <w:basedOn w:val="DefaultParagraphFont"/>
    <w:link w:val="BodyText"/>
    <w:uiPriority w:val="99"/>
    <w:rsid w:val="00766BF2"/>
    <w:rPr>
      <w:rFonts w:ascii="Aptos" w:eastAsia="Aptos" w:hAnsi="Aptos"/>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810555610">
      <w:bodyDiv w:val="1"/>
      <w:marLeft w:val="0"/>
      <w:marRight w:val="0"/>
      <w:marTop w:val="0"/>
      <w:marBottom w:val="0"/>
      <w:divBdr>
        <w:top w:val="none" w:sz="0" w:space="0" w:color="auto"/>
        <w:left w:val="none" w:sz="0" w:space="0" w:color="auto"/>
        <w:bottom w:val="none" w:sz="0" w:space="0" w:color="auto"/>
        <w:right w:val="none" w:sz="0" w:space="0" w:color="auto"/>
      </w:divBdr>
    </w:div>
    <w:div w:id="88363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mc.gov.au/government/commonwealth-coat-arm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reativecommons.org/licenses/by/4.0/legalcod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yperlink" Target="mailto:media@treasury.gov.a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SYBrand">
  <a:themeElements>
    <a:clrScheme name="Treasury Grayscale">
      <a:dk1>
        <a:sysClr val="windowText" lastClr="000000"/>
      </a:dk1>
      <a:lt1>
        <a:sysClr val="window" lastClr="FFFFFF"/>
      </a:lt1>
      <a:dk2>
        <a:srgbClr val="000000"/>
      </a:dk2>
      <a:lt2>
        <a:srgbClr val="F8F8F8"/>
      </a:lt2>
      <a:accent1>
        <a:srgbClr val="E6E6E6"/>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E0449-7892-421E-9DAF-7251655F8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1391</Words>
  <Characters>8977</Characters>
  <Application>Microsoft Office Word</Application>
  <DocSecurity>0</DocSecurity>
  <Lines>218</Lines>
  <Paragraphs>105</Paragraphs>
  <ScaleCrop>false</ScaleCrop>
  <HeadingPairs>
    <vt:vector size="2" baseType="variant">
      <vt:variant>
        <vt:lpstr>Title</vt:lpstr>
      </vt:variant>
      <vt:variant>
        <vt:i4>1</vt:i4>
      </vt:variant>
    </vt:vector>
  </HeadingPairs>
  <TitlesOfParts>
    <vt:vector size="1" baseType="lpstr">
      <vt:lpstr>Government response to the Statutory Independent Review of the Enhanced Regulatory Sandbox</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response to the Statutory Independent Review of the Enhanced Regulatory Sandbox</dc:title>
  <dc:subject/>
  <dc:creator>Australian Government</dc:creator>
  <cp:keywords/>
  <cp:lastModifiedBy/>
  <cp:revision>1</cp:revision>
  <dcterms:created xsi:type="dcterms:W3CDTF">2026-09-04T01:12:00Z</dcterms:created>
  <dcterms:modified xsi:type="dcterms:W3CDTF">2026-09-04T01:17:00Z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2026-09-04T01:13:10Z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b4e7eb03-c33a-48cb-856d-27618fda2a04</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