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E408" w14:textId="29DF42E3" w:rsidR="0084491E" w:rsidRDefault="0084491E" w:rsidP="00167D00"/>
    <w:p w14:paraId="69EDB582" w14:textId="5AF4C31A" w:rsidR="00BC03F8" w:rsidRDefault="00BC03F8" w:rsidP="0026551A"/>
    <w:p w14:paraId="5F593BAE" w14:textId="684F74A0" w:rsidR="00BC03F8" w:rsidRPr="00D15E7C" w:rsidRDefault="00292747" w:rsidP="001D22DA">
      <w:pPr>
        <w:pStyle w:val="CoverTitle"/>
        <w:rPr>
          <w:sz w:val="96"/>
          <w:szCs w:val="96"/>
        </w:rPr>
      </w:pPr>
      <w:r w:rsidRPr="00D15E7C">
        <w:rPr>
          <w:sz w:val="96"/>
          <w:szCs w:val="96"/>
        </w:rPr>
        <w:t xml:space="preserve">Independent </w:t>
      </w:r>
      <w:r w:rsidR="004D2CF2" w:rsidRPr="00D15E7C">
        <w:rPr>
          <w:sz w:val="96"/>
          <w:szCs w:val="96"/>
        </w:rPr>
        <w:br/>
      </w:r>
      <w:r w:rsidRPr="00D15E7C">
        <w:rPr>
          <w:sz w:val="96"/>
          <w:szCs w:val="96"/>
        </w:rPr>
        <w:t>Assessment</w:t>
      </w:r>
    </w:p>
    <w:p w14:paraId="7D535AEC" w14:textId="354D8210" w:rsidR="00297430" w:rsidRPr="00D15E7C" w:rsidRDefault="00292747" w:rsidP="00297430">
      <w:pPr>
        <w:pStyle w:val="CoverSubTitle"/>
        <w:rPr>
          <w:sz w:val="44"/>
          <w:szCs w:val="44"/>
        </w:rPr>
      </w:pPr>
      <w:bookmarkStart w:id="0" w:name="CoverSubtitle"/>
      <w:r w:rsidRPr="00D15E7C">
        <w:rPr>
          <w:sz w:val="44"/>
          <w:szCs w:val="44"/>
        </w:rPr>
        <w:t>K</w:t>
      </w:r>
      <w:bookmarkEnd w:id="0"/>
      <w:r w:rsidRPr="00D15E7C">
        <w:rPr>
          <w:sz w:val="44"/>
          <w:szCs w:val="44"/>
        </w:rPr>
        <w:t xml:space="preserve">en Kanofski </w:t>
      </w:r>
    </w:p>
    <w:p w14:paraId="01D41257" w14:textId="0F067590" w:rsidR="00297430" w:rsidRPr="00D15E7C" w:rsidRDefault="00292747" w:rsidP="00297430">
      <w:pPr>
        <w:pStyle w:val="ReportTitle"/>
        <w:rPr>
          <w:sz w:val="56"/>
          <w:szCs w:val="56"/>
        </w:rPr>
      </w:pPr>
      <w:bookmarkStart w:id="1" w:name="ReportTitle"/>
      <w:r w:rsidRPr="00D15E7C">
        <w:rPr>
          <w:sz w:val="56"/>
          <w:szCs w:val="56"/>
        </w:rPr>
        <w:t>C</w:t>
      </w:r>
      <w:bookmarkEnd w:id="1"/>
      <w:r w:rsidRPr="00D15E7C">
        <w:rPr>
          <w:sz w:val="56"/>
          <w:szCs w:val="56"/>
        </w:rPr>
        <w:t>apability Assessment of</w:t>
      </w:r>
      <w:r w:rsidR="004D2CF2" w:rsidRPr="00D15E7C">
        <w:rPr>
          <w:sz w:val="56"/>
          <w:szCs w:val="56"/>
        </w:rPr>
        <w:t> </w:t>
      </w:r>
      <w:r w:rsidRPr="00D15E7C">
        <w:rPr>
          <w:sz w:val="56"/>
          <w:szCs w:val="56"/>
        </w:rPr>
        <w:t>Housing Australia</w:t>
      </w:r>
    </w:p>
    <w:bookmarkStart w:id="2" w:name="ReportDate"/>
    <w:p w14:paraId="3FD037CC" w14:textId="3D07C514" w:rsidR="00297430" w:rsidRPr="00D15E7C" w:rsidRDefault="00AF74BB" w:rsidP="00297430">
      <w:pPr>
        <w:pStyle w:val="CoverDate"/>
        <w:rPr>
          <w:sz w:val="32"/>
          <w:szCs w:val="32"/>
        </w:rPr>
      </w:pPr>
      <w:sdt>
        <w:sdtPr>
          <w:rPr>
            <w:sz w:val="32"/>
            <w:szCs w:val="32"/>
          </w:rPr>
          <w:alias w:val="Date"/>
          <w:tag w:val="Date"/>
          <w:id w:val="378060577"/>
          <w:placeholder>
            <w:docPart w:val="234BAD2E66AD437D8A3800CAF795F7C6"/>
          </w:placeholder>
          <w:date w:fullDate="2026-08-28T00:00:00Z">
            <w:dateFormat w:val="d MMMM yyyy"/>
            <w:lid w:val="en-AU"/>
            <w:storeMappedDataAs w:val="dateTime"/>
            <w:calendar w:val="gregorian"/>
          </w:date>
        </w:sdtPr>
        <w:sdtEndPr/>
        <w:sdtContent>
          <w:r w:rsidR="00E53304" w:rsidRPr="00041A89">
            <w:rPr>
              <w:sz w:val="32"/>
              <w:szCs w:val="32"/>
            </w:rPr>
            <w:t>28 August 2026</w:t>
          </w:r>
        </w:sdtContent>
      </w:sdt>
      <w:bookmarkEnd w:id="2"/>
    </w:p>
    <w:p w14:paraId="31F95CB0" w14:textId="3B61A0A9" w:rsidR="00A627D7" w:rsidRDefault="00A627D7" w:rsidP="00BC03F8"/>
    <w:p w14:paraId="466592AB" w14:textId="77777777" w:rsidR="00A627D7" w:rsidRDefault="00A627D7" w:rsidP="00BC03F8">
      <w:pPr>
        <w:sectPr w:rsidR="00A627D7" w:rsidSect="008778BD">
          <w:headerReference w:type="first" r:id="rId7"/>
          <w:pgSz w:w="11906" w:h="16838" w:code="9"/>
          <w:pgMar w:top="1843" w:right="1134" w:bottom="1134" w:left="1134" w:header="709" w:footer="284" w:gutter="0"/>
          <w:pgNumType w:fmt="lowerRoman" w:start="0"/>
          <w:cols w:space="708"/>
          <w:titlePg/>
          <w:docGrid w:linePitch="360"/>
        </w:sectPr>
      </w:pPr>
    </w:p>
    <w:p w14:paraId="41B895F1" w14:textId="528CB036" w:rsidR="00324D81" w:rsidRDefault="000618EF" w:rsidP="000618EF">
      <w:pPr>
        <w:pStyle w:val="TOCheadings"/>
      </w:pPr>
      <w:r>
        <w:lastRenderedPageBreak/>
        <w:t>Table of c</w:t>
      </w:r>
      <w:r w:rsidR="00324D81" w:rsidRPr="00324D81">
        <w:t>ontents</w:t>
      </w:r>
    </w:p>
    <w:p w14:paraId="1144D2FB" w14:textId="20A61BEC" w:rsidR="005502D6" w:rsidRDefault="00130783">
      <w:pPr>
        <w:pStyle w:val="TOC1"/>
        <w:rPr>
          <w:rFonts w:eastAsiaTheme="minorEastAsia"/>
          <w:kern w:val="2"/>
          <w:sz w:val="24"/>
          <w:szCs w:val="24"/>
          <w:lang w:eastAsia="en-AU"/>
          <w14:ligatures w14:val="standardContextual"/>
        </w:rPr>
      </w:pPr>
      <w:r>
        <w:fldChar w:fldCharType="begin"/>
      </w:r>
      <w:r>
        <w:instrText xml:space="preserve"> TOC \h \z \t "Heading 1,1,Heading 2,2" </w:instrText>
      </w:r>
      <w:r>
        <w:fldChar w:fldCharType="separate"/>
      </w:r>
      <w:hyperlink w:anchor="_Toc238805472" w:history="1">
        <w:r w:rsidR="005502D6" w:rsidRPr="00316CDA">
          <w:rPr>
            <w:rStyle w:val="Hyperlink"/>
          </w:rPr>
          <w:t>Disclaimer</w:t>
        </w:r>
        <w:r w:rsidR="005502D6">
          <w:rPr>
            <w:webHidden/>
          </w:rPr>
          <w:tab/>
        </w:r>
        <w:r w:rsidR="005502D6">
          <w:rPr>
            <w:webHidden/>
          </w:rPr>
          <w:fldChar w:fldCharType="begin"/>
        </w:r>
        <w:r w:rsidR="005502D6">
          <w:rPr>
            <w:webHidden/>
          </w:rPr>
          <w:instrText xml:space="preserve"> PAGEREF _Toc238805472 \h </w:instrText>
        </w:r>
        <w:r w:rsidR="005502D6">
          <w:rPr>
            <w:webHidden/>
          </w:rPr>
        </w:r>
        <w:r w:rsidR="005502D6">
          <w:rPr>
            <w:webHidden/>
          </w:rPr>
          <w:fldChar w:fldCharType="separate"/>
        </w:r>
        <w:r w:rsidR="0020337C">
          <w:rPr>
            <w:webHidden/>
          </w:rPr>
          <w:t>ii</w:t>
        </w:r>
        <w:r w:rsidR="005502D6">
          <w:rPr>
            <w:webHidden/>
          </w:rPr>
          <w:fldChar w:fldCharType="end"/>
        </w:r>
      </w:hyperlink>
    </w:p>
    <w:p w14:paraId="185E97AA" w14:textId="0791C6ED" w:rsidR="005502D6" w:rsidRDefault="005502D6">
      <w:pPr>
        <w:pStyle w:val="TOC1"/>
        <w:rPr>
          <w:rFonts w:eastAsiaTheme="minorEastAsia"/>
          <w:kern w:val="2"/>
          <w:sz w:val="24"/>
          <w:szCs w:val="24"/>
          <w:lang w:eastAsia="en-AU"/>
          <w14:ligatures w14:val="standardContextual"/>
        </w:rPr>
      </w:pPr>
      <w:hyperlink w:anchor="_Toc238805473" w:history="1">
        <w:r w:rsidRPr="00316CDA">
          <w:rPr>
            <w:rStyle w:val="Hyperlink"/>
          </w:rPr>
          <w:t>Executive summary</w:t>
        </w:r>
        <w:r>
          <w:rPr>
            <w:webHidden/>
          </w:rPr>
          <w:tab/>
        </w:r>
        <w:r>
          <w:rPr>
            <w:webHidden/>
          </w:rPr>
          <w:fldChar w:fldCharType="begin"/>
        </w:r>
        <w:r>
          <w:rPr>
            <w:webHidden/>
          </w:rPr>
          <w:instrText xml:space="preserve"> PAGEREF _Toc238805473 \h </w:instrText>
        </w:r>
        <w:r>
          <w:rPr>
            <w:webHidden/>
          </w:rPr>
        </w:r>
        <w:r>
          <w:rPr>
            <w:webHidden/>
          </w:rPr>
          <w:fldChar w:fldCharType="separate"/>
        </w:r>
        <w:r w:rsidR="0020337C">
          <w:rPr>
            <w:webHidden/>
          </w:rPr>
          <w:t>1</w:t>
        </w:r>
        <w:r>
          <w:rPr>
            <w:webHidden/>
          </w:rPr>
          <w:fldChar w:fldCharType="end"/>
        </w:r>
      </w:hyperlink>
    </w:p>
    <w:p w14:paraId="7FED1C3C" w14:textId="6C7F2093" w:rsidR="005502D6" w:rsidRDefault="005502D6">
      <w:pPr>
        <w:pStyle w:val="TOC1"/>
        <w:rPr>
          <w:rFonts w:eastAsiaTheme="minorEastAsia"/>
          <w:kern w:val="2"/>
          <w:sz w:val="24"/>
          <w:szCs w:val="24"/>
          <w:lang w:eastAsia="en-AU"/>
          <w14:ligatures w14:val="standardContextual"/>
        </w:rPr>
      </w:pPr>
      <w:hyperlink w:anchor="_Toc238805474" w:history="1">
        <w:r w:rsidRPr="00316CDA">
          <w:rPr>
            <w:rStyle w:val="Hyperlink"/>
          </w:rPr>
          <w:t>1</w:t>
        </w:r>
        <w:r>
          <w:rPr>
            <w:rFonts w:eastAsiaTheme="minorEastAsia"/>
            <w:kern w:val="2"/>
            <w:sz w:val="24"/>
            <w:szCs w:val="24"/>
            <w:lang w:eastAsia="en-AU"/>
            <w14:ligatures w14:val="standardContextual"/>
          </w:rPr>
          <w:tab/>
        </w:r>
        <w:r w:rsidRPr="00316CDA">
          <w:rPr>
            <w:rStyle w:val="Hyperlink"/>
          </w:rPr>
          <w:t>Recommendations</w:t>
        </w:r>
        <w:r>
          <w:rPr>
            <w:webHidden/>
          </w:rPr>
          <w:tab/>
        </w:r>
        <w:r>
          <w:rPr>
            <w:webHidden/>
          </w:rPr>
          <w:fldChar w:fldCharType="begin"/>
        </w:r>
        <w:r>
          <w:rPr>
            <w:webHidden/>
          </w:rPr>
          <w:instrText xml:space="preserve"> PAGEREF _Toc238805474 \h </w:instrText>
        </w:r>
        <w:r>
          <w:rPr>
            <w:webHidden/>
          </w:rPr>
        </w:r>
        <w:r>
          <w:rPr>
            <w:webHidden/>
          </w:rPr>
          <w:fldChar w:fldCharType="separate"/>
        </w:r>
        <w:r w:rsidR="0020337C">
          <w:rPr>
            <w:webHidden/>
          </w:rPr>
          <w:t>2</w:t>
        </w:r>
        <w:r>
          <w:rPr>
            <w:webHidden/>
          </w:rPr>
          <w:fldChar w:fldCharType="end"/>
        </w:r>
      </w:hyperlink>
    </w:p>
    <w:p w14:paraId="466134F0" w14:textId="12804C45" w:rsidR="005502D6" w:rsidRDefault="005502D6">
      <w:pPr>
        <w:pStyle w:val="TOC1"/>
        <w:rPr>
          <w:rFonts w:eastAsiaTheme="minorEastAsia"/>
          <w:kern w:val="2"/>
          <w:sz w:val="24"/>
          <w:szCs w:val="24"/>
          <w:lang w:eastAsia="en-AU"/>
          <w14:ligatures w14:val="standardContextual"/>
        </w:rPr>
      </w:pPr>
      <w:hyperlink w:anchor="_Toc238805475" w:history="1">
        <w:r w:rsidRPr="00316CDA">
          <w:rPr>
            <w:rStyle w:val="Hyperlink"/>
          </w:rPr>
          <w:t>2</w:t>
        </w:r>
        <w:r>
          <w:rPr>
            <w:rFonts w:eastAsiaTheme="minorEastAsia"/>
            <w:kern w:val="2"/>
            <w:sz w:val="24"/>
            <w:szCs w:val="24"/>
            <w:lang w:eastAsia="en-AU"/>
            <w14:ligatures w14:val="standardContextual"/>
          </w:rPr>
          <w:tab/>
        </w:r>
        <w:r w:rsidRPr="00316CDA">
          <w:rPr>
            <w:rStyle w:val="Hyperlink"/>
          </w:rPr>
          <w:t>Introduction</w:t>
        </w:r>
        <w:r>
          <w:rPr>
            <w:webHidden/>
          </w:rPr>
          <w:tab/>
        </w:r>
        <w:r>
          <w:rPr>
            <w:webHidden/>
          </w:rPr>
          <w:fldChar w:fldCharType="begin"/>
        </w:r>
        <w:r>
          <w:rPr>
            <w:webHidden/>
          </w:rPr>
          <w:instrText xml:space="preserve"> PAGEREF _Toc238805475 \h </w:instrText>
        </w:r>
        <w:r>
          <w:rPr>
            <w:webHidden/>
          </w:rPr>
        </w:r>
        <w:r>
          <w:rPr>
            <w:webHidden/>
          </w:rPr>
          <w:fldChar w:fldCharType="separate"/>
        </w:r>
        <w:r w:rsidR="0020337C">
          <w:rPr>
            <w:webHidden/>
          </w:rPr>
          <w:t>4</w:t>
        </w:r>
        <w:r>
          <w:rPr>
            <w:webHidden/>
          </w:rPr>
          <w:fldChar w:fldCharType="end"/>
        </w:r>
      </w:hyperlink>
    </w:p>
    <w:p w14:paraId="1A38C0DE" w14:textId="4F9AA244" w:rsidR="005502D6" w:rsidRDefault="005502D6">
      <w:pPr>
        <w:pStyle w:val="TOC1"/>
        <w:rPr>
          <w:rFonts w:eastAsiaTheme="minorEastAsia"/>
          <w:kern w:val="2"/>
          <w:sz w:val="24"/>
          <w:szCs w:val="24"/>
          <w:lang w:eastAsia="en-AU"/>
          <w14:ligatures w14:val="standardContextual"/>
        </w:rPr>
      </w:pPr>
      <w:hyperlink w:anchor="_Toc238805476" w:history="1">
        <w:r w:rsidRPr="00316CDA">
          <w:rPr>
            <w:rStyle w:val="Hyperlink"/>
          </w:rPr>
          <w:t>3</w:t>
        </w:r>
        <w:r>
          <w:rPr>
            <w:rFonts w:eastAsiaTheme="minorEastAsia"/>
            <w:kern w:val="2"/>
            <w:sz w:val="24"/>
            <w:szCs w:val="24"/>
            <w:lang w:eastAsia="en-AU"/>
            <w14:ligatures w14:val="standardContextual"/>
          </w:rPr>
          <w:tab/>
        </w:r>
        <w:r w:rsidRPr="00316CDA">
          <w:rPr>
            <w:rStyle w:val="Hyperlink"/>
          </w:rPr>
          <w:t>Housing Australia’s evolving role</w:t>
        </w:r>
        <w:r>
          <w:rPr>
            <w:webHidden/>
          </w:rPr>
          <w:tab/>
        </w:r>
        <w:r>
          <w:rPr>
            <w:webHidden/>
          </w:rPr>
          <w:fldChar w:fldCharType="begin"/>
        </w:r>
        <w:r>
          <w:rPr>
            <w:webHidden/>
          </w:rPr>
          <w:instrText xml:space="preserve"> PAGEREF _Toc238805476 \h </w:instrText>
        </w:r>
        <w:r>
          <w:rPr>
            <w:webHidden/>
          </w:rPr>
        </w:r>
        <w:r>
          <w:rPr>
            <w:webHidden/>
          </w:rPr>
          <w:fldChar w:fldCharType="separate"/>
        </w:r>
        <w:r w:rsidR="0020337C">
          <w:rPr>
            <w:webHidden/>
          </w:rPr>
          <w:t>5</w:t>
        </w:r>
        <w:r>
          <w:rPr>
            <w:webHidden/>
          </w:rPr>
          <w:fldChar w:fldCharType="end"/>
        </w:r>
      </w:hyperlink>
    </w:p>
    <w:p w14:paraId="0E4BCAC9" w14:textId="6441EE36" w:rsidR="005502D6" w:rsidRDefault="005502D6">
      <w:pPr>
        <w:pStyle w:val="TOC1"/>
        <w:rPr>
          <w:rFonts w:eastAsiaTheme="minorEastAsia"/>
          <w:kern w:val="2"/>
          <w:sz w:val="24"/>
          <w:szCs w:val="24"/>
          <w:lang w:eastAsia="en-AU"/>
          <w14:ligatures w14:val="standardContextual"/>
        </w:rPr>
      </w:pPr>
      <w:hyperlink w:anchor="_Toc238805477" w:history="1">
        <w:r w:rsidRPr="00316CDA">
          <w:rPr>
            <w:rStyle w:val="Hyperlink"/>
          </w:rPr>
          <w:t>4</w:t>
        </w:r>
        <w:r>
          <w:rPr>
            <w:rFonts w:eastAsiaTheme="minorEastAsia"/>
            <w:kern w:val="2"/>
            <w:sz w:val="24"/>
            <w:szCs w:val="24"/>
            <w:lang w:eastAsia="en-AU"/>
            <w14:ligatures w14:val="standardContextual"/>
          </w:rPr>
          <w:tab/>
        </w:r>
        <w:r w:rsidRPr="00316CDA">
          <w:rPr>
            <w:rStyle w:val="Hyperlink"/>
          </w:rPr>
          <w:t>Homeowner programs</w:t>
        </w:r>
        <w:r>
          <w:rPr>
            <w:webHidden/>
          </w:rPr>
          <w:tab/>
        </w:r>
        <w:r>
          <w:rPr>
            <w:webHidden/>
          </w:rPr>
          <w:fldChar w:fldCharType="begin"/>
        </w:r>
        <w:r>
          <w:rPr>
            <w:webHidden/>
          </w:rPr>
          <w:instrText xml:space="preserve"> PAGEREF _Toc238805477 \h </w:instrText>
        </w:r>
        <w:r>
          <w:rPr>
            <w:webHidden/>
          </w:rPr>
        </w:r>
        <w:r>
          <w:rPr>
            <w:webHidden/>
          </w:rPr>
          <w:fldChar w:fldCharType="separate"/>
        </w:r>
        <w:r w:rsidR="0020337C">
          <w:rPr>
            <w:webHidden/>
          </w:rPr>
          <w:t>8</w:t>
        </w:r>
        <w:r>
          <w:rPr>
            <w:webHidden/>
          </w:rPr>
          <w:fldChar w:fldCharType="end"/>
        </w:r>
      </w:hyperlink>
    </w:p>
    <w:p w14:paraId="0CAF3519" w14:textId="07A89AC3" w:rsidR="005502D6" w:rsidRDefault="005502D6">
      <w:pPr>
        <w:pStyle w:val="TOC2"/>
        <w:rPr>
          <w:rFonts w:eastAsiaTheme="minorEastAsia"/>
          <w:kern w:val="2"/>
          <w:sz w:val="24"/>
          <w:szCs w:val="24"/>
          <w:lang w:eastAsia="en-AU"/>
          <w14:ligatures w14:val="standardContextual"/>
        </w:rPr>
      </w:pPr>
      <w:hyperlink w:anchor="_Toc238805478" w:history="1">
        <w:r w:rsidRPr="00316CDA">
          <w:rPr>
            <w:rStyle w:val="Hyperlink"/>
          </w:rPr>
          <w:t>4.1</w:t>
        </w:r>
        <w:r>
          <w:rPr>
            <w:rFonts w:eastAsiaTheme="minorEastAsia"/>
            <w:kern w:val="2"/>
            <w:sz w:val="24"/>
            <w:szCs w:val="24"/>
            <w:lang w:eastAsia="en-AU"/>
            <w14:ligatures w14:val="standardContextual"/>
          </w:rPr>
          <w:tab/>
        </w:r>
        <w:r w:rsidRPr="00316CDA">
          <w:rPr>
            <w:rStyle w:val="Hyperlink"/>
          </w:rPr>
          <w:t>5% Deposit Scheme</w:t>
        </w:r>
        <w:r>
          <w:rPr>
            <w:webHidden/>
          </w:rPr>
          <w:tab/>
        </w:r>
        <w:r>
          <w:rPr>
            <w:webHidden/>
          </w:rPr>
          <w:fldChar w:fldCharType="begin"/>
        </w:r>
        <w:r>
          <w:rPr>
            <w:webHidden/>
          </w:rPr>
          <w:instrText xml:space="preserve"> PAGEREF _Toc238805478 \h </w:instrText>
        </w:r>
        <w:r>
          <w:rPr>
            <w:webHidden/>
          </w:rPr>
        </w:r>
        <w:r>
          <w:rPr>
            <w:webHidden/>
          </w:rPr>
          <w:fldChar w:fldCharType="separate"/>
        </w:r>
        <w:r w:rsidR="0020337C">
          <w:rPr>
            <w:webHidden/>
          </w:rPr>
          <w:t>8</w:t>
        </w:r>
        <w:r>
          <w:rPr>
            <w:webHidden/>
          </w:rPr>
          <w:fldChar w:fldCharType="end"/>
        </w:r>
      </w:hyperlink>
    </w:p>
    <w:p w14:paraId="3894BCC6" w14:textId="14046B65" w:rsidR="005502D6" w:rsidRDefault="005502D6">
      <w:pPr>
        <w:pStyle w:val="TOC2"/>
        <w:rPr>
          <w:rFonts w:eastAsiaTheme="minorEastAsia"/>
          <w:kern w:val="2"/>
          <w:sz w:val="24"/>
          <w:szCs w:val="24"/>
          <w:lang w:eastAsia="en-AU"/>
          <w14:ligatures w14:val="standardContextual"/>
        </w:rPr>
      </w:pPr>
      <w:hyperlink w:anchor="_Toc238805479" w:history="1">
        <w:r w:rsidRPr="00316CDA">
          <w:rPr>
            <w:rStyle w:val="Hyperlink"/>
          </w:rPr>
          <w:t>4.2</w:t>
        </w:r>
        <w:r>
          <w:rPr>
            <w:rFonts w:eastAsiaTheme="minorEastAsia"/>
            <w:kern w:val="2"/>
            <w:sz w:val="24"/>
            <w:szCs w:val="24"/>
            <w:lang w:eastAsia="en-AU"/>
            <w14:ligatures w14:val="standardContextual"/>
          </w:rPr>
          <w:tab/>
        </w:r>
        <w:r w:rsidRPr="00316CDA">
          <w:rPr>
            <w:rStyle w:val="Hyperlink"/>
          </w:rPr>
          <w:t>Help to Buy</w:t>
        </w:r>
        <w:r>
          <w:rPr>
            <w:webHidden/>
          </w:rPr>
          <w:tab/>
        </w:r>
        <w:r>
          <w:rPr>
            <w:webHidden/>
          </w:rPr>
          <w:fldChar w:fldCharType="begin"/>
        </w:r>
        <w:r>
          <w:rPr>
            <w:webHidden/>
          </w:rPr>
          <w:instrText xml:space="preserve"> PAGEREF _Toc238805479 \h </w:instrText>
        </w:r>
        <w:r>
          <w:rPr>
            <w:webHidden/>
          </w:rPr>
        </w:r>
        <w:r>
          <w:rPr>
            <w:webHidden/>
          </w:rPr>
          <w:fldChar w:fldCharType="separate"/>
        </w:r>
        <w:r w:rsidR="0020337C">
          <w:rPr>
            <w:webHidden/>
          </w:rPr>
          <w:t>8</w:t>
        </w:r>
        <w:r>
          <w:rPr>
            <w:webHidden/>
          </w:rPr>
          <w:fldChar w:fldCharType="end"/>
        </w:r>
      </w:hyperlink>
    </w:p>
    <w:p w14:paraId="3D1AD6B7" w14:textId="686D61A2" w:rsidR="005502D6" w:rsidRDefault="005502D6">
      <w:pPr>
        <w:pStyle w:val="TOC1"/>
        <w:rPr>
          <w:rFonts w:eastAsiaTheme="minorEastAsia"/>
          <w:kern w:val="2"/>
          <w:sz w:val="24"/>
          <w:szCs w:val="24"/>
          <w:lang w:eastAsia="en-AU"/>
          <w14:ligatures w14:val="standardContextual"/>
        </w:rPr>
      </w:pPr>
      <w:hyperlink w:anchor="_Toc238805480" w:history="1">
        <w:r w:rsidRPr="00316CDA">
          <w:rPr>
            <w:rStyle w:val="Hyperlink"/>
          </w:rPr>
          <w:t>5</w:t>
        </w:r>
        <w:r>
          <w:rPr>
            <w:rFonts w:eastAsiaTheme="minorEastAsia"/>
            <w:kern w:val="2"/>
            <w:sz w:val="24"/>
            <w:szCs w:val="24"/>
            <w:lang w:eastAsia="en-AU"/>
            <w14:ligatures w14:val="standardContextual"/>
          </w:rPr>
          <w:tab/>
        </w:r>
        <w:r w:rsidRPr="00316CDA">
          <w:rPr>
            <w:rStyle w:val="Hyperlink"/>
          </w:rPr>
          <w:t>More Homes programs</w:t>
        </w:r>
        <w:r>
          <w:rPr>
            <w:webHidden/>
          </w:rPr>
          <w:tab/>
        </w:r>
        <w:r>
          <w:rPr>
            <w:webHidden/>
          </w:rPr>
          <w:fldChar w:fldCharType="begin"/>
        </w:r>
        <w:r>
          <w:rPr>
            <w:webHidden/>
          </w:rPr>
          <w:instrText xml:space="preserve"> PAGEREF _Toc238805480 \h </w:instrText>
        </w:r>
        <w:r>
          <w:rPr>
            <w:webHidden/>
          </w:rPr>
        </w:r>
        <w:r>
          <w:rPr>
            <w:webHidden/>
          </w:rPr>
          <w:fldChar w:fldCharType="separate"/>
        </w:r>
        <w:r w:rsidR="0020337C">
          <w:rPr>
            <w:webHidden/>
          </w:rPr>
          <w:t>9</w:t>
        </w:r>
        <w:r>
          <w:rPr>
            <w:webHidden/>
          </w:rPr>
          <w:fldChar w:fldCharType="end"/>
        </w:r>
      </w:hyperlink>
    </w:p>
    <w:p w14:paraId="49ABFBB4" w14:textId="190753C9" w:rsidR="005502D6" w:rsidRDefault="005502D6">
      <w:pPr>
        <w:pStyle w:val="TOC2"/>
        <w:rPr>
          <w:rFonts w:eastAsiaTheme="minorEastAsia"/>
          <w:kern w:val="2"/>
          <w:sz w:val="24"/>
          <w:szCs w:val="24"/>
          <w:lang w:eastAsia="en-AU"/>
          <w14:ligatures w14:val="standardContextual"/>
        </w:rPr>
      </w:pPr>
      <w:hyperlink w:anchor="_Toc238805481" w:history="1">
        <w:r w:rsidRPr="00316CDA">
          <w:rPr>
            <w:rStyle w:val="Hyperlink"/>
          </w:rPr>
          <w:t>5.1</w:t>
        </w:r>
        <w:r>
          <w:rPr>
            <w:rFonts w:eastAsiaTheme="minorEastAsia"/>
            <w:kern w:val="2"/>
            <w:sz w:val="24"/>
            <w:szCs w:val="24"/>
            <w:lang w:eastAsia="en-AU"/>
            <w14:ligatures w14:val="standardContextual"/>
          </w:rPr>
          <w:tab/>
        </w:r>
        <w:r w:rsidRPr="00316CDA">
          <w:rPr>
            <w:rStyle w:val="Hyperlink"/>
          </w:rPr>
          <w:t>Social and affordable housing</w:t>
        </w:r>
        <w:r>
          <w:rPr>
            <w:webHidden/>
          </w:rPr>
          <w:tab/>
        </w:r>
        <w:r>
          <w:rPr>
            <w:webHidden/>
          </w:rPr>
          <w:fldChar w:fldCharType="begin"/>
        </w:r>
        <w:r>
          <w:rPr>
            <w:webHidden/>
          </w:rPr>
          <w:instrText xml:space="preserve"> PAGEREF _Toc238805481 \h </w:instrText>
        </w:r>
        <w:r>
          <w:rPr>
            <w:webHidden/>
          </w:rPr>
        </w:r>
        <w:r>
          <w:rPr>
            <w:webHidden/>
          </w:rPr>
          <w:fldChar w:fldCharType="separate"/>
        </w:r>
        <w:r w:rsidR="0020337C">
          <w:rPr>
            <w:webHidden/>
          </w:rPr>
          <w:t>9</w:t>
        </w:r>
        <w:r>
          <w:rPr>
            <w:webHidden/>
          </w:rPr>
          <w:fldChar w:fldCharType="end"/>
        </w:r>
      </w:hyperlink>
    </w:p>
    <w:p w14:paraId="65E3FE55" w14:textId="510F4CBD" w:rsidR="005502D6" w:rsidRDefault="005502D6">
      <w:pPr>
        <w:pStyle w:val="TOC2"/>
        <w:rPr>
          <w:rFonts w:eastAsiaTheme="minorEastAsia"/>
          <w:kern w:val="2"/>
          <w:sz w:val="24"/>
          <w:szCs w:val="24"/>
          <w:lang w:eastAsia="en-AU"/>
          <w14:ligatures w14:val="standardContextual"/>
        </w:rPr>
      </w:pPr>
      <w:hyperlink w:anchor="_Toc238805482" w:history="1">
        <w:r w:rsidRPr="00316CDA">
          <w:rPr>
            <w:rStyle w:val="Hyperlink"/>
          </w:rPr>
          <w:t>5.2</w:t>
        </w:r>
        <w:r>
          <w:rPr>
            <w:rFonts w:eastAsiaTheme="minorEastAsia"/>
            <w:kern w:val="2"/>
            <w:sz w:val="24"/>
            <w:szCs w:val="24"/>
            <w:lang w:eastAsia="en-AU"/>
            <w14:ligatures w14:val="standardContextual"/>
          </w:rPr>
          <w:tab/>
        </w:r>
        <w:r w:rsidRPr="00316CDA">
          <w:rPr>
            <w:rStyle w:val="Hyperlink"/>
          </w:rPr>
          <w:t>HAFFF and NHAF programs</w:t>
        </w:r>
        <w:r>
          <w:rPr>
            <w:webHidden/>
          </w:rPr>
          <w:tab/>
        </w:r>
        <w:r>
          <w:rPr>
            <w:webHidden/>
          </w:rPr>
          <w:fldChar w:fldCharType="begin"/>
        </w:r>
        <w:r>
          <w:rPr>
            <w:webHidden/>
          </w:rPr>
          <w:instrText xml:space="preserve"> PAGEREF _Toc238805482 \h </w:instrText>
        </w:r>
        <w:r>
          <w:rPr>
            <w:webHidden/>
          </w:rPr>
        </w:r>
        <w:r>
          <w:rPr>
            <w:webHidden/>
          </w:rPr>
          <w:fldChar w:fldCharType="separate"/>
        </w:r>
        <w:r w:rsidR="0020337C">
          <w:rPr>
            <w:webHidden/>
          </w:rPr>
          <w:t>10</w:t>
        </w:r>
        <w:r>
          <w:rPr>
            <w:webHidden/>
          </w:rPr>
          <w:fldChar w:fldCharType="end"/>
        </w:r>
      </w:hyperlink>
    </w:p>
    <w:p w14:paraId="76A0E9D4" w14:textId="3B485653" w:rsidR="005502D6" w:rsidRDefault="005502D6">
      <w:pPr>
        <w:pStyle w:val="TOC1"/>
        <w:rPr>
          <w:rFonts w:eastAsiaTheme="minorEastAsia"/>
          <w:kern w:val="2"/>
          <w:sz w:val="24"/>
          <w:szCs w:val="24"/>
          <w:lang w:eastAsia="en-AU"/>
          <w14:ligatures w14:val="standardContextual"/>
        </w:rPr>
      </w:pPr>
      <w:hyperlink w:anchor="_Toc238805483" w:history="1">
        <w:r w:rsidRPr="00316CDA">
          <w:rPr>
            <w:rStyle w:val="Hyperlink"/>
          </w:rPr>
          <w:t>6</w:t>
        </w:r>
        <w:r>
          <w:rPr>
            <w:rFonts w:eastAsiaTheme="minorEastAsia"/>
            <w:kern w:val="2"/>
            <w:sz w:val="24"/>
            <w:szCs w:val="24"/>
            <w:lang w:eastAsia="en-AU"/>
            <w14:ligatures w14:val="standardContextual"/>
          </w:rPr>
          <w:tab/>
        </w:r>
        <w:r w:rsidRPr="00316CDA">
          <w:rPr>
            <w:rStyle w:val="Hyperlink"/>
          </w:rPr>
          <w:t>Organisational capability</w:t>
        </w:r>
        <w:r>
          <w:rPr>
            <w:webHidden/>
          </w:rPr>
          <w:tab/>
        </w:r>
        <w:r>
          <w:rPr>
            <w:webHidden/>
          </w:rPr>
          <w:fldChar w:fldCharType="begin"/>
        </w:r>
        <w:r>
          <w:rPr>
            <w:webHidden/>
          </w:rPr>
          <w:instrText xml:space="preserve"> PAGEREF _Toc238805483 \h </w:instrText>
        </w:r>
        <w:r>
          <w:rPr>
            <w:webHidden/>
          </w:rPr>
        </w:r>
        <w:r>
          <w:rPr>
            <w:webHidden/>
          </w:rPr>
          <w:fldChar w:fldCharType="separate"/>
        </w:r>
        <w:r w:rsidR="0020337C">
          <w:rPr>
            <w:webHidden/>
          </w:rPr>
          <w:t>11</w:t>
        </w:r>
        <w:r>
          <w:rPr>
            <w:webHidden/>
          </w:rPr>
          <w:fldChar w:fldCharType="end"/>
        </w:r>
      </w:hyperlink>
    </w:p>
    <w:p w14:paraId="163759E3" w14:textId="52736215" w:rsidR="005502D6" w:rsidRDefault="005502D6">
      <w:pPr>
        <w:pStyle w:val="TOC2"/>
        <w:rPr>
          <w:rFonts w:eastAsiaTheme="minorEastAsia"/>
          <w:kern w:val="2"/>
          <w:sz w:val="24"/>
          <w:szCs w:val="24"/>
          <w:lang w:eastAsia="en-AU"/>
          <w14:ligatures w14:val="standardContextual"/>
        </w:rPr>
      </w:pPr>
      <w:hyperlink w:anchor="_Toc238805484" w:history="1">
        <w:r w:rsidRPr="00316CDA">
          <w:rPr>
            <w:rStyle w:val="Hyperlink"/>
          </w:rPr>
          <w:t>6.1</w:t>
        </w:r>
        <w:r>
          <w:rPr>
            <w:rFonts w:eastAsiaTheme="minorEastAsia"/>
            <w:kern w:val="2"/>
            <w:sz w:val="24"/>
            <w:szCs w:val="24"/>
            <w:lang w:eastAsia="en-AU"/>
            <w14:ligatures w14:val="standardContextual"/>
          </w:rPr>
          <w:tab/>
        </w:r>
        <w:r w:rsidRPr="00316CDA">
          <w:rPr>
            <w:rStyle w:val="Hyperlink"/>
          </w:rPr>
          <w:t>An organisation in transition</w:t>
        </w:r>
        <w:r>
          <w:rPr>
            <w:webHidden/>
          </w:rPr>
          <w:tab/>
        </w:r>
        <w:r>
          <w:rPr>
            <w:webHidden/>
          </w:rPr>
          <w:fldChar w:fldCharType="begin"/>
        </w:r>
        <w:r>
          <w:rPr>
            <w:webHidden/>
          </w:rPr>
          <w:instrText xml:space="preserve"> PAGEREF _Toc238805484 \h </w:instrText>
        </w:r>
        <w:r>
          <w:rPr>
            <w:webHidden/>
          </w:rPr>
        </w:r>
        <w:r>
          <w:rPr>
            <w:webHidden/>
          </w:rPr>
          <w:fldChar w:fldCharType="separate"/>
        </w:r>
        <w:r w:rsidR="0020337C">
          <w:rPr>
            <w:webHidden/>
          </w:rPr>
          <w:t>11</w:t>
        </w:r>
        <w:r>
          <w:rPr>
            <w:webHidden/>
          </w:rPr>
          <w:fldChar w:fldCharType="end"/>
        </w:r>
      </w:hyperlink>
    </w:p>
    <w:p w14:paraId="64801448" w14:textId="5986A498" w:rsidR="005502D6" w:rsidRDefault="005502D6">
      <w:pPr>
        <w:pStyle w:val="TOC2"/>
        <w:rPr>
          <w:rFonts w:eastAsiaTheme="minorEastAsia"/>
          <w:kern w:val="2"/>
          <w:sz w:val="24"/>
          <w:szCs w:val="24"/>
          <w:lang w:eastAsia="en-AU"/>
          <w14:ligatures w14:val="standardContextual"/>
        </w:rPr>
      </w:pPr>
      <w:hyperlink w:anchor="_Toc238805485" w:history="1">
        <w:r w:rsidRPr="00316CDA">
          <w:rPr>
            <w:rStyle w:val="Hyperlink"/>
          </w:rPr>
          <w:t>6.2</w:t>
        </w:r>
        <w:r>
          <w:rPr>
            <w:rFonts w:eastAsiaTheme="minorEastAsia"/>
            <w:kern w:val="2"/>
            <w:sz w:val="24"/>
            <w:szCs w:val="24"/>
            <w:lang w:eastAsia="en-AU"/>
            <w14:ligatures w14:val="standardContextual"/>
          </w:rPr>
          <w:tab/>
        </w:r>
        <w:r w:rsidRPr="00316CDA">
          <w:rPr>
            <w:rStyle w:val="Hyperlink"/>
          </w:rPr>
          <w:t>Recent capability improvements</w:t>
        </w:r>
        <w:r>
          <w:rPr>
            <w:webHidden/>
          </w:rPr>
          <w:tab/>
        </w:r>
        <w:r>
          <w:rPr>
            <w:webHidden/>
          </w:rPr>
          <w:fldChar w:fldCharType="begin"/>
        </w:r>
        <w:r>
          <w:rPr>
            <w:webHidden/>
          </w:rPr>
          <w:instrText xml:space="preserve"> PAGEREF _Toc238805485 \h </w:instrText>
        </w:r>
        <w:r>
          <w:rPr>
            <w:webHidden/>
          </w:rPr>
        </w:r>
        <w:r>
          <w:rPr>
            <w:webHidden/>
          </w:rPr>
          <w:fldChar w:fldCharType="separate"/>
        </w:r>
        <w:r w:rsidR="0020337C">
          <w:rPr>
            <w:webHidden/>
          </w:rPr>
          <w:t>12</w:t>
        </w:r>
        <w:r>
          <w:rPr>
            <w:webHidden/>
          </w:rPr>
          <w:fldChar w:fldCharType="end"/>
        </w:r>
      </w:hyperlink>
    </w:p>
    <w:p w14:paraId="2096FE8D" w14:textId="4E3E574B" w:rsidR="005502D6" w:rsidRDefault="005502D6">
      <w:pPr>
        <w:pStyle w:val="TOC2"/>
        <w:rPr>
          <w:rFonts w:eastAsiaTheme="minorEastAsia"/>
          <w:kern w:val="2"/>
          <w:sz w:val="24"/>
          <w:szCs w:val="24"/>
          <w:lang w:eastAsia="en-AU"/>
          <w14:ligatures w14:val="standardContextual"/>
        </w:rPr>
      </w:pPr>
      <w:hyperlink w:anchor="_Toc238805486" w:history="1">
        <w:r w:rsidRPr="00316CDA">
          <w:rPr>
            <w:rStyle w:val="Hyperlink"/>
          </w:rPr>
          <w:t>6.3</w:t>
        </w:r>
        <w:r>
          <w:rPr>
            <w:rFonts w:eastAsiaTheme="minorEastAsia"/>
            <w:kern w:val="2"/>
            <w:sz w:val="24"/>
            <w:szCs w:val="24"/>
            <w:lang w:eastAsia="en-AU"/>
            <w14:ligatures w14:val="standardContextual"/>
          </w:rPr>
          <w:tab/>
        </w:r>
        <w:r w:rsidRPr="00316CDA">
          <w:rPr>
            <w:rStyle w:val="Hyperlink"/>
          </w:rPr>
          <w:t>Corporate services</w:t>
        </w:r>
        <w:r>
          <w:rPr>
            <w:webHidden/>
          </w:rPr>
          <w:tab/>
        </w:r>
        <w:r>
          <w:rPr>
            <w:webHidden/>
          </w:rPr>
          <w:fldChar w:fldCharType="begin"/>
        </w:r>
        <w:r>
          <w:rPr>
            <w:webHidden/>
          </w:rPr>
          <w:instrText xml:space="preserve"> PAGEREF _Toc238805486 \h </w:instrText>
        </w:r>
        <w:r>
          <w:rPr>
            <w:webHidden/>
          </w:rPr>
        </w:r>
        <w:r>
          <w:rPr>
            <w:webHidden/>
          </w:rPr>
          <w:fldChar w:fldCharType="separate"/>
        </w:r>
        <w:r w:rsidR="0020337C">
          <w:rPr>
            <w:webHidden/>
          </w:rPr>
          <w:t>12</w:t>
        </w:r>
        <w:r>
          <w:rPr>
            <w:webHidden/>
          </w:rPr>
          <w:fldChar w:fldCharType="end"/>
        </w:r>
      </w:hyperlink>
    </w:p>
    <w:p w14:paraId="5BB02C61" w14:textId="660B74C8" w:rsidR="005502D6" w:rsidRDefault="005502D6">
      <w:pPr>
        <w:pStyle w:val="TOC1"/>
        <w:rPr>
          <w:rFonts w:eastAsiaTheme="minorEastAsia"/>
          <w:kern w:val="2"/>
          <w:sz w:val="24"/>
          <w:szCs w:val="24"/>
          <w:lang w:eastAsia="en-AU"/>
          <w14:ligatures w14:val="standardContextual"/>
        </w:rPr>
      </w:pPr>
      <w:hyperlink w:anchor="_Toc238805487" w:history="1">
        <w:r w:rsidRPr="00316CDA">
          <w:rPr>
            <w:rStyle w:val="Hyperlink"/>
          </w:rPr>
          <w:t>7</w:t>
        </w:r>
        <w:r>
          <w:rPr>
            <w:rFonts w:eastAsiaTheme="minorEastAsia"/>
            <w:kern w:val="2"/>
            <w:sz w:val="24"/>
            <w:szCs w:val="24"/>
            <w:lang w:eastAsia="en-AU"/>
            <w14:ligatures w14:val="standardContextual"/>
          </w:rPr>
          <w:tab/>
        </w:r>
        <w:r w:rsidRPr="00316CDA">
          <w:rPr>
            <w:rStyle w:val="Hyperlink"/>
          </w:rPr>
          <w:t>Opportunities for capability uplift</w:t>
        </w:r>
        <w:r>
          <w:rPr>
            <w:webHidden/>
          </w:rPr>
          <w:tab/>
        </w:r>
        <w:r>
          <w:rPr>
            <w:webHidden/>
          </w:rPr>
          <w:fldChar w:fldCharType="begin"/>
        </w:r>
        <w:r>
          <w:rPr>
            <w:webHidden/>
          </w:rPr>
          <w:instrText xml:space="preserve"> PAGEREF _Toc238805487 \h </w:instrText>
        </w:r>
        <w:r>
          <w:rPr>
            <w:webHidden/>
          </w:rPr>
        </w:r>
        <w:r>
          <w:rPr>
            <w:webHidden/>
          </w:rPr>
          <w:fldChar w:fldCharType="separate"/>
        </w:r>
        <w:r w:rsidR="0020337C">
          <w:rPr>
            <w:webHidden/>
          </w:rPr>
          <w:t>13</w:t>
        </w:r>
        <w:r>
          <w:rPr>
            <w:webHidden/>
          </w:rPr>
          <w:fldChar w:fldCharType="end"/>
        </w:r>
      </w:hyperlink>
    </w:p>
    <w:p w14:paraId="10A3782E" w14:textId="763CA3A1" w:rsidR="005502D6" w:rsidRDefault="005502D6">
      <w:pPr>
        <w:pStyle w:val="TOC2"/>
        <w:rPr>
          <w:rFonts w:eastAsiaTheme="minorEastAsia"/>
          <w:kern w:val="2"/>
          <w:sz w:val="24"/>
          <w:szCs w:val="24"/>
          <w:lang w:eastAsia="en-AU"/>
          <w14:ligatures w14:val="standardContextual"/>
        </w:rPr>
      </w:pPr>
      <w:hyperlink w:anchor="_Toc238805488" w:history="1">
        <w:r w:rsidRPr="00316CDA">
          <w:rPr>
            <w:rStyle w:val="Hyperlink"/>
          </w:rPr>
          <w:t>7.1</w:t>
        </w:r>
        <w:r>
          <w:rPr>
            <w:rFonts w:eastAsiaTheme="minorEastAsia"/>
            <w:kern w:val="2"/>
            <w:sz w:val="24"/>
            <w:szCs w:val="24"/>
            <w:lang w:eastAsia="en-AU"/>
            <w14:ligatures w14:val="standardContextual"/>
          </w:rPr>
          <w:tab/>
        </w:r>
        <w:r w:rsidRPr="00316CDA">
          <w:rPr>
            <w:rStyle w:val="Hyperlink"/>
          </w:rPr>
          <w:t>Program and project management</w:t>
        </w:r>
        <w:r>
          <w:rPr>
            <w:webHidden/>
          </w:rPr>
          <w:tab/>
        </w:r>
        <w:r>
          <w:rPr>
            <w:webHidden/>
          </w:rPr>
          <w:fldChar w:fldCharType="begin"/>
        </w:r>
        <w:r>
          <w:rPr>
            <w:webHidden/>
          </w:rPr>
          <w:instrText xml:space="preserve"> PAGEREF _Toc238805488 \h </w:instrText>
        </w:r>
        <w:r>
          <w:rPr>
            <w:webHidden/>
          </w:rPr>
        </w:r>
        <w:r>
          <w:rPr>
            <w:webHidden/>
          </w:rPr>
          <w:fldChar w:fldCharType="separate"/>
        </w:r>
        <w:r w:rsidR="0020337C">
          <w:rPr>
            <w:webHidden/>
          </w:rPr>
          <w:t>13</w:t>
        </w:r>
        <w:r>
          <w:rPr>
            <w:webHidden/>
          </w:rPr>
          <w:fldChar w:fldCharType="end"/>
        </w:r>
      </w:hyperlink>
    </w:p>
    <w:p w14:paraId="6A46489C" w14:textId="32AA23CA" w:rsidR="005502D6" w:rsidRDefault="005502D6">
      <w:pPr>
        <w:pStyle w:val="TOC2"/>
        <w:rPr>
          <w:rFonts w:eastAsiaTheme="minorEastAsia"/>
          <w:kern w:val="2"/>
          <w:sz w:val="24"/>
          <w:szCs w:val="24"/>
          <w:lang w:eastAsia="en-AU"/>
          <w14:ligatures w14:val="standardContextual"/>
        </w:rPr>
      </w:pPr>
      <w:hyperlink w:anchor="_Toc238805489" w:history="1">
        <w:r w:rsidRPr="00316CDA">
          <w:rPr>
            <w:rStyle w:val="Hyperlink"/>
          </w:rPr>
          <w:t>7.2</w:t>
        </w:r>
        <w:r>
          <w:rPr>
            <w:rFonts w:eastAsiaTheme="minorEastAsia"/>
            <w:kern w:val="2"/>
            <w:sz w:val="24"/>
            <w:szCs w:val="24"/>
            <w:lang w:eastAsia="en-AU"/>
            <w14:ligatures w14:val="standardContextual"/>
          </w:rPr>
          <w:tab/>
        </w:r>
        <w:r w:rsidRPr="00316CDA">
          <w:rPr>
            <w:rStyle w:val="Hyperlink"/>
          </w:rPr>
          <w:t>Program delivery risk and contingency planning</w:t>
        </w:r>
        <w:r>
          <w:rPr>
            <w:webHidden/>
          </w:rPr>
          <w:tab/>
        </w:r>
        <w:r>
          <w:rPr>
            <w:webHidden/>
          </w:rPr>
          <w:fldChar w:fldCharType="begin"/>
        </w:r>
        <w:r>
          <w:rPr>
            <w:webHidden/>
          </w:rPr>
          <w:instrText xml:space="preserve"> PAGEREF _Toc238805489 \h </w:instrText>
        </w:r>
        <w:r>
          <w:rPr>
            <w:webHidden/>
          </w:rPr>
        </w:r>
        <w:r>
          <w:rPr>
            <w:webHidden/>
          </w:rPr>
          <w:fldChar w:fldCharType="separate"/>
        </w:r>
        <w:r w:rsidR="0020337C">
          <w:rPr>
            <w:webHidden/>
          </w:rPr>
          <w:t>14</w:t>
        </w:r>
        <w:r>
          <w:rPr>
            <w:webHidden/>
          </w:rPr>
          <w:fldChar w:fldCharType="end"/>
        </w:r>
      </w:hyperlink>
    </w:p>
    <w:p w14:paraId="255C88F3" w14:textId="5DDD9BDF" w:rsidR="005502D6" w:rsidRDefault="005502D6">
      <w:pPr>
        <w:pStyle w:val="TOC2"/>
        <w:rPr>
          <w:rFonts w:eastAsiaTheme="minorEastAsia"/>
          <w:kern w:val="2"/>
          <w:sz w:val="24"/>
          <w:szCs w:val="24"/>
          <w:lang w:eastAsia="en-AU"/>
          <w14:ligatures w14:val="standardContextual"/>
        </w:rPr>
      </w:pPr>
      <w:hyperlink w:anchor="_Toc238805490" w:history="1">
        <w:r w:rsidRPr="00316CDA">
          <w:rPr>
            <w:rStyle w:val="Hyperlink"/>
          </w:rPr>
          <w:t>7.3</w:t>
        </w:r>
        <w:r>
          <w:rPr>
            <w:rFonts w:eastAsiaTheme="minorEastAsia"/>
            <w:kern w:val="2"/>
            <w:sz w:val="24"/>
            <w:szCs w:val="24"/>
            <w:lang w:eastAsia="en-AU"/>
            <w14:ligatures w14:val="standardContextual"/>
          </w:rPr>
          <w:tab/>
        </w:r>
        <w:r w:rsidRPr="00316CDA">
          <w:rPr>
            <w:rStyle w:val="Hyperlink"/>
          </w:rPr>
          <w:t>Timeframes from project application to contract closure</w:t>
        </w:r>
        <w:r>
          <w:rPr>
            <w:webHidden/>
          </w:rPr>
          <w:tab/>
        </w:r>
        <w:r>
          <w:rPr>
            <w:webHidden/>
          </w:rPr>
          <w:fldChar w:fldCharType="begin"/>
        </w:r>
        <w:r>
          <w:rPr>
            <w:webHidden/>
          </w:rPr>
          <w:instrText xml:space="preserve"> PAGEREF _Toc238805490 \h </w:instrText>
        </w:r>
        <w:r>
          <w:rPr>
            <w:webHidden/>
          </w:rPr>
        </w:r>
        <w:r>
          <w:rPr>
            <w:webHidden/>
          </w:rPr>
          <w:fldChar w:fldCharType="separate"/>
        </w:r>
        <w:r w:rsidR="0020337C">
          <w:rPr>
            <w:webHidden/>
          </w:rPr>
          <w:t>15</w:t>
        </w:r>
        <w:r>
          <w:rPr>
            <w:webHidden/>
          </w:rPr>
          <w:fldChar w:fldCharType="end"/>
        </w:r>
      </w:hyperlink>
    </w:p>
    <w:p w14:paraId="69FEAAEA" w14:textId="512ACE32" w:rsidR="005502D6" w:rsidRDefault="005502D6">
      <w:pPr>
        <w:pStyle w:val="TOC2"/>
        <w:rPr>
          <w:rFonts w:eastAsiaTheme="minorEastAsia"/>
          <w:kern w:val="2"/>
          <w:sz w:val="24"/>
          <w:szCs w:val="24"/>
          <w:lang w:eastAsia="en-AU"/>
          <w14:ligatures w14:val="standardContextual"/>
        </w:rPr>
      </w:pPr>
      <w:hyperlink w:anchor="_Toc238805491" w:history="1">
        <w:r w:rsidRPr="00316CDA">
          <w:rPr>
            <w:rStyle w:val="Hyperlink"/>
          </w:rPr>
          <w:t>7.4</w:t>
        </w:r>
        <w:r>
          <w:rPr>
            <w:rFonts w:eastAsiaTheme="minorEastAsia"/>
            <w:kern w:val="2"/>
            <w:sz w:val="24"/>
            <w:szCs w:val="24"/>
            <w:lang w:eastAsia="en-AU"/>
            <w14:ligatures w14:val="standardContextual"/>
          </w:rPr>
          <w:tab/>
        </w:r>
        <w:r w:rsidRPr="00316CDA">
          <w:rPr>
            <w:rStyle w:val="Hyperlink"/>
          </w:rPr>
          <w:t>Sector capability</w:t>
        </w:r>
        <w:r>
          <w:rPr>
            <w:webHidden/>
          </w:rPr>
          <w:tab/>
        </w:r>
        <w:r>
          <w:rPr>
            <w:webHidden/>
          </w:rPr>
          <w:fldChar w:fldCharType="begin"/>
        </w:r>
        <w:r>
          <w:rPr>
            <w:webHidden/>
          </w:rPr>
          <w:instrText xml:space="preserve"> PAGEREF _Toc238805491 \h </w:instrText>
        </w:r>
        <w:r>
          <w:rPr>
            <w:webHidden/>
          </w:rPr>
        </w:r>
        <w:r>
          <w:rPr>
            <w:webHidden/>
          </w:rPr>
          <w:fldChar w:fldCharType="separate"/>
        </w:r>
        <w:r w:rsidR="0020337C">
          <w:rPr>
            <w:webHidden/>
          </w:rPr>
          <w:t>15</w:t>
        </w:r>
        <w:r>
          <w:rPr>
            <w:webHidden/>
          </w:rPr>
          <w:fldChar w:fldCharType="end"/>
        </w:r>
      </w:hyperlink>
    </w:p>
    <w:p w14:paraId="69EFCEA3" w14:textId="7F8B7301" w:rsidR="005502D6" w:rsidRDefault="005502D6">
      <w:pPr>
        <w:pStyle w:val="TOC2"/>
        <w:rPr>
          <w:rFonts w:eastAsiaTheme="minorEastAsia"/>
          <w:kern w:val="2"/>
          <w:sz w:val="24"/>
          <w:szCs w:val="24"/>
          <w:lang w:eastAsia="en-AU"/>
          <w14:ligatures w14:val="standardContextual"/>
        </w:rPr>
      </w:pPr>
      <w:hyperlink w:anchor="_Toc238805492" w:history="1">
        <w:r w:rsidRPr="00316CDA">
          <w:rPr>
            <w:rStyle w:val="Hyperlink"/>
          </w:rPr>
          <w:t>7.5</w:t>
        </w:r>
        <w:r>
          <w:rPr>
            <w:rFonts w:eastAsiaTheme="minorEastAsia"/>
            <w:kern w:val="2"/>
            <w:sz w:val="24"/>
            <w:szCs w:val="24"/>
            <w:lang w:eastAsia="en-AU"/>
            <w14:ligatures w14:val="standardContextual"/>
          </w:rPr>
          <w:tab/>
        </w:r>
        <w:r w:rsidRPr="00316CDA">
          <w:rPr>
            <w:rStyle w:val="Hyperlink"/>
          </w:rPr>
          <w:t>Resourcing</w:t>
        </w:r>
        <w:r>
          <w:rPr>
            <w:webHidden/>
          </w:rPr>
          <w:tab/>
        </w:r>
        <w:r>
          <w:rPr>
            <w:webHidden/>
          </w:rPr>
          <w:fldChar w:fldCharType="begin"/>
        </w:r>
        <w:r>
          <w:rPr>
            <w:webHidden/>
          </w:rPr>
          <w:instrText xml:space="preserve"> PAGEREF _Toc238805492 \h </w:instrText>
        </w:r>
        <w:r>
          <w:rPr>
            <w:webHidden/>
          </w:rPr>
        </w:r>
        <w:r>
          <w:rPr>
            <w:webHidden/>
          </w:rPr>
          <w:fldChar w:fldCharType="separate"/>
        </w:r>
        <w:r w:rsidR="0020337C">
          <w:rPr>
            <w:webHidden/>
          </w:rPr>
          <w:t>16</w:t>
        </w:r>
        <w:r>
          <w:rPr>
            <w:webHidden/>
          </w:rPr>
          <w:fldChar w:fldCharType="end"/>
        </w:r>
      </w:hyperlink>
    </w:p>
    <w:p w14:paraId="2FD7382E" w14:textId="454B43F2" w:rsidR="005502D6" w:rsidRDefault="005502D6">
      <w:pPr>
        <w:pStyle w:val="TOC1"/>
        <w:rPr>
          <w:rFonts w:eastAsiaTheme="minorEastAsia"/>
          <w:kern w:val="2"/>
          <w:sz w:val="24"/>
          <w:szCs w:val="24"/>
          <w:lang w:eastAsia="en-AU"/>
          <w14:ligatures w14:val="standardContextual"/>
        </w:rPr>
      </w:pPr>
      <w:hyperlink w:anchor="_Toc238805493" w:history="1">
        <w:r w:rsidRPr="00316CDA">
          <w:rPr>
            <w:rStyle w:val="Hyperlink"/>
          </w:rPr>
          <w:t>8</w:t>
        </w:r>
        <w:r>
          <w:rPr>
            <w:rFonts w:eastAsiaTheme="minorEastAsia"/>
            <w:kern w:val="2"/>
            <w:sz w:val="24"/>
            <w:szCs w:val="24"/>
            <w:lang w:eastAsia="en-AU"/>
            <w14:ligatures w14:val="standardContextual"/>
          </w:rPr>
          <w:tab/>
        </w:r>
        <w:r w:rsidRPr="00316CDA">
          <w:rPr>
            <w:rStyle w:val="Hyperlink"/>
          </w:rPr>
          <w:t>Opportunities for governance improvement</w:t>
        </w:r>
        <w:r>
          <w:rPr>
            <w:webHidden/>
          </w:rPr>
          <w:tab/>
        </w:r>
        <w:r>
          <w:rPr>
            <w:webHidden/>
          </w:rPr>
          <w:fldChar w:fldCharType="begin"/>
        </w:r>
        <w:r>
          <w:rPr>
            <w:webHidden/>
          </w:rPr>
          <w:instrText xml:space="preserve"> PAGEREF _Toc238805493 \h </w:instrText>
        </w:r>
        <w:r>
          <w:rPr>
            <w:webHidden/>
          </w:rPr>
        </w:r>
        <w:r>
          <w:rPr>
            <w:webHidden/>
          </w:rPr>
          <w:fldChar w:fldCharType="separate"/>
        </w:r>
        <w:r w:rsidR="0020337C">
          <w:rPr>
            <w:webHidden/>
          </w:rPr>
          <w:t>17</w:t>
        </w:r>
        <w:r>
          <w:rPr>
            <w:webHidden/>
          </w:rPr>
          <w:fldChar w:fldCharType="end"/>
        </w:r>
      </w:hyperlink>
    </w:p>
    <w:p w14:paraId="6E9304F0" w14:textId="391DA179" w:rsidR="005502D6" w:rsidRDefault="005502D6">
      <w:pPr>
        <w:pStyle w:val="TOC2"/>
        <w:rPr>
          <w:rFonts w:eastAsiaTheme="minorEastAsia"/>
          <w:kern w:val="2"/>
          <w:sz w:val="24"/>
          <w:szCs w:val="24"/>
          <w:lang w:eastAsia="en-AU"/>
          <w14:ligatures w14:val="standardContextual"/>
        </w:rPr>
      </w:pPr>
      <w:hyperlink w:anchor="_Toc238805494" w:history="1">
        <w:r w:rsidRPr="00316CDA">
          <w:rPr>
            <w:rStyle w:val="Hyperlink"/>
          </w:rPr>
          <w:t>8.1</w:t>
        </w:r>
        <w:r>
          <w:rPr>
            <w:rFonts w:eastAsiaTheme="minorEastAsia"/>
            <w:kern w:val="2"/>
            <w:sz w:val="24"/>
            <w:szCs w:val="24"/>
            <w:lang w:eastAsia="en-AU"/>
            <w14:ligatures w14:val="standardContextual"/>
          </w:rPr>
          <w:tab/>
        </w:r>
        <w:r w:rsidRPr="00316CDA">
          <w:rPr>
            <w:rStyle w:val="Hyperlink"/>
          </w:rPr>
          <w:t>Culture</w:t>
        </w:r>
        <w:r>
          <w:rPr>
            <w:webHidden/>
          </w:rPr>
          <w:tab/>
        </w:r>
        <w:r>
          <w:rPr>
            <w:webHidden/>
          </w:rPr>
          <w:fldChar w:fldCharType="begin"/>
        </w:r>
        <w:r>
          <w:rPr>
            <w:webHidden/>
          </w:rPr>
          <w:instrText xml:space="preserve"> PAGEREF _Toc238805494 \h </w:instrText>
        </w:r>
        <w:r>
          <w:rPr>
            <w:webHidden/>
          </w:rPr>
        </w:r>
        <w:r>
          <w:rPr>
            <w:webHidden/>
          </w:rPr>
          <w:fldChar w:fldCharType="separate"/>
        </w:r>
        <w:r w:rsidR="0020337C">
          <w:rPr>
            <w:webHidden/>
          </w:rPr>
          <w:t>17</w:t>
        </w:r>
        <w:r>
          <w:rPr>
            <w:webHidden/>
          </w:rPr>
          <w:fldChar w:fldCharType="end"/>
        </w:r>
      </w:hyperlink>
    </w:p>
    <w:p w14:paraId="19316F4A" w14:textId="61D56990" w:rsidR="005502D6" w:rsidRDefault="005502D6">
      <w:pPr>
        <w:pStyle w:val="TOC2"/>
        <w:rPr>
          <w:rFonts w:eastAsiaTheme="minorEastAsia"/>
          <w:kern w:val="2"/>
          <w:sz w:val="24"/>
          <w:szCs w:val="24"/>
          <w:lang w:eastAsia="en-AU"/>
          <w14:ligatures w14:val="standardContextual"/>
        </w:rPr>
      </w:pPr>
      <w:hyperlink w:anchor="_Toc238805495" w:history="1">
        <w:r w:rsidRPr="00316CDA">
          <w:rPr>
            <w:rStyle w:val="Hyperlink"/>
          </w:rPr>
          <w:t>8.2</w:t>
        </w:r>
        <w:r>
          <w:rPr>
            <w:rFonts w:eastAsiaTheme="minorEastAsia"/>
            <w:kern w:val="2"/>
            <w:sz w:val="24"/>
            <w:szCs w:val="24"/>
            <w:lang w:eastAsia="en-AU"/>
            <w14:ligatures w14:val="standardContextual"/>
          </w:rPr>
          <w:tab/>
        </w:r>
        <w:r w:rsidRPr="00316CDA">
          <w:rPr>
            <w:rStyle w:val="Hyperlink"/>
          </w:rPr>
          <w:t>Board skills mix</w:t>
        </w:r>
        <w:r>
          <w:rPr>
            <w:webHidden/>
          </w:rPr>
          <w:tab/>
        </w:r>
        <w:r>
          <w:rPr>
            <w:webHidden/>
          </w:rPr>
          <w:fldChar w:fldCharType="begin"/>
        </w:r>
        <w:r>
          <w:rPr>
            <w:webHidden/>
          </w:rPr>
          <w:instrText xml:space="preserve"> PAGEREF _Toc238805495 \h </w:instrText>
        </w:r>
        <w:r>
          <w:rPr>
            <w:webHidden/>
          </w:rPr>
        </w:r>
        <w:r>
          <w:rPr>
            <w:webHidden/>
          </w:rPr>
          <w:fldChar w:fldCharType="separate"/>
        </w:r>
        <w:r w:rsidR="0020337C">
          <w:rPr>
            <w:webHidden/>
          </w:rPr>
          <w:t>17</w:t>
        </w:r>
        <w:r>
          <w:rPr>
            <w:webHidden/>
          </w:rPr>
          <w:fldChar w:fldCharType="end"/>
        </w:r>
      </w:hyperlink>
    </w:p>
    <w:p w14:paraId="1887265A" w14:textId="49140FCE" w:rsidR="005502D6" w:rsidRDefault="005502D6">
      <w:pPr>
        <w:pStyle w:val="TOC2"/>
        <w:rPr>
          <w:rFonts w:eastAsiaTheme="minorEastAsia"/>
          <w:kern w:val="2"/>
          <w:sz w:val="24"/>
          <w:szCs w:val="24"/>
          <w:lang w:eastAsia="en-AU"/>
          <w14:ligatures w14:val="standardContextual"/>
        </w:rPr>
      </w:pPr>
      <w:hyperlink w:anchor="_Toc238805496" w:history="1">
        <w:r w:rsidRPr="00316CDA">
          <w:rPr>
            <w:rStyle w:val="Hyperlink"/>
          </w:rPr>
          <w:t>8.3</w:t>
        </w:r>
        <w:r>
          <w:rPr>
            <w:rFonts w:eastAsiaTheme="minorEastAsia"/>
            <w:kern w:val="2"/>
            <w:sz w:val="24"/>
            <w:szCs w:val="24"/>
            <w:lang w:eastAsia="en-AU"/>
            <w14:ligatures w14:val="standardContextual"/>
          </w:rPr>
          <w:tab/>
        </w:r>
        <w:r w:rsidRPr="00316CDA">
          <w:rPr>
            <w:rStyle w:val="Hyperlink"/>
          </w:rPr>
          <w:t>Delegations</w:t>
        </w:r>
        <w:r>
          <w:rPr>
            <w:webHidden/>
          </w:rPr>
          <w:tab/>
        </w:r>
        <w:r>
          <w:rPr>
            <w:webHidden/>
          </w:rPr>
          <w:fldChar w:fldCharType="begin"/>
        </w:r>
        <w:r>
          <w:rPr>
            <w:webHidden/>
          </w:rPr>
          <w:instrText xml:space="preserve"> PAGEREF _Toc238805496 \h </w:instrText>
        </w:r>
        <w:r>
          <w:rPr>
            <w:webHidden/>
          </w:rPr>
        </w:r>
        <w:r>
          <w:rPr>
            <w:webHidden/>
          </w:rPr>
          <w:fldChar w:fldCharType="separate"/>
        </w:r>
        <w:r w:rsidR="0020337C">
          <w:rPr>
            <w:webHidden/>
          </w:rPr>
          <w:t>18</w:t>
        </w:r>
        <w:r>
          <w:rPr>
            <w:webHidden/>
          </w:rPr>
          <w:fldChar w:fldCharType="end"/>
        </w:r>
      </w:hyperlink>
    </w:p>
    <w:p w14:paraId="13D71494" w14:textId="58E914FC" w:rsidR="005502D6" w:rsidRDefault="005502D6">
      <w:pPr>
        <w:pStyle w:val="TOC2"/>
        <w:rPr>
          <w:rFonts w:eastAsiaTheme="minorEastAsia"/>
          <w:kern w:val="2"/>
          <w:sz w:val="24"/>
          <w:szCs w:val="24"/>
          <w:lang w:eastAsia="en-AU"/>
          <w14:ligatures w14:val="standardContextual"/>
        </w:rPr>
      </w:pPr>
      <w:hyperlink w:anchor="_Toc238805497" w:history="1">
        <w:r w:rsidRPr="00316CDA">
          <w:rPr>
            <w:rStyle w:val="Hyperlink"/>
          </w:rPr>
          <w:t>8.4</w:t>
        </w:r>
        <w:r>
          <w:rPr>
            <w:rFonts w:eastAsiaTheme="minorEastAsia"/>
            <w:kern w:val="2"/>
            <w:sz w:val="24"/>
            <w:szCs w:val="24"/>
            <w:lang w:eastAsia="en-AU"/>
            <w14:ligatures w14:val="standardContextual"/>
          </w:rPr>
          <w:tab/>
        </w:r>
        <w:r w:rsidRPr="00316CDA">
          <w:rPr>
            <w:rStyle w:val="Hyperlink"/>
          </w:rPr>
          <w:t>Data, systems and reporting</w:t>
        </w:r>
        <w:r>
          <w:rPr>
            <w:webHidden/>
          </w:rPr>
          <w:tab/>
        </w:r>
        <w:r>
          <w:rPr>
            <w:webHidden/>
          </w:rPr>
          <w:fldChar w:fldCharType="begin"/>
        </w:r>
        <w:r>
          <w:rPr>
            <w:webHidden/>
          </w:rPr>
          <w:instrText xml:space="preserve"> PAGEREF _Toc238805497 \h </w:instrText>
        </w:r>
        <w:r>
          <w:rPr>
            <w:webHidden/>
          </w:rPr>
        </w:r>
        <w:r>
          <w:rPr>
            <w:webHidden/>
          </w:rPr>
          <w:fldChar w:fldCharType="separate"/>
        </w:r>
        <w:r w:rsidR="0020337C">
          <w:rPr>
            <w:webHidden/>
          </w:rPr>
          <w:t>18</w:t>
        </w:r>
        <w:r>
          <w:rPr>
            <w:webHidden/>
          </w:rPr>
          <w:fldChar w:fldCharType="end"/>
        </w:r>
      </w:hyperlink>
    </w:p>
    <w:p w14:paraId="3D3D28FD" w14:textId="4DFBEB5C" w:rsidR="005502D6" w:rsidRDefault="005502D6">
      <w:pPr>
        <w:pStyle w:val="TOC1"/>
        <w:rPr>
          <w:rFonts w:eastAsiaTheme="minorEastAsia"/>
          <w:kern w:val="2"/>
          <w:sz w:val="24"/>
          <w:szCs w:val="24"/>
          <w:lang w:eastAsia="en-AU"/>
          <w14:ligatures w14:val="standardContextual"/>
        </w:rPr>
      </w:pPr>
      <w:hyperlink w:anchor="_Toc238805498" w:history="1">
        <w:r w:rsidRPr="00316CDA">
          <w:rPr>
            <w:rStyle w:val="Hyperlink"/>
          </w:rPr>
          <w:t>9</w:t>
        </w:r>
        <w:r>
          <w:rPr>
            <w:rFonts w:eastAsiaTheme="minorEastAsia"/>
            <w:kern w:val="2"/>
            <w:sz w:val="24"/>
            <w:szCs w:val="24"/>
            <w:lang w:eastAsia="en-AU"/>
            <w14:ligatures w14:val="standardContextual"/>
          </w:rPr>
          <w:tab/>
        </w:r>
        <w:r w:rsidRPr="00316CDA">
          <w:rPr>
            <w:rStyle w:val="Hyperlink"/>
          </w:rPr>
          <w:t>Strategic relationships</w:t>
        </w:r>
        <w:r>
          <w:rPr>
            <w:webHidden/>
          </w:rPr>
          <w:tab/>
        </w:r>
        <w:r>
          <w:rPr>
            <w:webHidden/>
          </w:rPr>
          <w:fldChar w:fldCharType="begin"/>
        </w:r>
        <w:r>
          <w:rPr>
            <w:webHidden/>
          </w:rPr>
          <w:instrText xml:space="preserve"> PAGEREF _Toc238805498 \h </w:instrText>
        </w:r>
        <w:r>
          <w:rPr>
            <w:webHidden/>
          </w:rPr>
        </w:r>
        <w:r>
          <w:rPr>
            <w:webHidden/>
          </w:rPr>
          <w:fldChar w:fldCharType="separate"/>
        </w:r>
        <w:r w:rsidR="0020337C">
          <w:rPr>
            <w:webHidden/>
          </w:rPr>
          <w:t>19</w:t>
        </w:r>
        <w:r>
          <w:rPr>
            <w:webHidden/>
          </w:rPr>
          <w:fldChar w:fldCharType="end"/>
        </w:r>
      </w:hyperlink>
    </w:p>
    <w:p w14:paraId="6E5A46BA" w14:textId="778DBB73" w:rsidR="005502D6" w:rsidRDefault="005502D6">
      <w:pPr>
        <w:pStyle w:val="TOC2"/>
        <w:rPr>
          <w:rFonts w:eastAsiaTheme="minorEastAsia"/>
          <w:kern w:val="2"/>
          <w:sz w:val="24"/>
          <w:szCs w:val="24"/>
          <w:lang w:eastAsia="en-AU"/>
          <w14:ligatures w14:val="standardContextual"/>
        </w:rPr>
      </w:pPr>
      <w:hyperlink w:anchor="_Toc238805499" w:history="1">
        <w:r w:rsidRPr="00316CDA">
          <w:rPr>
            <w:rStyle w:val="Hyperlink"/>
          </w:rPr>
          <w:t>9.1</w:t>
        </w:r>
        <w:r>
          <w:rPr>
            <w:rFonts w:eastAsiaTheme="minorEastAsia"/>
            <w:kern w:val="2"/>
            <w:sz w:val="24"/>
            <w:szCs w:val="24"/>
            <w:lang w:eastAsia="en-AU"/>
            <w14:ligatures w14:val="standardContextual"/>
          </w:rPr>
          <w:tab/>
        </w:r>
        <w:r w:rsidRPr="00316CDA">
          <w:rPr>
            <w:rStyle w:val="Hyperlink"/>
          </w:rPr>
          <w:t>Housing Australia’s relationship with Treasury</w:t>
        </w:r>
        <w:r>
          <w:rPr>
            <w:webHidden/>
          </w:rPr>
          <w:tab/>
        </w:r>
        <w:r>
          <w:rPr>
            <w:webHidden/>
          </w:rPr>
          <w:fldChar w:fldCharType="begin"/>
        </w:r>
        <w:r>
          <w:rPr>
            <w:webHidden/>
          </w:rPr>
          <w:instrText xml:space="preserve"> PAGEREF _Toc238805499 \h </w:instrText>
        </w:r>
        <w:r>
          <w:rPr>
            <w:webHidden/>
          </w:rPr>
        </w:r>
        <w:r>
          <w:rPr>
            <w:webHidden/>
          </w:rPr>
          <w:fldChar w:fldCharType="separate"/>
        </w:r>
        <w:r w:rsidR="0020337C">
          <w:rPr>
            <w:webHidden/>
          </w:rPr>
          <w:t>19</w:t>
        </w:r>
        <w:r>
          <w:rPr>
            <w:webHidden/>
          </w:rPr>
          <w:fldChar w:fldCharType="end"/>
        </w:r>
      </w:hyperlink>
    </w:p>
    <w:p w14:paraId="18583F17" w14:textId="796903CA" w:rsidR="005502D6" w:rsidRDefault="005502D6">
      <w:pPr>
        <w:pStyle w:val="TOC2"/>
        <w:rPr>
          <w:rFonts w:eastAsiaTheme="minorEastAsia"/>
          <w:kern w:val="2"/>
          <w:sz w:val="24"/>
          <w:szCs w:val="24"/>
          <w:lang w:eastAsia="en-AU"/>
          <w14:ligatures w14:val="standardContextual"/>
        </w:rPr>
      </w:pPr>
      <w:hyperlink w:anchor="_Toc238805500" w:history="1">
        <w:r w:rsidRPr="00316CDA">
          <w:rPr>
            <w:rStyle w:val="Hyperlink"/>
            <w:lang w:eastAsia="en-AU"/>
          </w:rPr>
          <w:t>9.2</w:t>
        </w:r>
        <w:r>
          <w:rPr>
            <w:rFonts w:eastAsiaTheme="minorEastAsia"/>
            <w:kern w:val="2"/>
            <w:sz w:val="24"/>
            <w:szCs w:val="24"/>
            <w:lang w:eastAsia="en-AU"/>
            <w14:ligatures w14:val="standardContextual"/>
          </w:rPr>
          <w:tab/>
        </w:r>
        <w:r w:rsidRPr="00316CDA">
          <w:rPr>
            <w:rStyle w:val="Hyperlink"/>
            <w:lang w:eastAsia="en-AU"/>
          </w:rPr>
          <w:t>Working with states and territories</w:t>
        </w:r>
        <w:r>
          <w:rPr>
            <w:webHidden/>
          </w:rPr>
          <w:tab/>
        </w:r>
        <w:r>
          <w:rPr>
            <w:webHidden/>
          </w:rPr>
          <w:fldChar w:fldCharType="begin"/>
        </w:r>
        <w:r>
          <w:rPr>
            <w:webHidden/>
          </w:rPr>
          <w:instrText xml:space="preserve"> PAGEREF _Toc238805500 \h </w:instrText>
        </w:r>
        <w:r>
          <w:rPr>
            <w:webHidden/>
          </w:rPr>
        </w:r>
        <w:r>
          <w:rPr>
            <w:webHidden/>
          </w:rPr>
          <w:fldChar w:fldCharType="separate"/>
        </w:r>
        <w:r w:rsidR="0020337C">
          <w:rPr>
            <w:webHidden/>
          </w:rPr>
          <w:t>19</w:t>
        </w:r>
        <w:r>
          <w:rPr>
            <w:webHidden/>
          </w:rPr>
          <w:fldChar w:fldCharType="end"/>
        </w:r>
      </w:hyperlink>
    </w:p>
    <w:p w14:paraId="0C791007" w14:textId="7E8FCF21" w:rsidR="005502D6" w:rsidRDefault="005502D6">
      <w:pPr>
        <w:pStyle w:val="TOC2"/>
        <w:rPr>
          <w:rFonts w:eastAsiaTheme="minorEastAsia"/>
          <w:kern w:val="2"/>
          <w:sz w:val="24"/>
          <w:szCs w:val="24"/>
          <w:lang w:eastAsia="en-AU"/>
          <w14:ligatures w14:val="standardContextual"/>
        </w:rPr>
      </w:pPr>
      <w:hyperlink w:anchor="_Toc238805501" w:history="1">
        <w:r w:rsidRPr="00316CDA">
          <w:rPr>
            <w:rStyle w:val="Hyperlink"/>
          </w:rPr>
          <w:t>9.3</w:t>
        </w:r>
        <w:r>
          <w:rPr>
            <w:rFonts w:eastAsiaTheme="minorEastAsia"/>
            <w:kern w:val="2"/>
            <w:sz w:val="24"/>
            <w:szCs w:val="24"/>
            <w:lang w:eastAsia="en-AU"/>
            <w14:ligatures w14:val="standardContextual"/>
          </w:rPr>
          <w:tab/>
        </w:r>
        <w:r w:rsidRPr="00316CDA">
          <w:rPr>
            <w:rStyle w:val="Hyperlink"/>
          </w:rPr>
          <w:t>Corporate communications</w:t>
        </w:r>
        <w:r>
          <w:rPr>
            <w:webHidden/>
          </w:rPr>
          <w:tab/>
        </w:r>
        <w:r>
          <w:rPr>
            <w:webHidden/>
          </w:rPr>
          <w:fldChar w:fldCharType="begin"/>
        </w:r>
        <w:r>
          <w:rPr>
            <w:webHidden/>
          </w:rPr>
          <w:instrText xml:space="preserve"> PAGEREF _Toc238805501 \h </w:instrText>
        </w:r>
        <w:r>
          <w:rPr>
            <w:webHidden/>
          </w:rPr>
        </w:r>
        <w:r>
          <w:rPr>
            <w:webHidden/>
          </w:rPr>
          <w:fldChar w:fldCharType="separate"/>
        </w:r>
        <w:r w:rsidR="0020337C">
          <w:rPr>
            <w:webHidden/>
          </w:rPr>
          <w:t>20</w:t>
        </w:r>
        <w:r>
          <w:rPr>
            <w:webHidden/>
          </w:rPr>
          <w:fldChar w:fldCharType="end"/>
        </w:r>
      </w:hyperlink>
    </w:p>
    <w:p w14:paraId="1B6898A3" w14:textId="14AC4CDC" w:rsidR="005502D6" w:rsidRDefault="005502D6">
      <w:pPr>
        <w:pStyle w:val="TOC1"/>
        <w:rPr>
          <w:rFonts w:eastAsiaTheme="minorEastAsia"/>
          <w:kern w:val="2"/>
          <w:sz w:val="24"/>
          <w:szCs w:val="24"/>
          <w:lang w:eastAsia="en-AU"/>
          <w14:ligatures w14:val="standardContextual"/>
        </w:rPr>
      </w:pPr>
      <w:hyperlink w:anchor="_Toc238805502" w:history="1">
        <w:r w:rsidRPr="00316CDA">
          <w:rPr>
            <w:rStyle w:val="Hyperlink"/>
          </w:rPr>
          <w:t>10</w:t>
        </w:r>
        <w:r>
          <w:rPr>
            <w:rFonts w:eastAsiaTheme="minorEastAsia"/>
            <w:kern w:val="2"/>
            <w:sz w:val="24"/>
            <w:szCs w:val="24"/>
            <w:lang w:eastAsia="en-AU"/>
            <w14:ligatures w14:val="standardContextual"/>
          </w:rPr>
          <w:tab/>
        </w:r>
        <w:r w:rsidRPr="00316CDA">
          <w:rPr>
            <w:rStyle w:val="Hyperlink"/>
          </w:rPr>
          <w:t>Market conditions</w:t>
        </w:r>
        <w:r>
          <w:rPr>
            <w:webHidden/>
          </w:rPr>
          <w:tab/>
        </w:r>
        <w:r>
          <w:rPr>
            <w:webHidden/>
          </w:rPr>
          <w:fldChar w:fldCharType="begin"/>
        </w:r>
        <w:r>
          <w:rPr>
            <w:webHidden/>
          </w:rPr>
          <w:instrText xml:space="preserve"> PAGEREF _Toc238805502 \h </w:instrText>
        </w:r>
        <w:r>
          <w:rPr>
            <w:webHidden/>
          </w:rPr>
        </w:r>
        <w:r>
          <w:rPr>
            <w:webHidden/>
          </w:rPr>
          <w:fldChar w:fldCharType="separate"/>
        </w:r>
        <w:r w:rsidR="0020337C">
          <w:rPr>
            <w:webHidden/>
          </w:rPr>
          <w:t>21</w:t>
        </w:r>
        <w:r>
          <w:rPr>
            <w:webHidden/>
          </w:rPr>
          <w:fldChar w:fldCharType="end"/>
        </w:r>
      </w:hyperlink>
    </w:p>
    <w:p w14:paraId="292D3012" w14:textId="16B4729E" w:rsidR="000618EF" w:rsidRPr="0055671F" w:rsidRDefault="00130783" w:rsidP="00CD3267">
      <w:pPr>
        <w:pStyle w:val="TOC1"/>
      </w:pPr>
      <w:r>
        <w:fldChar w:fldCharType="end"/>
      </w:r>
    </w:p>
    <w:p w14:paraId="4599ED18" w14:textId="49E49632" w:rsidR="000618EF" w:rsidRPr="00297B48" w:rsidRDefault="000618EF" w:rsidP="000618EF">
      <w:pPr>
        <w:pStyle w:val="TOCheadings"/>
      </w:pPr>
      <w:r w:rsidRPr="00297B48">
        <w:t xml:space="preserve">List of </w:t>
      </w:r>
      <w:r w:rsidR="0095032C">
        <w:t>a</w:t>
      </w:r>
      <w:r w:rsidRPr="00297B48">
        <w:t>ppendices</w:t>
      </w:r>
    </w:p>
    <w:p w14:paraId="1C281084" w14:textId="77777777" w:rsidR="003B1C83" w:rsidRDefault="000618EF">
      <w:pPr>
        <w:pStyle w:val="TOC1"/>
        <w:tabs>
          <w:tab w:val="left" w:pos="1260"/>
        </w:tabs>
        <w:rPr>
          <w:rFonts w:eastAsiaTheme="minorEastAsia"/>
          <w:kern w:val="2"/>
          <w:sz w:val="24"/>
          <w:szCs w:val="24"/>
          <w:lang w:eastAsia="en-AU"/>
          <w14:ligatures w14:val="standardContextual"/>
        </w:rPr>
      </w:pPr>
      <w:r>
        <w:fldChar w:fldCharType="begin"/>
      </w:r>
      <w:r>
        <w:instrText xml:space="preserve"> TOC \n \h \z \t "AppHeading1,1" </w:instrText>
      </w:r>
      <w:r>
        <w:fldChar w:fldCharType="separate"/>
      </w:r>
      <w:hyperlink w:anchor="_Toc238218727" w:history="1">
        <w:r w:rsidR="003B1C83" w:rsidRPr="0036379C">
          <w:rPr>
            <w:rStyle w:val="Hyperlink"/>
          </w:rPr>
          <w:t>Appendix A</w:t>
        </w:r>
        <w:r w:rsidR="003B1C83">
          <w:rPr>
            <w:rFonts w:eastAsiaTheme="minorEastAsia"/>
            <w:kern w:val="2"/>
            <w:sz w:val="24"/>
            <w:szCs w:val="24"/>
            <w:lang w:eastAsia="en-AU"/>
            <w14:ligatures w14:val="standardContextual"/>
          </w:rPr>
          <w:tab/>
        </w:r>
        <w:r w:rsidR="003B1C83" w:rsidRPr="0036379C">
          <w:rPr>
            <w:rStyle w:val="Hyperlink"/>
          </w:rPr>
          <w:t>Consultation list</w:t>
        </w:r>
      </w:hyperlink>
    </w:p>
    <w:p w14:paraId="480E576B" w14:textId="77777777" w:rsidR="003B1C83" w:rsidRDefault="003B1C83">
      <w:pPr>
        <w:pStyle w:val="TOC1"/>
        <w:tabs>
          <w:tab w:val="left" w:pos="1260"/>
        </w:tabs>
        <w:rPr>
          <w:rFonts w:eastAsiaTheme="minorEastAsia"/>
          <w:kern w:val="2"/>
          <w:sz w:val="24"/>
          <w:szCs w:val="24"/>
          <w:lang w:eastAsia="en-AU"/>
          <w14:ligatures w14:val="standardContextual"/>
        </w:rPr>
      </w:pPr>
      <w:hyperlink w:anchor="_Toc238218728" w:history="1">
        <w:r w:rsidRPr="0036379C">
          <w:rPr>
            <w:rStyle w:val="Hyperlink"/>
          </w:rPr>
          <w:t>Appendix B</w:t>
        </w:r>
        <w:r>
          <w:rPr>
            <w:rFonts w:eastAsiaTheme="minorEastAsia"/>
            <w:kern w:val="2"/>
            <w:sz w:val="24"/>
            <w:szCs w:val="24"/>
            <w:lang w:eastAsia="en-AU"/>
            <w14:ligatures w14:val="standardContextual"/>
          </w:rPr>
          <w:tab/>
        </w:r>
        <w:r w:rsidRPr="0036379C">
          <w:rPr>
            <w:rStyle w:val="Hyperlink"/>
          </w:rPr>
          <w:t>Definitions</w:t>
        </w:r>
      </w:hyperlink>
    </w:p>
    <w:p w14:paraId="693C77F0" w14:textId="27920C35" w:rsidR="003B1C83" w:rsidRDefault="003B1C83">
      <w:pPr>
        <w:pStyle w:val="TOC1"/>
        <w:tabs>
          <w:tab w:val="left" w:pos="1440"/>
        </w:tabs>
        <w:rPr>
          <w:rFonts w:eastAsiaTheme="minorEastAsia"/>
          <w:kern w:val="2"/>
          <w:sz w:val="24"/>
          <w:szCs w:val="24"/>
          <w:lang w:eastAsia="en-AU"/>
          <w14:ligatures w14:val="standardContextual"/>
        </w:rPr>
      </w:pPr>
      <w:hyperlink w:anchor="_Toc238218729" w:history="1">
        <w:r w:rsidRPr="0036379C">
          <w:rPr>
            <w:rStyle w:val="Hyperlink"/>
          </w:rPr>
          <w:t xml:space="preserve">Appendix C </w:t>
        </w:r>
        <w:r>
          <w:rPr>
            <w:rFonts w:eastAsiaTheme="minorEastAsia"/>
            <w:kern w:val="2"/>
            <w:sz w:val="24"/>
            <w:szCs w:val="24"/>
            <w:lang w:eastAsia="en-AU"/>
            <w14:ligatures w14:val="standardContextual"/>
          </w:rPr>
          <w:t xml:space="preserve">     </w:t>
        </w:r>
        <w:r w:rsidRPr="0036379C">
          <w:rPr>
            <w:rStyle w:val="Hyperlink"/>
          </w:rPr>
          <w:t>Assessment context, purpose, and scope</w:t>
        </w:r>
      </w:hyperlink>
    </w:p>
    <w:p w14:paraId="5F439B74" w14:textId="4FD22ABF" w:rsidR="00192B74" w:rsidRDefault="000618EF" w:rsidP="009B7D41">
      <w:pPr>
        <w:pStyle w:val="TOC1"/>
        <w:rPr>
          <w:rFonts w:asciiTheme="majorHAnsi" w:eastAsiaTheme="majorEastAsia" w:hAnsiTheme="majorHAnsi" w:cs="Arial"/>
          <w:b/>
          <w:bCs/>
          <w:color w:val="032432" w:themeColor="background2"/>
          <w:sz w:val="30"/>
          <w:szCs w:val="32"/>
        </w:rPr>
      </w:pPr>
      <w:r>
        <w:fldChar w:fldCharType="end"/>
      </w:r>
      <w:r w:rsidR="00192B74">
        <w:br w:type="page"/>
      </w:r>
    </w:p>
    <w:p w14:paraId="6FB99538" w14:textId="0C98B405" w:rsidR="00EA6EBF" w:rsidRDefault="003E0F56" w:rsidP="00973A4B">
      <w:pPr>
        <w:pStyle w:val="Heading1"/>
        <w:numPr>
          <w:ilvl w:val="0"/>
          <w:numId w:val="0"/>
        </w:numPr>
      </w:pPr>
      <w:bookmarkStart w:id="3" w:name="_Toc238805472"/>
      <w:r w:rsidRPr="00BF464D">
        <w:lastRenderedPageBreak/>
        <w:t>Disclaimer</w:t>
      </w:r>
      <w:bookmarkEnd w:id="3"/>
    </w:p>
    <w:p w14:paraId="2C56DA4A" w14:textId="77777777" w:rsidR="00C0400F" w:rsidRPr="00F57E27" w:rsidRDefault="00C0400F" w:rsidP="00C0400F">
      <w:pPr>
        <w:pStyle w:val="BodyText"/>
        <w:spacing w:line="240" w:lineRule="auto"/>
        <w:rPr>
          <w:b/>
          <w:bCs/>
        </w:rPr>
      </w:pPr>
      <w:r>
        <w:rPr>
          <w:b/>
          <w:bCs/>
        </w:rPr>
        <w:t xml:space="preserve">Purpose and scope </w:t>
      </w:r>
    </w:p>
    <w:p w14:paraId="1B0123A0" w14:textId="145A8E23" w:rsidR="00C0400F" w:rsidRDefault="00C0400F" w:rsidP="00C257E1">
      <w:pPr>
        <w:pStyle w:val="BodyText"/>
        <w:spacing w:before="120" w:line="240" w:lineRule="auto"/>
      </w:pPr>
      <w:r>
        <w:t>This report has been prepared by Ken Kanofski, with the support of KordaMentha, to consider whether Housing Australia’s governance, organisational arrangements and ways of working are positioned to support current and future Australian Government (Government) objectives.</w:t>
      </w:r>
      <w:r w:rsidDel="00CC6D4D">
        <w:t xml:space="preserve"> </w:t>
      </w:r>
      <w:r w:rsidR="0030788A">
        <w:t>The Assessment</w:t>
      </w:r>
      <w:r>
        <w:t xml:space="preserve"> has been limited to the scope agreed with the Treasury and should be read in that context. </w:t>
      </w:r>
    </w:p>
    <w:p w14:paraId="15C06354" w14:textId="53E7A544" w:rsidR="00C0400F" w:rsidRPr="00F57E27" w:rsidRDefault="0030788A" w:rsidP="00C257E1">
      <w:pPr>
        <w:pStyle w:val="BodyText"/>
        <w:spacing w:before="120" w:line="240" w:lineRule="auto"/>
      </w:pPr>
      <w:r>
        <w:t>The Assessment</w:t>
      </w:r>
      <w:r w:rsidR="00C0400F">
        <w:t xml:space="preserve"> is intended to provide observations, findings and recommendations regarding Housing Australia’s current capabilities, operating environment, governance arrangements and delivery model. </w:t>
      </w:r>
    </w:p>
    <w:p w14:paraId="10AF5BD2" w14:textId="77777777" w:rsidR="00C0400F" w:rsidRPr="00FB107C" w:rsidRDefault="00C0400F" w:rsidP="00C0400F">
      <w:pPr>
        <w:pStyle w:val="BodyText"/>
        <w:spacing w:line="240" w:lineRule="auto"/>
        <w:rPr>
          <w:b/>
          <w:bCs/>
        </w:rPr>
      </w:pPr>
      <w:r w:rsidRPr="00FB107C">
        <w:rPr>
          <w:b/>
          <w:bCs/>
        </w:rPr>
        <w:t xml:space="preserve">Sources of information </w:t>
      </w:r>
    </w:p>
    <w:p w14:paraId="326233A6" w14:textId="04F74962" w:rsidR="00C0400F" w:rsidRDefault="00C0400F" w:rsidP="00C257E1">
      <w:pPr>
        <w:pStyle w:val="BodyText"/>
        <w:spacing w:before="120" w:line="240" w:lineRule="auto"/>
      </w:pPr>
      <w:r>
        <w:t xml:space="preserve">Findings and observations contained in this report are based broader consultation and information considered as part of </w:t>
      </w:r>
      <w:r w:rsidR="0030788A">
        <w:t>the Assessment</w:t>
      </w:r>
      <w:r>
        <w:t xml:space="preserve">. </w:t>
      </w:r>
    </w:p>
    <w:p w14:paraId="2A721927" w14:textId="70567DFB" w:rsidR="00C0400F" w:rsidRPr="00045649" w:rsidRDefault="00C0400F" w:rsidP="00C257E1">
      <w:pPr>
        <w:pStyle w:val="BodyText"/>
        <w:spacing w:before="120" w:line="240" w:lineRule="auto"/>
      </w:pPr>
      <w:r>
        <w:t xml:space="preserve">Information </w:t>
      </w:r>
      <w:r w:rsidRPr="00FB107C">
        <w:t xml:space="preserve">has been obtained from the records provided </w:t>
      </w:r>
      <w:r>
        <w:t xml:space="preserve">by Housing Australia </w:t>
      </w:r>
      <w:r w:rsidRPr="00FB107C">
        <w:t xml:space="preserve">and discussions with </w:t>
      </w:r>
      <w:r>
        <w:t>Housing Australia</w:t>
      </w:r>
      <w:r w:rsidRPr="00FB107C">
        <w:t xml:space="preserve">, </w:t>
      </w:r>
      <w:r>
        <w:t>and its key stakeholders</w:t>
      </w:r>
      <w:r w:rsidRPr="00FB107C">
        <w:t>. In many instances, we have relied on the representations of these parties and individuals.</w:t>
      </w:r>
      <w:r w:rsidRPr="00C257E1">
        <w:t xml:space="preserve"> </w:t>
      </w:r>
      <w:r w:rsidRPr="00FB107C">
        <w:t>The statements and opinions contained in this report are given in good faith. However, in the preparation of this report, we have relied upon the accuracy and completeness of information provided by the above parties</w:t>
      </w:r>
      <w:r>
        <w:t xml:space="preserve"> and have not independently verified those representations</w:t>
      </w:r>
      <w:r w:rsidRPr="00FB107C">
        <w:t>.</w:t>
      </w:r>
    </w:p>
    <w:p w14:paraId="763BBE50" w14:textId="77777777" w:rsidR="00C0400F" w:rsidRPr="00FB107C" w:rsidRDefault="00C0400F" w:rsidP="00C0400F">
      <w:pPr>
        <w:pStyle w:val="BodyText"/>
        <w:spacing w:line="240" w:lineRule="auto"/>
        <w:rPr>
          <w:b/>
          <w:bCs/>
        </w:rPr>
      </w:pPr>
      <w:r>
        <w:rPr>
          <w:b/>
          <w:bCs/>
        </w:rPr>
        <w:t>L</w:t>
      </w:r>
      <w:r w:rsidRPr="00FB107C">
        <w:rPr>
          <w:b/>
          <w:bCs/>
        </w:rPr>
        <w:t xml:space="preserve">imitations </w:t>
      </w:r>
    </w:p>
    <w:p w14:paraId="6D00F866" w14:textId="77777777" w:rsidR="00C0400F" w:rsidRDefault="00C0400F" w:rsidP="00C257E1">
      <w:pPr>
        <w:pStyle w:val="BodyText"/>
        <w:spacing w:before="120" w:line="240" w:lineRule="auto"/>
      </w:pPr>
      <w:r>
        <w:t>The report has been prepared based on a top-down, rapid assessment. Ken Kanofski and KordaMentha have not sought to identify and consider every matter that may be relevant to Housing Australia and its operations.</w:t>
      </w:r>
    </w:p>
    <w:p w14:paraId="59464C47" w14:textId="77777777" w:rsidR="00C0400F" w:rsidRPr="00FC02DD" w:rsidRDefault="00C0400F" w:rsidP="00C257E1">
      <w:pPr>
        <w:pStyle w:val="BodyText"/>
        <w:spacing w:before="120" w:line="240" w:lineRule="auto"/>
      </w:pPr>
      <w:r>
        <w:t xml:space="preserve">Ken Kanofski and KordaMentha have not undertaken an audit, assurance review, forensic investigation or legal review, and no such opinion or assurance is expressed. </w:t>
      </w:r>
      <w:r w:rsidRPr="00FB107C">
        <w:t xml:space="preserve">Any information, </w:t>
      </w:r>
      <w:r w:rsidRPr="00FC02DD">
        <w:t xml:space="preserve">projections or statements provided in this report are solely the responsibility of the parties providing the information, projections or statements and we have not independently verified such information, projections or statements. </w:t>
      </w:r>
    </w:p>
    <w:p w14:paraId="78E916EE" w14:textId="77777777" w:rsidR="00C0400F" w:rsidRDefault="00C0400F" w:rsidP="00C257E1">
      <w:pPr>
        <w:pStyle w:val="BodyText"/>
        <w:spacing w:before="120" w:line="240" w:lineRule="auto"/>
      </w:pPr>
      <w:r w:rsidRPr="00FC02DD">
        <w:t>We have no responsibility to update this report for events or circumstances occurring</w:t>
      </w:r>
      <w:r w:rsidRPr="00FB107C">
        <w:t xml:space="preserve"> after the date of this report, apart from any subsequent arrangement.</w:t>
      </w:r>
    </w:p>
    <w:p w14:paraId="2121B22E" w14:textId="77777777" w:rsidR="00C0400F" w:rsidRPr="00FC02DD" w:rsidRDefault="00C0400F" w:rsidP="00C257E1">
      <w:pPr>
        <w:pStyle w:val="BodyText"/>
        <w:spacing w:before="120" w:line="240" w:lineRule="auto"/>
      </w:pPr>
      <w:r w:rsidRPr="00FC02DD">
        <w:t>The report should be read as a whole and in the context of its purpose, scope, methodology, assumptions and limitations. No part of the report should be read or relied upon in isolation.</w:t>
      </w:r>
    </w:p>
    <w:p w14:paraId="24BD6328" w14:textId="77777777" w:rsidR="00C0400F" w:rsidRPr="00C257E1" w:rsidRDefault="00C0400F" w:rsidP="00C257E1">
      <w:pPr>
        <w:pStyle w:val="BodyText"/>
        <w:spacing w:before="120" w:line="240" w:lineRule="auto"/>
      </w:pPr>
      <w:r w:rsidRPr="00C257E1">
        <w:t>Unless otherwise stated, all figures included in this report are expressed in Australian dollars and have not been adjusted for the time value of money.</w:t>
      </w:r>
    </w:p>
    <w:p w14:paraId="1091C436" w14:textId="77777777" w:rsidR="00C0400F" w:rsidRPr="00FC02DD" w:rsidRDefault="00C0400F" w:rsidP="00C0400F">
      <w:pPr>
        <w:pStyle w:val="BodyText"/>
        <w:spacing w:line="240" w:lineRule="auto"/>
        <w:rPr>
          <w:b/>
        </w:rPr>
      </w:pPr>
      <w:r w:rsidRPr="00FC02DD">
        <w:rPr>
          <w:b/>
        </w:rPr>
        <w:t>Reliance and use</w:t>
      </w:r>
    </w:p>
    <w:p w14:paraId="4320F474" w14:textId="77777777" w:rsidR="00C0400F" w:rsidRPr="00C257E1" w:rsidRDefault="00C0400F" w:rsidP="00C257E1">
      <w:pPr>
        <w:pStyle w:val="BodyText"/>
        <w:spacing w:before="120" w:line="240" w:lineRule="auto"/>
      </w:pPr>
      <w:r w:rsidRPr="00C257E1">
        <w:t>This report has been prepared solely for the Treasury</w:t>
      </w:r>
      <w:r w:rsidRPr="00FC02DD">
        <w:t xml:space="preserve"> and the Minister.</w:t>
      </w:r>
      <w:r w:rsidRPr="00C257E1">
        <w:t xml:space="preserve"> It should not be relied upon by any other party without Ken Kanofski and KordaMentha’s prior written consent. </w:t>
      </w:r>
    </w:p>
    <w:p w14:paraId="624EDFC1" w14:textId="77777777" w:rsidR="00C0400F" w:rsidRPr="00C257E1" w:rsidRDefault="00C0400F" w:rsidP="00C257E1">
      <w:pPr>
        <w:pStyle w:val="BodyText"/>
        <w:spacing w:before="120" w:line="240" w:lineRule="auto"/>
      </w:pPr>
      <w:r w:rsidRPr="00C257E1">
        <w:t>The receipt or possession of the report by another person does not create any duty of care, responsibility or liability on the part of Ken Kanofski or KordaMentha to that person. To the maximum extent permitted by law, Ken Kanofski and KordaMentha disclaim responsibility and liability to any person who is not an intended recipient for any loss arising from that person’s access to, use of or reliance on the report.</w:t>
      </w:r>
    </w:p>
    <w:p w14:paraId="06EAD23F" w14:textId="77777777" w:rsidR="00C0400F" w:rsidRDefault="00C0400F" w:rsidP="00C257E1">
      <w:pPr>
        <w:pStyle w:val="BodyText"/>
        <w:spacing w:before="120" w:line="240" w:lineRule="auto"/>
      </w:pPr>
      <w:r w:rsidRPr="00C257E1">
        <w:t xml:space="preserve">The decision to implement any or </w:t>
      </w:r>
      <w:proofErr w:type="gramStart"/>
      <w:r w:rsidRPr="00C257E1">
        <w:t>all of</w:t>
      </w:r>
      <w:proofErr w:type="gramEnd"/>
      <w:r w:rsidRPr="00C257E1">
        <w:t xml:space="preserve"> the recommendations that arise from this engagement, or to take or refrain from taking any actions pursuant to the conclusions in this report, is entirely at the discretion of </w:t>
      </w:r>
      <w:r>
        <w:t xml:space="preserve">Government. </w:t>
      </w:r>
    </w:p>
    <w:p w14:paraId="3C6D00D4" w14:textId="07275F36" w:rsidR="002F2090" w:rsidRDefault="002F2090" w:rsidP="00C257E1">
      <w:pPr>
        <w:pStyle w:val="BodyText"/>
        <w:spacing w:before="120" w:line="240" w:lineRule="auto"/>
      </w:pPr>
    </w:p>
    <w:p w14:paraId="031318C1" w14:textId="40ACA46C" w:rsidR="002F2090" w:rsidRPr="00C257E1" w:rsidRDefault="002F2090" w:rsidP="00C257E1">
      <w:pPr>
        <w:pStyle w:val="BodyText"/>
        <w:spacing w:before="120" w:line="240" w:lineRule="auto"/>
      </w:pPr>
    </w:p>
    <w:p w14:paraId="40F3DF6E" w14:textId="6356F817" w:rsidR="00FB107C" w:rsidRPr="00FB107C" w:rsidRDefault="00C0400F" w:rsidP="00FB107C">
      <w:pPr>
        <w:pStyle w:val="BodyText"/>
        <w:rPr>
          <w:b/>
        </w:rPr>
      </w:pPr>
      <w:r>
        <w:rPr>
          <w:b/>
        </w:rPr>
        <w:t xml:space="preserve">Ken Kanofski </w:t>
      </w:r>
      <w:r w:rsidR="00FB107C" w:rsidRPr="00FB107C">
        <w:rPr>
          <w:b/>
        </w:rPr>
        <w:br/>
      </w:r>
    </w:p>
    <w:p w14:paraId="740AC19C" w14:textId="497D0B62" w:rsidR="00672896" w:rsidRPr="003E0F56" w:rsidRDefault="00672896" w:rsidP="00EA6EBF">
      <w:pPr>
        <w:pStyle w:val="BodyText"/>
        <w:rPr>
          <w:b/>
        </w:rPr>
        <w:sectPr w:rsidR="00672896" w:rsidRPr="003E0F56" w:rsidSect="00A627D7">
          <w:headerReference w:type="even" r:id="rId8"/>
          <w:headerReference w:type="default" r:id="rId9"/>
          <w:footerReference w:type="default" r:id="rId10"/>
          <w:headerReference w:type="first" r:id="rId11"/>
          <w:pgSz w:w="11906" w:h="16838" w:code="9"/>
          <w:pgMar w:top="1843" w:right="1134" w:bottom="1134" w:left="1134" w:header="709" w:footer="284" w:gutter="0"/>
          <w:pgNumType w:fmt="lowerRoman" w:start="1"/>
          <w:cols w:space="708"/>
          <w:docGrid w:linePitch="360"/>
        </w:sectPr>
      </w:pPr>
    </w:p>
    <w:p w14:paraId="5BB285F7" w14:textId="5C632008" w:rsidR="00B91A05" w:rsidRDefault="00292747" w:rsidP="00191213">
      <w:pPr>
        <w:pStyle w:val="Heading1"/>
        <w:numPr>
          <w:ilvl w:val="0"/>
          <w:numId w:val="0"/>
        </w:numPr>
      </w:pPr>
      <w:bookmarkStart w:id="4" w:name="_Toc238805473"/>
      <w:r>
        <w:lastRenderedPageBreak/>
        <w:t>Executive summary</w:t>
      </w:r>
      <w:bookmarkEnd w:id="4"/>
      <w:r w:rsidR="00A404DD">
        <w:t xml:space="preserve"> </w:t>
      </w:r>
    </w:p>
    <w:p w14:paraId="73F18126" w14:textId="612D7101" w:rsidR="007B6029" w:rsidRPr="00FA7F29" w:rsidRDefault="00D45E85" w:rsidP="005C0011">
      <w:pPr>
        <w:pStyle w:val="BodyText"/>
        <w:spacing w:before="120"/>
        <w:rPr>
          <w:sz w:val="19"/>
          <w:szCs w:val="19"/>
        </w:rPr>
      </w:pPr>
      <w:r w:rsidRPr="00FA7F29">
        <w:rPr>
          <w:sz w:val="19"/>
          <w:szCs w:val="19"/>
        </w:rPr>
        <w:t xml:space="preserve">Housing Australia has undergone substantial change </w:t>
      </w:r>
      <w:r w:rsidR="004E6B41" w:rsidRPr="00FA7F29">
        <w:rPr>
          <w:sz w:val="19"/>
          <w:szCs w:val="19"/>
        </w:rPr>
        <w:t>following</w:t>
      </w:r>
      <w:r w:rsidR="00FD4151" w:rsidRPr="00FA7F29">
        <w:rPr>
          <w:sz w:val="19"/>
          <w:szCs w:val="19"/>
        </w:rPr>
        <w:t xml:space="preserve"> </w:t>
      </w:r>
      <w:r w:rsidR="002A5F1A" w:rsidRPr="00FA7F29">
        <w:rPr>
          <w:sz w:val="19"/>
          <w:szCs w:val="19"/>
        </w:rPr>
        <w:t>the 2023</w:t>
      </w:r>
      <w:r w:rsidR="00FD4151" w:rsidRPr="00FA7F29">
        <w:rPr>
          <w:sz w:val="19"/>
          <w:szCs w:val="19"/>
        </w:rPr>
        <w:t xml:space="preserve"> transition from the National Housing Finance and Investment Corporation (NHFIC) to Housing Australia</w:t>
      </w:r>
      <w:r w:rsidR="00FE25FC" w:rsidRPr="00FA7F29">
        <w:rPr>
          <w:sz w:val="19"/>
          <w:szCs w:val="19"/>
        </w:rPr>
        <w:t>. Thi</w:t>
      </w:r>
      <w:r w:rsidR="00F8455C" w:rsidRPr="00FA7F29">
        <w:rPr>
          <w:sz w:val="19"/>
          <w:szCs w:val="19"/>
        </w:rPr>
        <w:t>s change</w:t>
      </w:r>
      <w:r w:rsidR="00FE25FC" w:rsidRPr="00FA7F29">
        <w:rPr>
          <w:sz w:val="19"/>
          <w:szCs w:val="19"/>
        </w:rPr>
        <w:t xml:space="preserve"> </w:t>
      </w:r>
      <w:r w:rsidR="004E6B41" w:rsidRPr="00FA7F29">
        <w:rPr>
          <w:sz w:val="19"/>
          <w:szCs w:val="19"/>
        </w:rPr>
        <w:t>expan</w:t>
      </w:r>
      <w:r w:rsidR="002D6284" w:rsidRPr="00FA7F29">
        <w:rPr>
          <w:sz w:val="19"/>
          <w:szCs w:val="19"/>
        </w:rPr>
        <w:t>ded</w:t>
      </w:r>
      <w:r w:rsidR="004E6B41" w:rsidRPr="00FA7F29">
        <w:rPr>
          <w:sz w:val="19"/>
          <w:szCs w:val="19"/>
        </w:rPr>
        <w:t xml:space="preserve"> </w:t>
      </w:r>
      <w:r w:rsidR="00984721" w:rsidRPr="00FA7F29">
        <w:rPr>
          <w:sz w:val="19"/>
          <w:szCs w:val="19"/>
        </w:rPr>
        <w:t xml:space="preserve">Housing Australia’s </w:t>
      </w:r>
      <w:r w:rsidRPr="00FA7F29">
        <w:rPr>
          <w:sz w:val="19"/>
          <w:szCs w:val="19"/>
        </w:rPr>
        <w:t xml:space="preserve">mandate </w:t>
      </w:r>
      <w:r w:rsidR="00EB4E72" w:rsidRPr="00FA7F29">
        <w:rPr>
          <w:sz w:val="19"/>
          <w:szCs w:val="19"/>
        </w:rPr>
        <w:t xml:space="preserve">and a transition </w:t>
      </w:r>
      <w:r w:rsidR="00846964" w:rsidRPr="00FA7F29">
        <w:rPr>
          <w:sz w:val="19"/>
          <w:szCs w:val="19"/>
        </w:rPr>
        <w:t xml:space="preserve">from a </w:t>
      </w:r>
      <w:r w:rsidR="00D658BD" w:rsidRPr="00FA7F29">
        <w:rPr>
          <w:sz w:val="19"/>
          <w:szCs w:val="19"/>
        </w:rPr>
        <w:t>specialist financing provider</w:t>
      </w:r>
      <w:r w:rsidRPr="00FA7F29">
        <w:rPr>
          <w:sz w:val="19"/>
          <w:szCs w:val="19"/>
        </w:rPr>
        <w:t xml:space="preserve"> to </w:t>
      </w:r>
      <w:r w:rsidR="00292B04" w:rsidRPr="00FA7F29">
        <w:rPr>
          <w:sz w:val="19"/>
          <w:szCs w:val="19"/>
        </w:rPr>
        <w:t xml:space="preserve">having </w:t>
      </w:r>
      <w:r w:rsidRPr="00FA7F29">
        <w:rPr>
          <w:sz w:val="19"/>
          <w:szCs w:val="19"/>
        </w:rPr>
        <w:t xml:space="preserve">a central role in delivering the Government’s housing agenda. </w:t>
      </w:r>
    </w:p>
    <w:p w14:paraId="0BE76093" w14:textId="15076CD2" w:rsidR="00D45E85" w:rsidRPr="00FA7F29" w:rsidRDefault="00D45E85" w:rsidP="005C0011">
      <w:pPr>
        <w:pStyle w:val="BodyText"/>
        <w:spacing w:before="120"/>
        <w:rPr>
          <w:sz w:val="19"/>
          <w:szCs w:val="19"/>
        </w:rPr>
      </w:pPr>
      <w:r w:rsidRPr="00FA7F29">
        <w:rPr>
          <w:sz w:val="19"/>
          <w:szCs w:val="19"/>
        </w:rPr>
        <w:t xml:space="preserve">This </w:t>
      </w:r>
      <w:r w:rsidR="007B6029" w:rsidRPr="00FA7F29">
        <w:rPr>
          <w:sz w:val="19"/>
          <w:szCs w:val="19"/>
        </w:rPr>
        <w:t xml:space="preserve">report is the result of a </w:t>
      </w:r>
      <w:r w:rsidRPr="00FA7F29">
        <w:rPr>
          <w:sz w:val="19"/>
          <w:szCs w:val="19"/>
        </w:rPr>
        <w:t xml:space="preserve">rapid, independent and forward-looking </w:t>
      </w:r>
      <w:r w:rsidR="008E2044" w:rsidRPr="00FA7F29">
        <w:rPr>
          <w:sz w:val="19"/>
          <w:szCs w:val="19"/>
        </w:rPr>
        <w:t xml:space="preserve">capability </w:t>
      </w:r>
      <w:r w:rsidR="003B2EC0" w:rsidRPr="00FA7F29">
        <w:rPr>
          <w:sz w:val="19"/>
          <w:szCs w:val="19"/>
        </w:rPr>
        <w:t>a</w:t>
      </w:r>
      <w:r w:rsidRPr="00FA7F29">
        <w:rPr>
          <w:sz w:val="19"/>
          <w:szCs w:val="19"/>
        </w:rPr>
        <w:t>ssessment</w:t>
      </w:r>
      <w:r w:rsidR="00AA4580" w:rsidRPr="00FA7F29">
        <w:rPr>
          <w:sz w:val="19"/>
          <w:szCs w:val="19"/>
        </w:rPr>
        <w:t xml:space="preserve"> </w:t>
      </w:r>
      <w:r w:rsidR="00AA4CE2" w:rsidRPr="00FA7F29">
        <w:rPr>
          <w:sz w:val="19"/>
          <w:szCs w:val="19"/>
        </w:rPr>
        <w:t xml:space="preserve">(the Assessment) </w:t>
      </w:r>
      <w:r w:rsidR="007B6029" w:rsidRPr="00FA7F29">
        <w:rPr>
          <w:sz w:val="19"/>
          <w:szCs w:val="19"/>
        </w:rPr>
        <w:t xml:space="preserve">which has </w:t>
      </w:r>
      <w:r w:rsidRPr="00FA7F29">
        <w:rPr>
          <w:sz w:val="19"/>
          <w:szCs w:val="19"/>
        </w:rPr>
        <w:t>considered whether</w:t>
      </w:r>
      <w:r w:rsidR="003B2EC0" w:rsidRPr="00FA7F29">
        <w:rPr>
          <w:sz w:val="19"/>
          <w:szCs w:val="19"/>
        </w:rPr>
        <w:t xml:space="preserve"> Housing Australia’s</w:t>
      </w:r>
      <w:r w:rsidRPr="00FA7F29">
        <w:rPr>
          <w:sz w:val="19"/>
          <w:szCs w:val="19"/>
        </w:rPr>
        <w:t xml:space="preserve"> governance, organisational arrangements and ways of working are positioned to support </w:t>
      </w:r>
      <w:r w:rsidR="001B2FD0" w:rsidRPr="00FA7F29">
        <w:rPr>
          <w:sz w:val="19"/>
          <w:szCs w:val="19"/>
        </w:rPr>
        <w:t xml:space="preserve">Housing Australia’s </w:t>
      </w:r>
      <w:r w:rsidR="00E505A5" w:rsidRPr="00FA7F29">
        <w:rPr>
          <w:sz w:val="19"/>
          <w:szCs w:val="19"/>
        </w:rPr>
        <w:t xml:space="preserve">expanded </w:t>
      </w:r>
      <w:r w:rsidR="00ED0D4E" w:rsidRPr="00FA7F29">
        <w:rPr>
          <w:sz w:val="19"/>
          <w:szCs w:val="19"/>
        </w:rPr>
        <w:t xml:space="preserve">mandate and </w:t>
      </w:r>
      <w:r w:rsidRPr="00FA7F29">
        <w:rPr>
          <w:sz w:val="19"/>
          <w:szCs w:val="19"/>
        </w:rPr>
        <w:t>Government objectives</w:t>
      </w:r>
      <w:r w:rsidR="0044090C" w:rsidRPr="00FA7F29">
        <w:rPr>
          <w:sz w:val="19"/>
          <w:szCs w:val="19"/>
        </w:rPr>
        <w:t xml:space="preserve"> (see Appendix C for scope details)</w:t>
      </w:r>
      <w:r w:rsidRPr="00FA7F29">
        <w:rPr>
          <w:sz w:val="19"/>
          <w:szCs w:val="19"/>
        </w:rPr>
        <w:t>. It was a top-down capability assessment</w:t>
      </w:r>
      <w:r w:rsidR="00601A00" w:rsidRPr="00FA7F29">
        <w:rPr>
          <w:sz w:val="19"/>
          <w:szCs w:val="19"/>
        </w:rPr>
        <w:t xml:space="preserve"> rather than a</w:t>
      </w:r>
      <w:r w:rsidRPr="00FA7F29">
        <w:rPr>
          <w:sz w:val="19"/>
          <w:szCs w:val="19"/>
        </w:rPr>
        <w:t xml:space="preserve"> comprehensive </w:t>
      </w:r>
      <w:r w:rsidR="00601A00" w:rsidRPr="00FA7F29">
        <w:rPr>
          <w:sz w:val="19"/>
          <w:szCs w:val="19"/>
        </w:rPr>
        <w:t xml:space="preserve">capability </w:t>
      </w:r>
      <w:r w:rsidRPr="00FA7F29">
        <w:rPr>
          <w:sz w:val="19"/>
          <w:szCs w:val="19"/>
        </w:rPr>
        <w:t>review of every function</w:t>
      </w:r>
      <w:r w:rsidR="0044090C" w:rsidRPr="00FA7F29">
        <w:rPr>
          <w:sz w:val="19"/>
          <w:szCs w:val="19"/>
        </w:rPr>
        <w:t xml:space="preserve">. </w:t>
      </w:r>
    </w:p>
    <w:p w14:paraId="46709D5A" w14:textId="66EAE2BE" w:rsidR="00D45E85" w:rsidRPr="00FA7F29" w:rsidRDefault="00D45E85" w:rsidP="005C0011">
      <w:pPr>
        <w:pStyle w:val="BodyText"/>
        <w:spacing w:before="120"/>
        <w:rPr>
          <w:sz w:val="19"/>
          <w:szCs w:val="19"/>
        </w:rPr>
      </w:pPr>
      <w:r w:rsidRPr="00FA7F29">
        <w:rPr>
          <w:sz w:val="19"/>
          <w:szCs w:val="19"/>
        </w:rPr>
        <w:t xml:space="preserve">The </w:t>
      </w:r>
      <w:r w:rsidR="00AA4CE2" w:rsidRPr="00FA7F29">
        <w:rPr>
          <w:sz w:val="19"/>
          <w:szCs w:val="19"/>
        </w:rPr>
        <w:t>A</w:t>
      </w:r>
      <w:r w:rsidRPr="00FA7F29">
        <w:rPr>
          <w:sz w:val="19"/>
          <w:szCs w:val="19"/>
        </w:rPr>
        <w:t xml:space="preserve">ssessment found that </w:t>
      </w:r>
      <w:r w:rsidR="007D66C5" w:rsidRPr="00FA7F29">
        <w:rPr>
          <w:sz w:val="19"/>
          <w:szCs w:val="19"/>
        </w:rPr>
        <w:t xml:space="preserve">in the last 18 months </w:t>
      </w:r>
      <w:r w:rsidRPr="00FA7F29">
        <w:rPr>
          <w:sz w:val="19"/>
          <w:szCs w:val="19"/>
        </w:rPr>
        <w:t xml:space="preserve">Housing Australia has strengthened its governance, systems, processes and delivery capability while absorbing rapid growth and successive new responsibilities. Its established </w:t>
      </w:r>
      <w:r w:rsidR="005E0407" w:rsidRPr="00FA7F29">
        <w:rPr>
          <w:sz w:val="19"/>
          <w:szCs w:val="19"/>
        </w:rPr>
        <w:t>5% Deposit Scheme</w:t>
      </w:r>
      <w:r w:rsidRPr="00FA7F29" w:rsidDel="002A4DF3">
        <w:rPr>
          <w:sz w:val="19"/>
          <w:szCs w:val="19"/>
        </w:rPr>
        <w:t xml:space="preserve"> </w:t>
      </w:r>
      <w:r w:rsidRPr="00FA7F29">
        <w:rPr>
          <w:sz w:val="19"/>
          <w:szCs w:val="19"/>
        </w:rPr>
        <w:t xml:space="preserve">is operating effectively, and the foundations created for </w:t>
      </w:r>
      <w:r w:rsidR="004C3CD7" w:rsidRPr="00FA7F29">
        <w:rPr>
          <w:sz w:val="19"/>
          <w:szCs w:val="19"/>
        </w:rPr>
        <w:t xml:space="preserve">the </w:t>
      </w:r>
      <w:r w:rsidR="001F2AB9" w:rsidRPr="00FA7F29">
        <w:rPr>
          <w:sz w:val="19"/>
          <w:szCs w:val="19"/>
        </w:rPr>
        <w:t xml:space="preserve">2024 legislated </w:t>
      </w:r>
      <w:r w:rsidR="001E21EA" w:rsidRPr="00FA7F29">
        <w:rPr>
          <w:sz w:val="19"/>
          <w:szCs w:val="19"/>
        </w:rPr>
        <w:t>Help to Buy program</w:t>
      </w:r>
      <w:r w:rsidR="008E4A5D" w:rsidRPr="00FA7F29">
        <w:rPr>
          <w:sz w:val="19"/>
          <w:szCs w:val="19"/>
        </w:rPr>
        <w:t>,</w:t>
      </w:r>
      <w:r w:rsidRPr="00FA7F29">
        <w:rPr>
          <w:sz w:val="19"/>
          <w:szCs w:val="19"/>
        </w:rPr>
        <w:t xml:space="preserve"> demonstrate an ability to establish significant new programs at pace. More recent </w:t>
      </w:r>
      <w:r w:rsidR="001E21EA" w:rsidRPr="00FA7F29">
        <w:rPr>
          <w:sz w:val="19"/>
          <w:szCs w:val="19"/>
        </w:rPr>
        <w:t xml:space="preserve">organisational </w:t>
      </w:r>
      <w:r w:rsidRPr="00FA7F29">
        <w:rPr>
          <w:sz w:val="19"/>
          <w:szCs w:val="19"/>
        </w:rPr>
        <w:t>reforms</w:t>
      </w:r>
      <w:r w:rsidR="00AB005F" w:rsidRPr="00FA7F29">
        <w:rPr>
          <w:sz w:val="19"/>
          <w:szCs w:val="19"/>
        </w:rPr>
        <w:t xml:space="preserve"> have included</w:t>
      </w:r>
      <w:r w:rsidRPr="00FA7F29">
        <w:rPr>
          <w:sz w:val="19"/>
          <w:szCs w:val="19"/>
        </w:rPr>
        <w:t xml:space="preserve"> a client-centred operating model, dedicated delivery oversight, stronger project reporting, improved investment governance</w:t>
      </w:r>
      <w:r w:rsidR="00D44620" w:rsidRPr="00FA7F29">
        <w:rPr>
          <w:sz w:val="19"/>
          <w:szCs w:val="19"/>
        </w:rPr>
        <w:t xml:space="preserve"> and a</w:t>
      </w:r>
      <w:r w:rsidRPr="00FA7F29">
        <w:rPr>
          <w:sz w:val="19"/>
          <w:szCs w:val="19"/>
        </w:rPr>
        <w:t xml:space="preserve"> continuing investment in people, data and systems</w:t>
      </w:r>
      <w:r w:rsidR="00D44620" w:rsidRPr="00FA7F29">
        <w:rPr>
          <w:sz w:val="19"/>
          <w:szCs w:val="19"/>
        </w:rPr>
        <w:t xml:space="preserve">. </w:t>
      </w:r>
    </w:p>
    <w:p w14:paraId="69515724" w14:textId="049CCF4B" w:rsidR="00D45E85" w:rsidRPr="00FA7F29" w:rsidRDefault="00D45E85" w:rsidP="00F52035">
      <w:pPr>
        <w:pStyle w:val="BodyText"/>
        <w:spacing w:before="120"/>
        <w:rPr>
          <w:sz w:val="19"/>
          <w:szCs w:val="19"/>
        </w:rPr>
      </w:pPr>
      <w:r w:rsidRPr="00FA7F29">
        <w:rPr>
          <w:sz w:val="19"/>
          <w:szCs w:val="19"/>
        </w:rPr>
        <w:t xml:space="preserve">The most significant </w:t>
      </w:r>
      <w:r w:rsidR="00AD059F" w:rsidRPr="00FA7F29">
        <w:rPr>
          <w:sz w:val="19"/>
          <w:szCs w:val="19"/>
        </w:rPr>
        <w:t>organisational pressure</w:t>
      </w:r>
      <w:r w:rsidR="00E71834" w:rsidRPr="00FA7F29">
        <w:rPr>
          <w:sz w:val="19"/>
          <w:szCs w:val="19"/>
        </w:rPr>
        <w:t xml:space="preserve"> has been</w:t>
      </w:r>
      <w:r w:rsidR="00363290" w:rsidRPr="00FA7F29">
        <w:rPr>
          <w:sz w:val="19"/>
          <w:szCs w:val="19"/>
        </w:rPr>
        <w:t xml:space="preserve"> concurrently managing</w:t>
      </w:r>
      <w:r w:rsidRPr="00FA7F29">
        <w:rPr>
          <w:sz w:val="19"/>
          <w:szCs w:val="19"/>
        </w:rPr>
        <w:t xml:space="preserve"> </w:t>
      </w:r>
      <w:r w:rsidR="0051100B" w:rsidRPr="00FA7F29">
        <w:rPr>
          <w:sz w:val="19"/>
          <w:szCs w:val="19"/>
        </w:rPr>
        <w:t>the</w:t>
      </w:r>
      <w:r w:rsidR="00E913BF" w:rsidRPr="00FA7F29">
        <w:rPr>
          <w:sz w:val="19"/>
          <w:szCs w:val="19"/>
        </w:rPr>
        <w:t xml:space="preserve"> large-scale delivery </w:t>
      </w:r>
      <w:r w:rsidR="0051100B" w:rsidRPr="00FA7F29">
        <w:rPr>
          <w:sz w:val="19"/>
          <w:szCs w:val="19"/>
        </w:rPr>
        <w:t xml:space="preserve">of </w:t>
      </w:r>
      <w:r w:rsidRPr="00FA7F29">
        <w:rPr>
          <w:sz w:val="19"/>
          <w:szCs w:val="19"/>
        </w:rPr>
        <w:t>social and affordable housing program</w:t>
      </w:r>
      <w:r w:rsidR="00E913BF" w:rsidRPr="00FA7F29">
        <w:rPr>
          <w:sz w:val="19"/>
          <w:szCs w:val="19"/>
        </w:rPr>
        <w:t>s</w:t>
      </w:r>
      <w:r w:rsidR="008F1D6D" w:rsidRPr="00FA7F29">
        <w:rPr>
          <w:sz w:val="19"/>
          <w:szCs w:val="19"/>
        </w:rPr>
        <w:t xml:space="preserve">, </w:t>
      </w:r>
      <w:r w:rsidR="00E913BF" w:rsidRPr="00FA7F29">
        <w:rPr>
          <w:sz w:val="19"/>
          <w:szCs w:val="19"/>
        </w:rPr>
        <w:t xml:space="preserve">the </w:t>
      </w:r>
      <w:r w:rsidR="008F1D6D" w:rsidRPr="00FA7F29">
        <w:rPr>
          <w:sz w:val="19"/>
          <w:szCs w:val="19"/>
        </w:rPr>
        <w:t>Housing Australia Future Fund</w:t>
      </w:r>
      <w:r w:rsidR="00E913BF" w:rsidRPr="00FA7F29">
        <w:rPr>
          <w:sz w:val="19"/>
          <w:szCs w:val="19"/>
        </w:rPr>
        <w:t xml:space="preserve"> Facility and National Housing Accord Facility,</w:t>
      </w:r>
      <w:r w:rsidR="00562362" w:rsidRPr="00FA7F29">
        <w:rPr>
          <w:sz w:val="19"/>
          <w:szCs w:val="19"/>
        </w:rPr>
        <w:t xml:space="preserve"> which require simultaneous assess</w:t>
      </w:r>
      <w:r w:rsidR="002C5CE6" w:rsidRPr="00FA7F29">
        <w:rPr>
          <w:sz w:val="19"/>
          <w:szCs w:val="19"/>
        </w:rPr>
        <w:t>ment</w:t>
      </w:r>
      <w:r w:rsidR="00562362" w:rsidRPr="00FA7F29">
        <w:rPr>
          <w:sz w:val="19"/>
          <w:szCs w:val="19"/>
        </w:rPr>
        <w:t xml:space="preserve"> and contracting </w:t>
      </w:r>
      <w:r w:rsidR="00164411" w:rsidRPr="00FA7F29">
        <w:rPr>
          <w:sz w:val="19"/>
          <w:szCs w:val="19"/>
        </w:rPr>
        <w:t xml:space="preserve">of </w:t>
      </w:r>
      <w:r w:rsidR="00562362" w:rsidRPr="00FA7F29">
        <w:rPr>
          <w:sz w:val="19"/>
          <w:szCs w:val="19"/>
        </w:rPr>
        <w:t>new projects and managing and delivering previous</w:t>
      </w:r>
      <w:r w:rsidR="00FC6BBD" w:rsidRPr="00FA7F29">
        <w:rPr>
          <w:sz w:val="19"/>
          <w:szCs w:val="19"/>
        </w:rPr>
        <w:t>ly</w:t>
      </w:r>
      <w:r w:rsidR="00562362" w:rsidRPr="00FA7F29">
        <w:rPr>
          <w:sz w:val="19"/>
          <w:szCs w:val="19"/>
        </w:rPr>
        <w:t xml:space="preserve"> approved projects</w:t>
      </w:r>
      <w:r w:rsidR="00B251F0" w:rsidRPr="00FA7F29">
        <w:rPr>
          <w:sz w:val="19"/>
          <w:szCs w:val="19"/>
        </w:rPr>
        <w:t>,</w:t>
      </w:r>
      <w:r w:rsidR="00562362" w:rsidRPr="00FA7F29">
        <w:rPr>
          <w:sz w:val="19"/>
          <w:szCs w:val="19"/>
        </w:rPr>
        <w:t xml:space="preserve"> </w:t>
      </w:r>
      <w:r w:rsidRPr="00FA7F29">
        <w:rPr>
          <w:sz w:val="19"/>
          <w:szCs w:val="19"/>
        </w:rPr>
        <w:t xml:space="preserve">while key organisation-wide delivery disciplines </w:t>
      </w:r>
      <w:r w:rsidR="00C1341F" w:rsidRPr="00FA7F29">
        <w:rPr>
          <w:sz w:val="19"/>
          <w:szCs w:val="19"/>
        </w:rPr>
        <w:t xml:space="preserve">are </w:t>
      </w:r>
      <w:r w:rsidR="004D24CD" w:rsidRPr="00FA7F29">
        <w:rPr>
          <w:sz w:val="19"/>
          <w:szCs w:val="19"/>
        </w:rPr>
        <w:t>undergoing improvement</w:t>
      </w:r>
      <w:r w:rsidRPr="00FA7F29">
        <w:rPr>
          <w:sz w:val="19"/>
          <w:szCs w:val="19"/>
        </w:rPr>
        <w:t xml:space="preserve">. </w:t>
      </w:r>
      <w:r w:rsidR="00FC6D9A" w:rsidRPr="00FA7F29">
        <w:rPr>
          <w:sz w:val="19"/>
          <w:szCs w:val="19"/>
        </w:rPr>
        <w:t xml:space="preserve">Program targets are ambitious within the prescribed timeframe </w:t>
      </w:r>
      <w:r w:rsidR="006F5CBE" w:rsidRPr="00FA7F29">
        <w:rPr>
          <w:sz w:val="19"/>
          <w:szCs w:val="19"/>
        </w:rPr>
        <w:t>and</w:t>
      </w:r>
      <w:r w:rsidR="00FC6D9A" w:rsidRPr="00FA7F29">
        <w:rPr>
          <w:sz w:val="19"/>
          <w:szCs w:val="19"/>
        </w:rPr>
        <w:t xml:space="preserve"> pressures are expected </w:t>
      </w:r>
      <w:r w:rsidR="00F52035" w:rsidRPr="00FA7F29">
        <w:rPr>
          <w:sz w:val="19"/>
          <w:szCs w:val="19"/>
        </w:rPr>
        <w:t xml:space="preserve">due to </w:t>
      </w:r>
      <w:r w:rsidRPr="00FA7F29">
        <w:rPr>
          <w:sz w:val="19"/>
          <w:szCs w:val="19"/>
        </w:rPr>
        <w:t>planning, procurement, financing, construction capacity, costs and market conditions. However, the organisation remains accountable for actively overseeing delivery partners, identifying emerging risks, supporting timely intervention</w:t>
      </w:r>
      <w:r w:rsidR="00A56626" w:rsidRPr="00FA7F29">
        <w:rPr>
          <w:sz w:val="19"/>
          <w:szCs w:val="19"/>
        </w:rPr>
        <w:t>s</w:t>
      </w:r>
      <w:r w:rsidRPr="00FA7F29">
        <w:rPr>
          <w:sz w:val="19"/>
          <w:szCs w:val="19"/>
        </w:rPr>
        <w:t xml:space="preserve"> and providing Government with a reliable portfolio-wide view of delivery progress and confidence.</w:t>
      </w:r>
    </w:p>
    <w:p w14:paraId="7088EAEC" w14:textId="6909F2AA" w:rsidR="00D45E85" w:rsidRPr="00FA7F29" w:rsidRDefault="00D45E85" w:rsidP="005C0011">
      <w:pPr>
        <w:pStyle w:val="BodyText"/>
        <w:spacing w:before="120"/>
        <w:rPr>
          <w:sz w:val="19"/>
          <w:szCs w:val="19"/>
        </w:rPr>
      </w:pPr>
      <w:r w:rsidRPr="00FA7F29">
        <w:rPr>
          <w:sz w:val="19"/>
          <w:szCs w:val="19"/>
        </w:rPr>
        <w:t xml:space="preserve">Housing Australia </w:t>
      </w:r>
      <w:r w:rsidR="00A167B9" w:rsidRPr="00FA7F29">
        <w:rPr>
          <w:sz w:val="19"/>
          <w:szCs w:val="19"/>
        </w:rPr>
        <w:t xml:space="preserve">needs to adopt more robust delivery </w:t>
      </w:r>
      <w:r w:rsidR="00112E81" w:rsidRPr="00FA7F29">
        <w:rPr>
          <w:sz w:val="19"/>
          <w:szCs w:val="19"/>
        </w:rPr>
        <w:t xml:space="preserve">management and reporting through </w:t>
      </w:r>
      <w:r w:rsidRPr="00FA7F29">
        <w:rPr>
          <w:sz w:val="19"/>
          <w:szCs w:val="19"/>
        </w:rPr>
        <w:t>a single, regularly updated organisation-wide</w:t>
      </w:r>
      <w:r w:rsidR="00AD7F28" w:rsidRPr="00FA7F29">
        <w:rPr>
          <w:sz w:val="19"/>
          <w:szCs w:val="19"/>
        </w:rPr>
        <w:t xml:space="preserve"> r</w:t>
      </w:r>
      <w:r w:rsidR="001E4FB3" w:rsidRPr="00FA7F29">
        <w:rPr>
          <w:sz w:val="19"/>
          <w:szCs w:val="19"/>
        </w:rPr>
        <w:t>isk adjusted</w:t>
      </w:r>
      <w:r w:rsidRPr="00FA7F29">
        <w:rPr>
          <w:sz w:val="19"/>
          <w:szCs w:val="19"/>
        </w:rPr>
        <w:t xml:space="preserve"> forecast supported by consistent project baselines, integrated schedules and consolidated risk reporting. This </w:t>
      </w:r>
      <w:r w:rsidR="00B94757" w:rsidRPr="00FA7F29">
        <w:rPr>
          <w:sz w:val="19"/>
          <w:szCs w:val="19"/>
        </w:rPr>
        <w:t xml:space="preserve">would promote </w:t>
      </w:r>
      <w:r w:rsidRPr="00FA7F29">
        <w:rPr>
          <w:sz w:val="19"/>
          <w:szCs w:val="19"/>
        </w:rPr>
        <w:t>timely visibility of slippage, common constraints, financial exposure and the need for corrective or contingency action</w:t>
      </w:r>
      <w:r w:rsidR="001A2502" w:rsidRPr="00FA7F29">
        <w:rPr>
          <w:sz w:val="19"/>
          <w:szCs w:val="19"/>
        </w:rPr>
        <w:t>s</w:t>
      </w:r>
      <w:r w:rsidRPr="00FA7F29">
        <w:rPr>
          <w:sz w:val="19"/>
          <w:szCs w:val="19"/>
        </w:rPr>
        <w:t xml:space="preserve">. </w:t>
      </w:r>
      <w:r w:rsidR="00190989" w:rsidRPr="00FA7F29">
        <w:rPr>
          <w:sz w:val="19"/>
          <w:szCs w:val="19"/>
        </w:rPr>
        <w:t>D</w:t>
      </w:r>
      <w:r w:rsidRPr="00FA7F29">
        <w:rPr>
          <w:sz w:val="19"/>
          <w:szCs w:val="19"/>
        </w:rPr>
        <w:t xml:space="preserve">elays in approval, contracting and project progression reduce the </w:t>
      </w:r>
      <w:r w:rsidR="00883D70" w:rsidRPr="00FA7F29">
        <w:rPr>
          <w:sz w:val="19"/>
          <w:szCs w:val="19"/>
        </w:rPr>
        <w:t>available</w:t>
      </w:r>
      <w:r w:rsidRPr="00FA7F29">
        <w:rPr>
          <w:sz w:val="19"/>
          <w:szCs w:val="19"/>
        </w:rPr>
        <w:t xml:space="preserve"> construction period and options to respond to </w:t>
      </w:r>
      <w:r w:rsidR="00CC1917" w:rsidRPr="00FA7F29">
        <w:rPr>
          <w:sz w:val="19"/>
          <w:szCs w:val="19"/>
        </w:rPr>
        <w:t xml:space="preserve">project </w:t>
      </w:r>
      <w:r w:rsidRPr="00FA7F29">
        <w:rPr>
          <w:sz w:val="19"/>
          <w:szCs w:val="19"/>
        </w:rPr>
        <w:t>attrition or market disruption.</w:t>
      </w:r>
    </w:p>
    <w:p w14:paraId="4FA960AF" w14:textId="149650C1" w:rsidR="00D45E85" w:rsidRPr="00FA7F29" w:rsidRDefault="00D45E85" w:rsidP="00E5029D">
      <w:pPr>
        <w:pStyle w:val="BodyText"/>
        <w:spacing w:before="120"/>
        <w:ind w:right="-1"/>
        <w:rPr>
          <w:sz w:val="19"/>
          <w:szCs w:val="19"/>
        </w:rPr>
      </w:pPr>
      <w:r w:rsidRPr="00FA7F29">
        <w:rPr>
          <w:sz w:val="19"/>
          <w:szCs w:val="19"/>
        </w:rPr>
        <w:t xml:space="preserve">Governance and decision-making require </w:t>
      </w:r>
      <w:r w:rsidR="006616D8" w:rsidRPr="00FA7F29">
        <w:rPr>
          <w:sz w:val="19"/>
          <w:szCs w:val="19"/>
        </w:rPr>
        <w:t xml:space="preserve">realignment </w:t>
      </w:r>
      <w:r w:rsidRPr="00FA7F29">
        <w:rPr>
          <w:sz w:val="19"/>
          <w:szCs w:val="19"/>
        </w:rPr>
        <w:t>as the organisation’s role evolves. Board and management attention has remained strongly focused on financial and individual transaction risk</w:t>
      </w:r>
      <w:r w:rsidR="006616D8" w:rsidRPr="00FA7F29">
        <w:rPr>
          <w:sz w:val="19"/>
          <w:szCs w:val="19"/>
        </w:rPr>
        <w:t>s</w:t>
      </w:r>
      <w:r w:rsidR="00E52ACF" w:rsidRPr="00FA7F29">
        <w:rPr>
          <w:sz w:val="19"/>
          <w:szCs w:val="19"/>
        </w:rPr>
        <w:t>, wi</w:t>
      </w:r>
      <w:r w:rsidR="00EB6240" w:rsidRPr="00FA7F29">
        <w:rPr>
          <w:sz w:val="19"/>
          <w:szCs w:val="19"/>
        </w:rPr>
        <w:t xml:space="preserve">th </w:t>
      </w:r>
      <w:r w:rsidR="000A7457" w:rsidRPr="00FA7F29">
        <w:rPr>
          <w:sz w:val="19"/>
          <w:szCs w:val="19"/>
        </w:rPr>
        <w:t xml:space="preserve">developing </w:t>
      </w:r>
      <w:r w:rsidR="007D0264" w:rsidRPr="00FA7F29">
        <w:rPr>
          <w:sz w:val="19"/>
          <w:szCs w:val="19"/>
        </w:rPr>
        <w:t xml:space="preserve">delivery risk </w:t>
      </w:r>
      <w:r w:rsidR="00FE6B75" w:rsidRPr="00FA7F29">
        <w:rPr>
          <w:sz w:val="19"/>
          <w:szCs w:val="19"/>
        </w:rPr>
        <w:t>oversight</w:t>
      </w:r>
      <w:r w:rsidR="00AA5B6A" w:rsidRPr="00FA7F29">
        <w:rPr>
          <w:sz w:val="19"/>
          <w:szCs w:val="19"/>
        </w:rPr>
        <w:t xml:space="preserve"> practices</w:t>
      </w:r>
      <w:r w:rsidRPr="00FA7F29">
        <w:rPr>
          <w:sz w:val="19"/>
          <w:szCs w:val="19"/>
        </w:rPr>
        <w:t xml:space="preserve">. </w:t>
      </w:r>
      <w:r w:rsidR="00E5029D" w:rsidRPr="00FA7F29">
        <w:rPr>
          <w:sz w:val="19"/>
          <w:szCs w:val="19"/>
        </w:rPr>
        <w:t>F</w:t>
      </w:r>
      <w:r w:rsidR="009B686E" w:rsidRPr="00FA7F29">
        <w:rPr>
          <w:sz w:val="19"/>
          <w:szCs w:val="19"/>
        </w:rPr>
        <w:t>inanc</w:t>
      </w:r>
      <w:r w:rsidR="00751D2E" w:rsidRPr="00FA7F29">
        <w:rPr>
          <w:sz w:val="19"/>
          <w:szCs w:val="19"/>
        </w:rPr>
        <w:t xml:space="preserve">ial </w:t>
      </w:r>
      <w:r w:rsidRPr="00FA7F29">
        <w:rPr>
          <w:sz w:val="19"/>
          <w:szCs w:val="19"/>
        </w:rPr>
        <w:t xml:space="preserve">disciplines remain </w:t>
      </w:r>
      <w:r w:rsidR="00040581" w:rsidRPr="00FA7F29">
        <w:rPr>
          <w:sz w:val="19"/>
          <w:szCs w:val="19"/>
        </w:rPr>
        <w:t>important</w:t>
      </w:r>
      <w:r w:rsidRPr="00FA7F29">
        <w:rPr>
          <w:sz w:val="19"/>
          <w:szCs w:val="19"/>
        </w:rPr>
        <w:t xml:space="preserve"> but need to be complemented by greater expertise and focus on program delivery, project management and portfolio stewardship</w:t>
      </w:r>
      <w:r w:rsidR="0024486F" w:rsidRPr="00FA7F29">
        <w:rPr>
          <w:sz w:val="19"/>
          <w:szCs w:val="19"/>
        </w:rPr>
        <w:t>, and deeper Board experience in large-scale property development</w:t>
      </w:r>
      <w:r w:rsidRPr="00FA7F29">
        <w:rPr>
          <w:sz w:val="19"/>
          <w:szCs w:val="19"/>
        </w:rPr>
        <w:t xml:space="preserve">. Current delegations and approval pathways may also impede timely decisions during peak activity. Without a clearer delivery focus, the organisation risks maintaining rigorous oversight of individual transactions </w:t>
      </w:r>
      <w:r w:rsidR="008B4601" w:rsidRPr="00FA7F29">
        <w:rPr>
          <w:sz w:val="19"/>
          <w:szCs w:val="19"/>
        </w:rPr>
        <w:t>without sufficient focus on program performance</w:t>
      </w:r>
      <w:r w:rsidRPr="00FA7F29">
        <w:rPr>
          <w:sz w:val="19"/>
          <w:szCs w:val="19"/>
        </w:rPr>
        <w:t>.</w:t>
      </w:r>
    </w:p>
    <w:p w14:paraId="03499FD9" w14:textId="0C3F2DBD" w:rsidR="00AA3082" w:rsidRPr="00FA7F29" w:rsidRDefault="0030788A" w:rsidP="005C0011">
      <w:pPr>
        <w:pStyle w:val="BodyText"/>
        <w:spacing w:before="120"/>
        <w:rPr>
          <w:sz w:val="19"/>
          <w:szCs w:val="19"/>
        </w:rPr>
      </w:pPr>
      <w:r w:rsidRPr="00FA7F29">
        <w:rPr>
          <w:sz w:val="19"/>
          <w:szCs w:val="19"/>
        </w:rPr>
        <w:t>The Assessment</w:t>
      </w:r>
      <w:r w:rsidR="00D45E85" w:rsidRPr="00FA7F29">
        <w:rPr>
          <w:sz w:val="19"/>
          <w:szCs w:val="19"/>
        </w:rPr>
        <w:t xml:space="preserve"> also identified important issues</w:t>
      </w:r>
      <w:r w:rsidR="0071208F" w:rsidRPr="00FA7F29">
        <w:rPr>
          <w:sz w:val="19"/>
          <w:szCs w:val="19"/>
        </w:rPr>
        <w:t xml:space="preserve"> with respect to </w:t>
      </w:r>
      <w:r w:rsidR="00EE3B53" w:rsidRPr="00FA7F29">
        <w:rPr>
          <w:sz w:val="19"/>
          <w:szCs w:val="19"/>
        </w:rPr>
        <w:t xml:space="preserve">supporting </w:t>
      </w:r>
      <w:r w:rsidR="00D45E85" w:rsidRPr="00FA7F29">
        <w:rPr>
          <w:sz w:val="19"/>
          <w:szCs w:val="19"/>
        </w:rPr>
        <w:t xml:space="preserve">Community </w:t>
      </w:r>
      <w:r w:rsidR="00EE3B53" w:rsidRPr="00FA7F29">
        <w:rPr>
          <w:sz w:val="19"/>
          <w:szCs w:val="19"/>
        </w:rPr>
        <w:t>H</w:t>
      </w:r>
      <w:r w:rsidR="00D45E85" w:rsidRPr="00FA7F29">
        <w:rPr>
          <w:sz w:val="19"/>
          <w:szCs w:val="19"/>
        </w:rPr>
        <w:t xml:space="preserve">ousing </w:t>
      </w:r>
      <w:r w:rsidR="00EE3B53" w:rsidRPr="00FA7F29">
        <w:rPr>
          <w:sz w:val="19"/>
          <w:szCs w:val="19"/>
        </w:rPr>
        <w:t>P</w:t>
      </w:r>
      <w:r w:rsidR="00D45E85" w:rsidRPr="00FA7F29">
        <w:rPr>
          <w:sz w:val="19"/>
          <w:szCs w:val="19"/>
        </w:rPr>
        <w:t xml:space="preserve">roviders </w:t>
      </w:r>
      <w:r w:rsidR="007667E5" w:rsidRPr="00FA7F29">
        <w:rPr>
          <w:sz w:val="19"/>
          <w:szCs w:val="19"/>
        </w:rPr>
        <w:t>(CHPs)</w:t>
      </w:r>
      <w:r w:rsidR="00E31D40" w:rsidRPr="00FA7F29">
        <w:rPr>
          <w:sz w:val="19"/>
          <w:szCs w:val="19"/>
        </w:rPr>
        <w:t xml:space="preserve"> </w:t>
      </w:r>
      <w:r w:rsidR="00583D5B" w:rsidRPr="00FA7F29">
        <w:rPr>
          <w:sz w:val="19"/>
          <w:szCs w:val="19"/>
        </w:rPr>
        <w:t xml:space="preserve">who have </w:t>
      </w:r>
      <w:r w:rsidR="00D45E85" w:rsidRPr="00FA7F29">
        <w:rPr>
          <w:sz w:val="19"/>
          <w:szCs w:val="19"/>
        </w:rPr>
        <w:t>varying capability to progress projects through development, contracting and financial close</w:t>
      </w:r>
      <w:r w:rsidR="00583D5B" w:rsidRPr="00FA7F29">
        <w:rPr>
          <w:sz w:val="19"/>
          <w:szCs w:val="19"/>
        </w:rPr>
        <w:t xml:space="preserve">. They would </w:t>
      </w:r>
      <w:r w:rsidR="000E5331" w:rsidRPr="00FA7F29">
        <w:rPr>
          <w:sz w:val="19"/>
          <w:szCs w:val="19"/>
        </w:rPr>
        <w:t>benefit from</w:t>
      </w:r>
      <w:r w:rsidR="00D45E85" w:rsidRPr="00FA7F29" w:rsidDel="000E5331">
        <w:rPr>
          <w:sz w:val="19"/>
          <w:szCs w:val="19"/>
        </w:rPr>
        <w:t xml:space="preserve"> </w:t>
      </w:r>
      <w:r w:rsidR="00D45E85" w:rsidRPr="00FA7F29">
        <w:rPr>
          <w:sz w:val="19"/>
          <w:szCs w:val="19"/>
        </w:rPr>
        <w:t>more targeted assistance and simpler, risk-based processes</w:t>
      </w:r>
      <w:r w:rsidR="00807AD0" w:rsidRPr="00FA7F29">
        <w:rPr>
          <w:sz w:val="19"/>
          <w:szCs w:val="19"/>
        </w:rPr>
        <w:t xml:space="preserve"> both for</w:t>
      </w:r>
      <w:r w:rsidR="00D41D75" w:rsidRPr="00FA7F29">
        <w:rPr>
          <w:sz w:val="19"/>
          <w:szCs w:val="19"/>
        </w:rPr>
        <w:t xml:space="preserve"> Round 3 </w:t>
      </w:r>
      <w:r w:rsidR="00807AD0" w:rsidRPr="00FA7F29">
        <w:rPr>
          <w:sz w:val="19"/>
          <w:szCs w:val="19"/>
        </w:rPr>
        <w:t>of HAF</w:t>
      </w:r>
      <w:r w:rsidR="004A6A32" w:rsidRPr="00FA7F29">
        <w:rPr>
          <w:sz w:val="19"/>
          <w:szCs w:val="19"/>
        </w:rPr>
        <w:t>F</w:t>
      </w:r>
      <w:r w:rsidR="00807AD0" w:rsidRPr="00FA7F29">
        <w:rPr>
          <w:sz w:val="19"/>
          <w:szCs w:val="19"/>
        </w:rPr>
        <w:t xml:space="preserve">F </w:t>
      </w:r>
      <w:r w:rsidR="00D41D75" w:rsidRPr="00FA7F29">
        <w:rPr>
          <w:sz w:val="19"/>
          <w:szCs w:val="19"/>
        </w:rPr>
        <w:t xml:space="preserve">and NHAF </w:t>
      </w:r>
      <w:r w:rsidR="00807AD0" w:rsidRPr="00FA7F29">
        <w:rPr>
          <w:sz w:val="19"/>
          <w:szCs w:val="19"/>
        </w:rPr>
        <w:t>and as part of any future program design</w:t>
      </w:r>
      <w:r w:rsidR="00D45E85" w:rsidRPr="00FA7F29">
        <w:rPr>
          <w:sz w:val="19"/>
          <w:szCs w:val="19"/>
        </w:rPr>
        <w:t xml:space="preserve">. </w:t>
      </w:r>
    </w:p>
    <w:p w14:paraId="06E8D67D" w14:textId="78B91DB9" w:rsidR="001A724A" w:rsidRPr="00FA7F29" w:rsidRDefault="00D45E85" w:rsidP="005C0011">
      <w:pPr>
        <w:pStyle w:val="BodyText"/>
        <w:spacing w:before="120"/>
        <w:rPr>
          <w:sz w:val="19"/>
          <w:szCs w:val="19"/>
        </w:rPr>
      </w:pPr>
      <w:r w:rsidRPr="00FA7F29">
        <w:rPr>
          <w:sz w:val="19"/>
          <w:szCs w:val="19"/>
        </w:rPr>
        <w:t xml:space="preserve">Overall, </w:t>
      </w:r>
      <w:r w:rsidR="0030788A" w:rsidRPr="00FA7F29">
        <w:rPr>
          <w:sz w:val="19"/>
          <w:szCs w:val="19"/>
        </w:rPr>
        <w:t>the Assessment</w:t>
      </w:r>
      <w:r w:rsidR="000D7E51" w:rsidRPr="00FA7F29">
        <w:rPr>
          <w:sz w:val="19"/>
          <w:szCs w:val="19"/>
        </w:rPr>
        <w:t xml:space="preserve"> </w:t>
      </w:r>
      <w:r w:rsidRPr="00FA7F29">
        <w:rPr>
          <w:sz w:val="19"/>
          <w:szCs w:val="19"/>
        </w:rPr>
        <w:t xml:space="preserve">findings </w:t>
      </w:r>
      <w:r w:rsidR="006A429E" w:rsidRPr="00FA7F29">
        <w:rPr>
          <w:sz w:val="19"/>
          <w:szCs w:val="19"/>
        </w:rPr>
        <w:t xml:space="preserve">indicate that the </w:t>
      </w:r>
      <w:r w:rsidR="005F08C8" w:rsidRPr="00FA7F29">
        <w:rPr>
          <w:sz w:val="19"/>
          <w:szCs w:val="19"/>
        </w:rPr>
        <w:t>organisation</w:t>
      </w:r>
      <w:r w:rsidR="008B6F01" w:rsidRPr="00FA7F29">
        <w:rPr>
          <w:sz w:val="19"/>
          <w:szCs w:val="19"/>
        </w:rPr>
        <w:t xml:space="preserve"> </w:t>
      </w:r>
      <w:r w:rsidR="00455C6C" w:rsidRPr="00FA7F29">
        <w:rPr>
          <w:sz w:val="19"/>
          <w:szCs w:val="19"/>
        </w:rPr>
        <w:t xml:space="preserve">is </w:t>
      </w:r>
      <w:r w:rsidR="00F97BCA" w:rsidRPr="00FA7F29">
        <w:rPr>
          <w:sz w:val="19"/>
          <w:szCs w:val="19"/>
        </w:rPr>
        <w:t xml:space="preserve">not </w:t>
      </w:r>
      <w:r w:rsidR="00CC20A3" w:rsidRPr="00FA7F29">
        <w:rPr>
          <w:sz w:val="19"/>
          <w:szCs w:val="19"/>
        </w:rPr>
        <w:t>y</w:t>
      </w:r>
      <w:r w:rsidR="00E03261" w:rsidRPr="00FA7F29">
        <w:rPr>
          <w:sz w:val="19"/>
          <w:szCs w:val="19"/>
        </w:rPr>
        <w:t>et</w:t>
      </w:r>
      <w:r w:rsidR="00CC20A3" w:rsidRPr="00FA7F29">
        <w:rPr>
          <w:sz w:val="19"/>
          <w:szCs w:val="19"/>
        </w:rPr>
        <w:t xml:space="preserve"> </w:t>
      </w:r>
      <w:r w:rsidR="00455C6C" w:rsidRPr="00FA7F29">
        <w:rPr>
          <w:sz w:val="19"/>
          <w:szCs w:val="19"/>
        </w:rPr>
        <w:t xml:space="preserve">aligned </w:t>
      </w:r>
      <w:r w:rsidR="00802F2C" w:rsidRPr="00FA7F29">
        <w:rPr>
          <w:sz w:val="19"/>
          <w:szCs w:val="19"/>
        </w:rPr>
        <w:t>in</w:t>
      </w:r>
      <w:r w:rsidR="00455C6C" w:rsidRPr="00FA7F29">
        <w:rPr>
          <w:sz w:val="19"/>
          <w:szCs w:val="19"/>
        </w:rPr>
        <w:t xml:space="preserve"> </w:t>
      </w:r>
      <w:r w:rsidR="003654D3" w:rsidRPr="00FA7F29">
        <w:rPr>
          <w:sz w:val="19"/>
          <w:szCs w:val="19"/>
        </w:rPr>
        <w:t>it</w:t>
      </w:r>
      <w:r w:rsidR="009D7087" w:rsidRPr="00FA7F29">
        <w:rPr>
          <w:sz w:val="19"/>
          <w:szCs w:val="19"/>
        </w:rPr>
        <w:t xml:space="preserve">s </w:t>
      </w:r>
      <w:r w:rsidR="00D040DC" w:rsidRPr="00FA7F29">
        <w:rPr>
          <w:sz w:val="19"/>
          <w:szCs w:val="19"/>
        </w:rPr>
        <w:t xml:space="preserve">accountability for </w:t>
      </w:r>
      <w:r w:rsidR="00037305" w:rsidRPr="00FA7F29">
        <w:rPr>
          <w:sz w:val="19"/>
          <w:szCs w:val="19"/>
        </w:rPr>
        <w:t>delivery</w:t>
      </w:r>
      <w:r w:rsidR="001E1A4A" w:rsidRPr="00FA7F29">
        <w:rPr>
          <w:sz w:val="19"/>
          <w:szCs w:val="19"/>
        </w:rPr>
        <w:t>.</w:t>
      </w:r>
      <w:r w:rsidRPr="00FA7F29" w:rsidDel="00776FD5">
        <w:rPr>
          <w:sz w:val="19"/>
          <w:szCs w:val="19"/>
        </w:rPr>
        <w:t xml:space="preserve"> </w:t>
      </w:r>
      <w:r w:rsidR="004963BD" w:rsidRPr="00FA7F29">
        <w:rPr>
          <w:sz w:val="19"/>
          <w:szCs w:val="19"/>
        </w:rPr>
        <w:t>While</w:t>
      </w:r>
      <w:r w:rsidR="00776FD5" w:rsidRPr="00FA7F29">
        <w:rPr>
          <w:sz w:val="19"/>
          <w:szCs w:val="19"/>
        </w:rPr>
        <w:t xml:space="preserve"> the </w:t>
      </w:r>
      <w:r w:rsidRPr="00FA7F29">
        <w:rPr>
          <w:sz w:val="19"/>
          <w:szCs w:val="19"/>
        </w:rPr>
        <w:t>organisation</w:t>
      </w:r>
      <w:r w:rsidRPr="00FA7F29" w:rsidDel="00776FD5">
        <w:rPr>
          <w:sz w:val="19"/>
          <w:szCs w:val="19"/>
        </w:rPr>
        <w:t xml:space="preserve"> </w:t>
      </w:r>
      <w:r w:rsidRPr="00FA7F29">
        <w:rPr>
          <w:sz w:val="19"/>
          <w:szCs w:val="19"/>
        </w:rPr>
        <w:t xml:space="preserve">has </w:t>
      </w:r>
      <w:r w:rsidR="00F63E47" w:rsidRPr="00FA7F29">
        <w:rPr>
          <w:sz w:val="19"/>
          <w:szCs w:val="19"/>
        </w:rPr>
        <w:t xml:space="preserve">made </w:t>
      </w:r>
      <w:r w:rsidR="001E1A4A" w:rsidRPr="00FA7F29">
        <w:rPr>
          <w:sz w:val="19"/>
          <w:szCs w:val="19"/>
        </w:rPr>
        <w:t xml:space="preserve">material </w:t>
      </w:r>
      <w:r w:rsidRPr="00FA7F29">
        <w:rPr>
          <w:sz w:val="19"/>
          <w:szCs w:val="19"/>
        </w:rPr>
        <w:t>improve</w:t>
      </w:r>
      <w:r w:rsidR="00F63E47" w:rsidRPr="00FA7F29">
        <w:rPr>
          <w:sz w:val="19"/>
          <w:szCs w:val="19"/>
        </w:rPr>
        <w:t>ments</w:t>
      </w:r>
      <w:r w:rsidR="001E1A4A" w:rsidRPr="00FA7F29">
        <w:rPr>
          <w:sz w:val="19"/>
          <w:szCs w:val="19"/>
        </w:rPr>
        <w:t xml:space="preserve"> in the last 18 months</w:t>
      </w:r>
      <w:r w:rsidR="00776FD5" w:rsidRPr="00FA7F29">
        <w:rPr>
          <w:sz w:val="19"/>
          <w:szCs w:val="19"/>
        </w:rPr>
        <w:t>,</w:t>
      </w:r>
      <w:r w:rsidRPr="00FA7F29" w:rsidDel="00776FD5">
        <w:rPr>
          <w:sz w:val="19"/>
          <w:szCs w:val="19"/>
        </w:rPr>
        <w:t xml:space="preserve"> </w:t>
      </w:r>
      <w:r w:rsidRPr="00FA7F29">
        <w:rPr>
          <w:sz w:val="19"/>
          <w:szCs w:val="19"/>
        </w:rPr>
        <w:t xml:space="preserve">its mandate, scale and complexity have </w:t>
      </w:r>
      <w:r w:rsidR="00FA16BB" w:rsidRPr="00FA7F29">
        <w:rPr>
          <w:sz w:val="19"/>
          <w:szCs w:val="19"/>
        </w:rPr>
        <w:t xml:space="preserve">concurrently </w:t>
      </w:r>
      <w:r w:rsidRPr="00FA7F29">
        <w:rPr>
          <w:sz w:val="19"/>
          <w:szCs w:val="19"/>
        </w:rPr>
        <w:t>expanded</w:t>
      </w:r>
      <w:r w:rsidR="00BD2DDD" w:rsidRPr="00FA7F29">
        <w:rPr>
          <w:sz w:val="19"/>
          <w:szCs w:val="19"/>
        </w:rPr>
        <w:t xml:space="preserve">. As such, the organisation </w:t>
      </w:r>
      <w:r w:rsidRPr="00FA7F29">
        <w:rPr>
          <w:sz w:val="19"/>
          <w:szCs w:val="19"/>
        </w:rPr>
        <w:t xml:space="preserve">must now </w:t>
      </w:r>
      <w:r w:rsidR="00004DF3" w:rsidRPr="00FA7F29">
        <w:rPr>
          <w:sz w:val="19"/>
          <w:szCs w:val="19"/>
        </w:rPr>
        <w:t>take the next steps of</w:t>
      </w:r>
      <w:r w:rsidRPr="00FA7F29">
        <w:rPr>
          <w:sz w:val="19"/>
          <w:szCs w:val="19"/>
        </w:rPr>
        <w:t xml:space="preserve"> transition from transaction execution to active stewardship of delivery</w:t>
      </w:r>
      <w:r w:rsidR="00004DF3" w:rsidRPr="00FA7F29">
        <w:rPr>
          <w:sz w:val="19"/>
          <w:szCs w:val="19"/>
        </w:rPr>
        <w:t xml:space="preserve"> before moving to </w:t>
      </w:r>
      <w:r w:rsidR="009B3A97" w:rsidRPr="00FA7F29">
        <w:rPr>
          <w:sz w:val="19"/>
          <w:szCs w:val="19"/>
        </w:rPr>
        <w:t>longer term ‘in-life’ operations</w:t>
      </w:r>
      <w:r w:rsidRPr="00FA7F29">
        <w:rPr>
          <w:sz w:val="19"/>
          <w:szCs w:val="19"/>
        </w:rPr>
        <w:t xml:space="preserve">. </w:t>
      </w:r>
    </w:p>
    <w:p w14:paraId="1F4798BF" w14:textId="7DE31642" w:rsidR="00E618A5" w:rsidRDefault="00D45E85" w:rsidP="005C0011">
      <w:pPr>
        <w:pStyle w:val="BodyText"/>
        <w:rPr>
          <w:rFonts w:eastAsiaTheme="majorEastAsia" w:cs="Arial"/>
          <w:b/>
          <w:bCs/>
          <w:color w:val="4B673B" w:themeColor="accent2"/>
          <w:sz w:val="24"/>
          <w:szCs w:val="28"/>
        </w:rPr>
      </w:pPr>
      <w:r w:rsidRPr="00FA7F29">
        <w:rPr>
          <w:sz w:val="19"/>
          <w:szCs w:val="19"/>
        </w:rPr>
        <w:t>The recommendations on the following pages prioritise stronger program and project management, integrated forecasting and risk reporting, streamlined approvals and delegations, targeted sector support, appropriate delivery capability and resourcing, clearer stakeholder arrangements, and governance and culture focused on timely housing outcomes.</w:t>
      </w:r>
      <w:bookmarkStart w:id="5" w:name="_Toc237880599"/>
      <w:bookmarkEnd w:id="5"/>
      <w:r w:rsidR="00AC600A" w:rsidRPr="00FA7F29">
        <w:rPr>
          <w:sz w:val="19"/>
          <w:szCs w:val="19"/>
        </w:rPr>
        <w:t xml:space="preserve"> Any policy changes </w:t>
      </w:r>
      <w:r w:rsidR="00C5023F" w:rsidRPr="00FA7F29">
        <w:rPr>
          <w:sz w:val="19"/>
          <w:szCs w:val="19"/>
        </w:rPr>
        <w:t xml:space="preserve">arising from these recommendations would be subject to normal government decision-making processes. </w:t>
      </w:r>
      <w:r w:rsidR="00E618A5">
        <w:br w:type="page"/>
      </w:r>
    </w:p>
    <w:p w14:paraId="34CB39EE" w14:textId="010D3A9C" w:rsidR="003739B3" w:rsidRPr="008173A5" w:rsidRDefault="003739B3" w:rsidP="00ED7610">
      <w:pPr>
        <w:pStyle w:val="Heading1"/>
      </w:pPr>
      <w:bookmarkStart w:id="6" w:name="_Toc237932749"/>
      <w:bookmarkStart w:id="7" w:name="_Toc237941018"/>
      <w:bookmarkStart w:id="8" w:name="_Toc237880600"/>
      <w:bookmarkStart w:id="9" w:name="_Toc237932750"/>
      <w:bookmarkStart w:id="10" w:name="_Toc237941019"/>
      <w:bookmarkStart w:id="11" w:name="_Toc238805474"/>
      <w:bookmarkEnd w:id="6"/>
      <w:bookmarkEnd w:id="7"/>
      <w:bookmarkEnd w:id="8"/>
      <w:bookmarkEnd w:id="9"/>
      <w:bookmarkEnd w:id="10"/>
      <w:r w:rsidRPr="008173A5">
        <w:lastRenderedPageBreak/>
        <w:t>Recommendations</w:t>
      </w:r>
      <w:bookmarkEnd w:id="11"/>
    </w:p>
    <w:tbl>
      <w:tblPr>
        <w:tblStyle w:val="KMTable"/>
        <w:tblW w:w="5000" w:type="pct"/>
        <w:tblLook w:val="04A0" w:firstRow="1" w:lastRow="0" w:firstColumn="1" w:lastColumn="0" w:noHBand="0" w:noVBand="1"/>
      </w:tblPr>
      <w:tblGrid>
        <w:gridCol w:w="792"/>
        <w:gridCol w:w="7813"/>
        <w:gridCol w:w="1176"/>
      </w:tblGrid>
      <w:tr w:rsidR="000770EE" w:rsidRPr="006C55F3" w14:paraId="6EFCBFA4" w14:textId="5C58E62B" w:rsidTr="00E423F8">
        <w:trPr>
          <w:cnfStyle w:val="100000000000" w:firstRow="1" w:lastRow="0" w:firstColumn="0" w:lastColumn="0" w:oddVBand="0" w:evenVBand="0" w:oddHBand="0" w:evenHBand="0" w:firstRowFirstColumn="0" w:firstRowLastColumn="0" w:lastRowFirstColumn="0" w:lastRowLastColumn="0"/>
          <w:trHeight w:val="80"/>
          <w:tblHeader/>
        </w:trPr>
        <w:tc>
          <w:tcPr>
            <w:tcW w:w="405" w:type="pct"/>
            <w:vAlign w:val="bottom"/>
          </w:tcPr>
          <w:p w14:paraId="33329206" w14:textId="064C0735" w:rsidR="000770EE" w:rsidRPr="00293D6C" w:rsidRDefault="000770EE" w:rsidP="005C0011">
            <w:pPr>
              <w:pStyle w:val="TableHeader"/>
            </w:pPr>
            <w:r>
              <w:t>#</w:t>
            </w:r>
          </w:p>
        </w:tc>
        <w:tc>
          <w:tcPr>
            <w:tcW w:w="3994" w:type="pct"/>
            <w:vAlign w:val="bottom"/>
          </w:tcPr>
          <w:p w14:paraId="3618C2FA" w14:textId="4BFE8093" w:rsidR="000770EE" w:rsidRPr="00293D6C" w:rsidRDefault="000770EE" w:rsidP="005C0011">
            <w:pPr>
              <w:pStyle w:val="TableHeader"/>
            </w:pPr>
            <w:r w:rsidRPr="00293D6C">
              <w:t>Recommendation</w:t>
            </w:r>
          </w:p>
        </w:tc>
        <w:tc>
          <w:tcPr>
            <w:tcW w:w="601" w:type="pct"/>
            <w:vAlign w:val="bottom"/>
          </w:tcPr>
          <w:p w14:paraId="79ECB348" w14:textId="1689021A" w:rsidR="000770EE" w:rsidRPr="00293D6C" w:rsidRDefault="000770EE" w:rsidP="005C0011">
            <w:pPr>
              <w:pStyle w:val="TableHeader"/>
            </w:pPr>
            <w:r w:rsidRPr="00293D6C">
              <w:t xml:space="preserve">Report </w:t>
            </w:r>
            <w:r>
              <w:t>R</w:t>
            </w:r>
            <w:r w:rsidRPr="00293D6C">
              <w:t>eference</w:t>
            </w:r>
          </w:p>
        </w:tc>
      </w:tr>
      <w:tr w:rsidR="000770EE" w:rsidRPr="00E67124" w14:paraId="7215CD8C" w14:textId="77777777" w:rsidTr="00E423F8">
        <w:trPr>
          <w:trHeight w:val="461"/>
        </w:trPr>
        <w:tc>
          <w:tcPr>
            <w:tcW w:w="4399" w:type="pct"/>
            <w:gridSpan w:val="2"/>
            <w:shd w:val="clear" w:color="auto" w:fill="E8ECE7" w:themeFill="accent3" w:themeFillTint="33"/>
          </w:tcPr>
          <w:p w14:paraId="44D03BE8" w14:textId="6113413C" w:rsidR="000770EE" w:rsidRDefault="000770EE">
            <w:pPr>
              <w:pStyle w:val="BodyText"/>
              <w:spacing w:line="240" w:lineRule="exact"/>
              <w:rPr>
                <w:b/>
                <w:bCs/>
              </w:rPr>
            </w:pPr>
            <w:r>
              <w:rPr>
                <w:b/>
                <w:bCs/>
              </w:rPr>
              <w:t>Program delivery</w:t>
            </w:r>
          </w:p>
        </w:tc>
        <w:tc>
          <w:tcPr>
            <w:tcW w:w="601" w:type="pct"/>
            <w:shd w:val="clear" w:color="auto" w:fill="E8ECE7" w:themeFill="accent3" w:themeFillTint="33"/>
          </w:tcPr>
          <w:p w14:paraId="0396FF30" w14:textId="77777777" w:rsidR="000770EE" w:rsidRPr="00235F3C" w:rsidRDefault="000770EE">
            <w:pPr>
              <w:pStyle w:val="BodyText"/>
              <w:spacing w:line="240" w:lineRule="exact"/>
              <w:rPr>
                <w:b/>
                <w:bCs/>
              </w:rPr>
            </w:pPr>
          </w:p>
        </w:tc>
      </w:tr>
      <w:tr w:rsidR="000770EE" w:rsidRPr="00E67124" w14:paraId="13CD6031" w14:textId="13B6723F" w:rsidTr="009B7D41">
        <w:tc>
          <w:tcPr>
            <w:tcW w:w="405" w:type="pct"/>
          </w:tcPr>
          <w:p w14:paraId="7150FA13" w14:textId="77777777" w:rsidR="000770EE" w:rsidRPr="00BD174E" w:rsidRDefault="000770EE">
            <w:pPr>
              <w:pStyle w:val="BodyText"/>
              <w:spacing w:line="240" w:lineRule="exact"/>
              <w:rPr>
                <w:b/>
                <w:bCs/>
              </w:rPr>
            </w:pPr>
            <w:r w:rsidRPr="00BD174E">
              <w:rPr>
                <w:b/>
                <w:bCs/>
              </w:rPr>
              <w:t>1</w:t>
            </w:r>
          </w:p>
        </w:tc>
        <w:tc>
          <w:tcPr>
            <w:tcW w:w="3994" w:type="pct"/>
          </w:tcPr>
          <w:p w14:paraId="4A96A2B6" w14:textId="75266670" w:rsidR="000770EE" w:rsidRPr="00BD174E" w:rsidRDefault="000770EE">
            <w:pPr>
              <w:pStyle w:val="BodyText"/>
              <w:spacing w:line="240" w:lineRule="exact"/>
              <w:rPr>
                <w:b/>
                <w:bCs/>
              </w:rPr>
            </w:pPr>
            <w:r w:rsidRPr="00BD174E">
              <w:rPr>
                <w:b/>
                <w:bCs/>
              </w:rPr>
              <w:t>Program delivery risk management</w:t>
            </w:r>
          </w:p>
          <w:p w14:paraId="0FED0B0B" w14:textId="3C5FA38D" w:rsidR="000770EE" w:rsidRPr="00BD174E" w:rsidRDefault="000770EE" w:rsidP="009B7D41">
            <w:pPr>
              <w:pStyle w:val="BodyText"/>
            </w:pPr>
            <w:r w:rsidRPr="00BD174E">
              <w:t xml:space="preserve">Design and deliver a monthly report outlining a whole of program view to management and the </w:t>
            </w:r>
            <w:r>
              <w:t>B</w:t>
            </w:r>
            <w:r w:rsidRPr="00BD174E">
              <w:t xml:space="preserve">oard of both delivery and financial </w:t>
            </w:r>
            <w:r w:rsidR="00052F12">
              <w:t xml:space="preserve">performance and </w:t>
            </w:r>
            <w:r w:rsidRPr="00BD174E">
              <w:t xml:space="preserve">risks, to facilitate oversight and inform decisions. </w:t>
            </w:r>
          </w:p>
        </w:tc>
        <w:tc>
          <w:tcPr>
            <w:tcW w:w="601" w:type="pct"/>
          </w:tcPr>
          <w:p w14:paraId="192FBFC9" w14:textId="1CB0CD29" w:rsidR="000770EE" w:rsidRPr="009B7D41" w:rsidRDefault="000770EE">
            <w:pPr>
              <w:pStyle w:val="BodyText"/>
              <w:spacing w:line="240" w:lineRule="exact"/>
            </w:pPr>
            <w:r w:rsidRPr="009B7D41">
              <w:t>Section</w:t>
            </w:r>
            <w:r w:rsidR="00BA3684">
              <w:t>s</w:t>
            </w:r>
            <w:r w:rsidRPr="009B7D41">
              <w:t xml:space="preserve"> 7.1 and 7.2</w:t>
            </w:r>
          </w:p>
        </w:tc>
      </w:tr>
      <w:tr w:rsidR="000770EE" w:rsidRPr="00235F3C" w14:paraId="7BD2A462" w14:textId="15A8793F" w:rsidTr="009B7D41">
        <w:tc>
          <w:tcPr>
            <w:tcW w:w="405" w:type="pct"/>
          </w:tcPr>
          <w:p w14:paraId="48EFFE4F" w14:textId="77777777" w:rsidR="000770EE" w:rsidRPr="00CA0FD1" w:rsidRDefault="000770EE">
            <w:pPr>
              <w:pStyle w:val="BodyText"/>
              <w:spacing w:line="240" w:lineRule="exact"/>
              <w:rPr>
                <w:b/>
                <w:bCs/>
              </w:rPr>
            </w:pPr>
            <w:r w:rsidRPr="00CA0FD1">
              <w:rPr>
                <w:b/>
                <w:bCs/>
              </w:rPr>
              <w:t>2</w:t>
            </w:r>
          </w:p>
        </w:tc>
        <w:tc>
          <w:tcPr>
            <w:tcW w:w="3994" w:type="pct"/>
          </w:tcPr>
          <w:p w14:paraId="39FBF39E" w14:textId="658906D5" w:rsidR="000770EE" w:rsidRPr="00CA0FD1" w:rsidRDefault="000770EE">
            <w:pPr>
              <w:pStyle w:val="BodyText"/>
              <w:spacing w:line="240" w:lineRule="exact"/>
              <w:rPr>
                <w:b/>
                <w:bCs/>
              </w:rPr>
            </w:pPr>
            <w:r w:rsidRPr="00CA0FD1">
              <w:rPr>
                <w:b/>
                <w:bCs/>
              </w:rPr>
              <w:t xml:space="preserve">Program and project management </w:t>
            </w:r>
          </w:p>
          <w:p w14:paraId="37E8DF7E" w14:textId="3E6DF49A" w:rsidR="000770EE" w:rsidRPr="00CA0FD1" w:rsidRDefault="000770EE" w:rsidP="00295077">
            <w:pPr>
              <w:pStyle w:val="BodyText"/>
            </w:pPr>
            <w:r w:rsidRPr="00CA0FD1">
              <w:t>Program (e.g. Housing Australia Future Fund</w:t>
            </w:r>
            <w:r w:rsidR="002A46C8">
              <w:t xml:space="preserve"> Facility and the National Housing Accord Facility</w:t>
            </w:r>
            <w:r w:rsidRPr="00CA0FD1">
              <w:t>) and project (i.e. individual transaction) management disciplines should be adopted for management and oversight of Housing Australia programs.</w:t>
            </w:r>
          </w:p>
        </w:tc>
        <w:tc>
          <w:tcPr>
            <w:tcW w:w="601" w:type="pct"/>
          </w:tcPr>
          <w:p w14:paraId="182D38B0" w14:textId="26101C38" w:rsidR="000770EE" w:rsidRPr="009B7D41" w:rsidRDefault="000770EE">
            <w:pPr>
              <w:pStyle w:val="BodyText"/>
              <w:spacing w:line="240" w:lineRule="exact"/>
            </w:pPr>
            <w:r w:rsidRPr="009B7D41">
              <w:t>Section</w:t>
            </w:r>
            <w:r w:rsidR="00BA3684">
              <w:t>s</w:t>
            </w:r>
            <w:r w:rsidRPr="009B7D41">
              <w:t xml:space="preserve"> 7.1</w:t>
            </w:r>
            <w:r>
              <w:t xml:space="preserve"> and 8.</w:t>
            </w:r>
            <w:r w:rsidR="00A2495B">
              <w:t>4</w:t>
            </w:r>
          </w:p>
        </w:tc>
      </w:tr>
      <w:tr w:rsidR="000770EE" w:rsidRPr="00235F3C" w14:paraId="2DAADE6E" w14:textId="77777777" w:rsidTr="009B7D41">
        <w:tc>
          <w:tcPr>
            <w:tcW w:w="405" w:type="pct"/>
          </w:tcPr>
          <w:p w14:paraId="231142C7" w14:textId="5120FA58" w:rsidR="000770EE" w:rsidRPr="002810B6" w:rsidRDefault="000770EE">
            <w:pPr>
              <w:pStyle w:val="BodyText"/>
              <w:spacing w:line="240" w:lineRule="exact"/>
              <w:rPr>
                <w:b/>
                <w:bCs/>
              </w:rPr>
            </w:pPr>
            <w:r>
              <w:rPr>
                <w:b/>
                <w:bCs/>
              </w:rPr>
              <w:t>3</w:t>
            </w:r>
          </w:p>
        </w:tc>
        <w:tc>
          <w:tcPr>
            <w:tcW w:w="3994" w:type="pct"/>
          </w:tcPr>
          <w:p w14:paraId="0F8CFE0F" w14:textId="446024EB" w:rsidR="000770EE" w:rsidRPr="009B7D41" w:rsidRDefault="000770EE" w:rsidP="00D40739">
            <w:pPr>
              <w:pStyle w:val="BodyText"/>
              <w:spacing w:line="240" w:lineRule="exact"/>
              <w:rPr>
                <w:b/>
              </w:rPr>
            </w:pPr>
            <w:r w:rsidRPr="009B7D41">
              <w:rPr>
                <w:b/>
              </w:rPr>
              <w:t>Housing Delivery Unit</w:t>
            </w:r>
          </w:p>
          <w:p w14:paraId="683B8A1B" w14:textId="05791B15" w:rsidR="000770EE" w:rsidRPr="009B7D41" w:rsidRDefault="000770EE" w:rsidP="00D40739">
            <w:pPr>
              <w:pStyle w:val="BodyText"/>
              <w:spacing w:line="240" w:lineRule="exact"/>
            </w:pPr>
            <w:r w:rsidRPr="003E6855">
              <w:t>Establish a Housing Delivery Unit, to strengthen program and project delivery</w:t>
            </w:r>
            <w:r w:rsidR="006E4804">
              <w:t xml:space="preserve"> for all Housing Australia programs</w:t>
            </w:r>
            <w:r>
              <w:t>.</w:t>
            </w:r>
          </w:p>
        </w:tc>
        <w:tc>
          <w:tcPr>
            <w:tcW w:w="601" w:type="pct"/>
          </w:tcPr>
          <w:p w14:paraId="4F2E2864" w14:textId="40B98821" w:rsidR="000770EE" w:rsidRPr="009B7D41" w:rsidRDefault="000770EE">
            <w:pPr>
              <w:pStyle w:val="BodyText"/>
              <w:spacing w:line="240" w:lineRule="exact"/>
            </w:pPr>
            <w:r w:rsidRPr="009B7D41">
              <w:t>Section7.1</w:t>
            </w:r>
          </w:p>
        </w:tc>
      </w:tr>
      <w:tr w:rsidR="009561EF" w:rsidRPr="00235F3C" w14:paraId="28EDB89B" w14:textId="77777777" w:rsidTr="009B7D41">
        <w:tc>
          <w:tcPr>
            <w:tcW w:w="405" w:type="pct"/>
          </w:tcPr>
          <w:p w14:paraId="5D3BB424" w14:textId="6257EF3D" w:rsidR="009561EF" w:rsidRDefault="00D40069">
            <w:pPr>
              <w:pStyle w:val="BodyText"/>
              <w:spacing w:line="240" w:lineRule="exact"/>
              <w:rPr>
                <w:b/>
                <w:bCs/>
              </w:rPr>
            </w:pPr>
            <w:r>
              <w:rPr>
                <w:b/>
                <w:bCs/>
              </w:rPr>
              <w:t>4</w:t>
            </w:r>
          </w:p>
        </w:tc>
        <w:tc>
          <w:tcPr>
            <w:tcW w:w="3994" w:type="pct"/>
          </w:tcPr>
          <w:p w14:paraId="2A175B83" w14:textId="77777777" w:rsidR="00D40069" w:rsidRPr="00D40069" w:rsidRDefault="00D40069" w:rsidP="00D40739">
            <w:pPr>
              <w:pStyle w:val="BodyText"/>
              <w:spacing w:line="240" w:lineRule="exact"/>
              <w:rPr>
                <w:b/>
                <w:bCs/>
              </w:rPr>
            </w:pPr>
            <w:r w:rsidRPr="00D40069">
              <w:rPr>
                <w:b/>
                <w:bCs/>
              </w:rPr>
              <w:t>Deputy CEO</w:t>
            </w:r>
          </w:p>
          <w:p w14:paraId="567AC3A9" w14:textId="23F7A1FE" w:rsidR="009561EF" w:rsidRPr="009B7D41" w:rsidRDefault="00D40069" w:rsidP="00D40739">
            <w:pPr>
              <w:pStyle w:val="BodyText"/>
              <w:spacing w:line="240" w:lineRule="exact"/>
              <w:rPr>
                <w:b/>
              </w:rPr>
            </w:pPr>
            <w:r>
              <w:t>Appoint a Deputy CEO to lead the</w:t>
            </w:r>
            <w:r w:rsidR="009561EF">
              <w:t xml:space="preserve"> </w:t>
            </w:r>
            <w:r w:rsidR="009561EF" w:rsidRPr="00D40069">
              <w:t>Housing Delivery unit, with experience delivering complex construction or infrastructure programs in a public sector context</w:t>
            </w:r>
            <w:r w:rsidR="00D1633B">
              <w:t>.</w:t>
            </w:r>
          </w:p>
        </w:tc>
        <w:tc>
          <w:tcPr>
            <w:tcW w:w="601" w:type="pct"/>
          </w:tcPr>
          <w:p w14:paraId="3EB10A87" w14:textId="4E145550" w:rsidR="009561EF" w:rsidRPr="009B7D41" w:rsidRDefault="00D40069">
            <w:pPr>
              <w:pStyle w:val="BodyText"/>
              <w:spacing w:line="240" w:lineRule="exact"/>
            </w:pPr>
            <w:r w:rsidRPr="009B7D41">
              <w:t>Section7.1</w:t>
            </w:r>
          </w:p>
        </w:tc>
      </w:tr>
      <w:tr w:rsidR="000770EE" w:rsidRPr="002B02ED" w14:paraId="16FBEFED" w14:textId="54F696C2" w:rsidTr="009B7D41">
        <w:tc>
          <w:tcPr>
            <w:tcW w:w="405" w:type="pct"/>
          </w:tcPr>
          <w:p w14:paraId="5AF94BF8" w14:textId="37E7B49B" w:rsidR="000770EE" w:rsidRPr="002810B6" w:rsidRDefault="00D40069">
            <w:pPr>
              <w:pStyle w:val="BodyText"/>
              <w:spacing w:line="240" w:lineRule="exact"/>
              <w:rPr>
                <w:b/>
                <w:bCs/>
              </w:rPr>
            </w:pPr>
            <w:r>
              <w:rPr>
                <w:b/>
                <w:bCs/>
              </w:rPr>
              <w:t>5</w:t>
            </w:r>
          </w:p>
        </w:tc>
        <w:tc>
          <w:tcPr>
            <w:tcW w:w="3994" w:type="pct"/>
          </w:tcPr>
          <w:p w14:paraId="28E4596A" w14:textId="4B05C233" w:rsidR="000770EE" w:rsidRDefault="000770EE">
            <w:pPr>
              <w:pStyle w:val="BodyText"/>
              <w:spacing w:line="240" w:lineRule="exact"/>
              <w:rPr>
                <w:b/>
                <w:bCs/>
              </w:rPr>
            </w:pPr>
            <w:r>
              <w:rPr>
                <w:b/>
                <w:bCs/>
              </w:rPr>
              <w:t>Enhance contingency planning</w:t>
            </w:r>
          </w:p>
          <w:p w14:paraId="5F1DD832" w14:textId="492EFFD0" w:rsidR="000770EE" w:rsidRPr="002B02ED" w:rsidRDefault="000770EE" w:rsidP="00D37027">
            <w:pPr>
              <w:pStyle w:val="BodyText"/>
              <w:spacing w:line="240" w:lineRule="exact"/>
            </w:pPr>
            <w:r w:rsidRPr="00D37027">
              <w:t>Expand HAFF contingency planning to define specific actions and trigger points.</w:t>
            </w:r>
          </w:p>
        </w:tc>
        <w:tc>
          <w:tcPr>
            <w:tcW w:w="601" w:type="pct"/>
          </w:tcPr>
          <w:p w14:paraId="5851F4E9" w14:textId="3DBFDFDB" w:rsidR="000770EE" w:rsidRPr="009B7D41" w:rsidRDefault="000770EE">
            <w:pPr>
              <w:pStyle w:val="BodyText"/>
              <w:spacing w:line="240" w:lineRule="exact"/>
            </w:pPr>
            <w:r w:rsidRPr="009B7D41">
              <w:t>Section 7.</w:t>
            </w:r>
            <w:r w:rsidR="00DD5E8E">
              <w:t>3</w:t>
            </w:r>
          </w:p>
        </w:tc>
      </w:tr>
      <w:tr w:rsidR="000770EE" w:rsidRPr="00387FBC" w14:paraId="2C556C0E" w14:textId="77777777" w:rsidTr="00E423F8">
        <w:trPr>
          <w:cantSplit w:val="0"/>
        </w:trPr>
        <w:tc>
          <w:tcPr>
            <w:tcW w:w="4399" w:type="pct"/>
            <w:gridSpan w:val="2"/>
            <w:shd w:val="clear" w:color="auto" w:fill="E8ECE7" w:themeFill="accent3" w:themeFillTint="33"/>
          </w:tcPr>
          <w:p w14:paraId="45DB76A1" w14:textId="26E4C9F7" w:rsidR="000770EE" w:rsidRDefault="000770EE">
            <w:pPr>
              <w:pStyle w:val="BodyText"/>
              <w:spacing w:line="240" w:lineRule="exact"/>
              <w:rPr>
                <w:b/>
                <w:bCs/>
              </w:rPr>
            </w:pPr>
            <w:r>
              <w:rPr>
                <w:b/>
                <w:bCs/>
              </w:rPr>
              <w:t>Sector capability</w:t>
            </w:r>
          </w:p>
        </w:tc>
        <w:tc>
          <w:tcPr>
            <w:tcW w:w="601" w:type="pct"/>
            <w:shd w:val="clear" w:color="auto" w:fill="E8ECE7" w:themeFill="accent3" w:themeFillTint="33"/>
          </w:tcPr>
          <w:p w14:paraId="0F62C5AC" w14:textId="77777777" w:rsidR="000770EE" w:rsidRDefault="000770EE">
            <w:pPr>
              <w:pStyle w:val="BodyText"/>
              <w:spacing w:line="240" w:lineRule="exact"/>
              <w:rPr>
                <w:b/>
                <w:bCs/>
              </w:rPr>
            </w:pPr>
          </w:p>
        </w:tc>
      </w:tr>
      <w:tr w:rsidR="000770EE" w:rsidRPr="00387FBC" w14:paraId="54DFE9B5" w14:textId="61645CDC" w:rsidTr="009B7D41">
        <w:trPr>
          <w:cantSplit w:val="0"/>
        </w:trPr>
        <w:tc>
          <w:tcPr>
            <w:tcW w:w="405" w:type="pct"/>
          </w:tcPr>
          <w:p w14:paraId="5A3010F1" w14:textId="0F446607" w:rsidR="000770EE" w:rsidRPr="001216B6" w:rsidRDefault="00D40069">
            <w:pPr>
              <w:pStyle w:val="BodyText"/>
              <w:spacing w:line="240" w:lineRule="exact"/>
              <w:rPr>
                <w:b/>
                <w:bCs/>
              </w:rPr>
            </w:pPr>
            <w:r>
              <w:rPr>
                <w:b/>
                <w:bCs/>
              </w:rPr>
              <w:t>6</w:t>
            </w:r>
          </w:p>
        </w:tc>
        <w:tc>
          <w:tcPr>
            <w:tcW w:w="3994" w:type="pct"/>
          </w:tcPr>
          <w:p w14:paraId="0106D016" w14:textId="77777777" w:rsidR="000770EE" w:rsidRDefault="000770EE">
            <w:pPr>
              <w:pStyle w:val="BodyText"/>
              <w:spacing w:line="240" w:lineRule="exact"/>
              <w:rPr>
                <w:b/>
                <w:bCs/>
              </w:rPr>
            </w:pPr>
            <w:r>
              <w:rPr>
                <w:b/>
                <w:bCs/>
              </w:rPr>
              <w:t>Community Housing Providers</w:t>
            </w:r>
          </w:p>
          <w:p w14:paraId="0B5F2145" w14:textId="202D58A3" w:rsidR="000770EE" w:rsidRDefault="000770EE" w:rsidP="00ED2992">
            <w:pPr>
              <w:pStyle w:val="BodyText"/>
              <w:numPr>
                <w:ilvl w:val="0"/>
                <w:numId w:val="19"/>
              </w:numPr>
              <w:spacing w:line="240" w:lineRule="exact"/>
              <w:ind w:left="360"/>
            </w:pPr>
            <w:r w:rsidRPr="006A6853">
              <w:rPr>
                <w:b/>
                <w:bCs/>
              </w:rPr>
              <w:t>Support services</w:t>
            </w:r>
            <w:r>
              <w:t xml:space="preserve"> - provide additional support</w:t>
            </w:r>
            <w:r w:rsidR="00A6794E">
              <w:t>,</w:t>
            </w:r>
            <w:r>
              <w:t xml:space="preserve"> </w:t>
            </w:r>
            <w:r w:rsidR="006258E6">
              <w:t>or access to additional support</w:t>
            </w:r>
            <w:r>
              <w:t xml:space="preserve"> to CHPs</w:t>
            </w:r>
            <w:r w:rsidDel="00A32EE0">
              <w:t xml:space="preserve"> </w:t>
            </w:r>
            <w:r>
              <w:t>to accelerate the contract and financial close of HAFF projects (except for turn-key projects).</w:t>
            </w:r>
            <w:r w:rsidDel="006F7B41">
              <w:t xml:space="preserve"> </w:t>
            </w:r>
          </w:p>
          <w:p w14:paraId="7D6989FF" w14:textId="23D7260C" w:rsidR="000770EE" w:rsidRPr="0024695D" w:rsidRDefault="000770EE" w:rsidP="00ED2992">
            <w:pPr>
              <w:pStyle w:val="BodyText"/>
              <w:numPr>
                <w:ilvl w:val="0"/>
                <w:numId w:val="19"/>
              </w:numPr>
              <w:spacing w:line="240" w:lineRule="exact"/>
              <w:ind w:left="360"/>
            </w:pPr>
            <w:r w:rsidRPr="006A6853">
              <w:rPr>
                <w:b/>
                <w:bCs/>
              </w:rPr>
              <w:t>Approval acceleration</w:t>
            </w:r>
            <w:r>
              <w:t xml:space="preserve"> –</w:t>
            </w:r>
            <w:r w:rsidRPr="0024695D" w:rsidDel="00D8591F">
              <w:t xml:space="preserve"> </w:t>
            </w:r>
            <w:r w:rsidRPr="0024695D">
              <w:t>urgently review HAFF Round 3 approval processes to streamline or remove</w:t>
            </w:r>
            <w:r>
              <w:t xml:space="preserve"> unnecessary</w:t>
            </w:r>
            <w:r w:rsidRPr="0024695D">
              <w:t xml:space="preserve"> information requests, clarifications or activities that do not directly align to </w:t>
            </w:r>
            <w:r w:rsidR="00773397">
              <w:t xml:space="preserve">the </w:t>
            </w:r>
            <w:r w:rsidRPr="0024695D">
              <w:t>assessment of key program risks</w:t>
            </w:r>
            <w:r>
              <w:t xml:space="preserve"> or duplicate information already held</w:t>
            </w:r>
            <w:r w:rsidRPr="0024695D">
              <w:t xml:space="preserve">. </w:t>
            </w:r>
          </w:p>
        </w:tc>
        <w:tc>
          <w:tcPr>
            <w:tcW w:w="601" w:type="pct"/>
          </w:tcPr>
          <w:p w14:paraId="2CA46339" w14:textId="59EFC5A2" w:rsidR="000770EE" w:rsidRPr="009B7D41" w:rsidRDefault="000770EE">
            <w:pPr>
              <w:pStyle w:val="BodyText"/>
              <w:spacing w:line="240" w:lineRule="exact"/>
            </w:pPr>
            <w:r w:rsidRPr="009B7D41">
              <w:t>Section</w:t>
            </w:r>
            <w:r w:rsidR="00BA3684">
              <w:t>s</w:t>
            </w:r>
            <w:r w:rsidRPr="009B7D41">
              <w:t xml:space="preserve"> 7.</w:t>
            </w:r>
            <w:r w:rsidR="00CF43AF">
              <w:t>4</w:t>
            </w:r>
            <w:r w:rsidR="001D6660" w:rsidRPr="009B7D41">
              <w:t xml:space="preserve"> </w:t>
            </w:r>
            <w:r w:rsidRPr="009B7D41">
              <w:t>and 7.</w:t>
            </w:r>
            <w:r w:rsidR="00CF43AF">
              <w:t>5</w:t>
            </w:r>
          </w:p>
        </w:tc>
      </w:tr>
      <w:tr w:rsidR="000770EE" w:rsidRPr="001F38E6" w14:paraId="7B98FF84" w14:textId="77777777" w:rsidTr="00E423F8">
        <w:tc>
          <w:tcPr>
            <w:tcW w:w="4399" w:type="pct"/>
            <w:gridSpan w:val="2"/>
            <w:shd w:val="clear" w:color="auto" w:fill="E8ECE7" w:themeFill="accent3" w:themeFillTint="33"/>
          </w:tcPr>
          <w:p w14:paraId="64470893" w14:textId="5CEF87AD" w:rsidR="000770EE" w:rsidRDefault="000770EE" w:rsidP="009B7D41">
            <w:pPr>
              <w:pStyle w:val="BodyText"/>
              <w:keepNext/>
              <w:spacing w:line="240" w:lineRule="exact"/>
              <w:rPr>
                <w:b/>
                <w:bCs/>
              </w:rPr>
            </w:pPr>
            <w:r>
              <w:rPr>
                <w:b/>
                <w:bCs/>
              </w:rPr>
              <w:lastRenderedPageBreak/>
              <w:t>Governance</w:t>
            </w:r>
          </w:p>
        </w:tc>
        <w:tc>
          <w:tcPr>
            <w:tcW w:w="601" w:type="pct"/>
            <w:shd w:val="clear" w:color="auto" w:fill="E8ECE7" w:themeFill="accent3" w:themeFillTint="33"/>
          </w:tcPr>
          <w:p w14:paraId="1420E3FE" w14:textId="77777777" w:rsidR="000770EE" w:rsidRDefault="000770EE" w:rsidP="009B7D41">
            <w:pPr>
              <w:pStyle w:val="BodyText"/>
              <w:keepNext/>
              <w:spacing w:line="240" w:lineRule="exact"/>
              <w:rPr>
                <w:b/>
                <w:bCs/>
              </w:rPr>
            </w:pPr>
          </w:p>
        </w:tc>
      </w:tr>
      <w:tr w:rsidR="000770EE" w:rsidRPr="001F38E6" w14:paraId="450120E5" w14:textId="57EFF092" w:rsidTr="009B7D41">
        <w:tc>
          <w:tcPr>
            <w:tcW w:w="405" w:type="pct"/>
          </w:tcPr>
          <w:p w14:paraId="09F8CC46" w14:textId="117431A3" w:rsidR="000770EE" w:rsidRDefault="00D40069" w:rsidP="009B7D41">
            <w:pPr>
              <w:pStyle w:val="BodyText"/>
              <w:keepNext/>
              <w:spacing w:line="240" w:lineRule="exact"/>
              <w:rPr>
                <w:b/>
                <w:bCs/>
              </w:rPr>
            </w:pPr>
            <w:r>
              <w:rPr>
                <w:b/>
                <w:bCs/>
              </w:rPr>
              <w:t>7</w:t>
            </w:r>
          </w:p>
        </w:tc>
        <w:tc>
          <w:tcPr>
            <w:tcW w:w="3994" w:type="pct"/>
          </w:tcPr>
          <w:p w14:paraId="28C15539" w14:textId="77777777" w:rsidR="000770EE" w:rsidRDefault="000770EE" w:rsidP="009B7D41">
            <w:pPr>
              <w:pStyle w:val="BodyText"/>
              <w:keepNext/>
              <w:spacing w:line="240" w:lineRule="exact"/>
              <w:rPr>
                <w:b/>
                <w:bCs/>
              </w:rPr>
            </w:pPr>
            <w:r>
              <w:rPr>
                <w:b/>
                <w:bCs/>
              </w:rPr>
              <w:t>Board skills mix</w:t>
            </w:r>
          </w:p>
          <w:p w14:paraId="1BEF439A" w14:textId="42F87DAF" w:rsidR="000770EE" w:rsidRPr="001F38E6" w:rsidRDefault="007E7ADA" w:rsidP="009B7D41">
            <w:pPr>
              <w:pStyle w:val="BodyText"/>
            </w:pPr>
            <w:r>
              <w:t>Revisit</w:t>
            </w:r>
            <w:r w:rsidR="00EA6DAA">
              <w:t xml:space="preserve"> </w:t>
            </w:r>
            <w:r w:rsidR="000770EE">
              <w:t xml:space="preserve">the board skills mix </w:t>
            </w:r>
            <w:r w:rsidR="003155B6">
              <w:t>during the next scheduled Board Evaluation process</w:t>
            </w:r>
            <w:r w:rsidR="002E1CBD">
              <w:rPr>
                <w:rStyle w:val="FootnoteReference"/>
              </w:rPr>
              <w:footnoteReference w:id="1"/>
            </w:r>
            <w:r w:rsidR="003155B6">
              <w:t xml:space="preserve"> </w:t>
            </w:r>
            <w:r w:rsidR="000770EE">
              <w:t xml:space="preserve">to better align with the evolution of Housing Australia operations as programs transition from assessment and contracting through to project delivery and ‘in-life’ activity. </w:t>
            </w:r>
          </w:p>
        </w:tc>
        <w:tc>
          <w:tcPr>
            <w:tcW w:w="601" w:type="pct"/>
          </w:tcPr>
          <w:p w14:paraId="225BC9C2" w14:textId="38D04EC8" w:rsidR="000770EE" w:rsidRPr="009B7D41" w:rsidRDefault="000770EE" w:rsidP="009B7D41">
            <w:pPr>
              <w:pStyle w:val="BodyText"/>
              <w:keepNext/>
              <w:spacing w:line="240" w:lineRule="exact"/>
            </w:pPr>
            <w:r w:rsidRPr="009B7D41">
              <w:t xml:space="preserve">Section 8.2 </w:t>
            </w:r>
          </w:p>
        </w:tc>
      </w:tr>
      <w:tr w:rsidR="000770EE" w:rsidRPr="00CE605D" w14:paraId="00530EE8" w14:textId="58584022" w:rsidTr="009B7D41">
        <w:tc>
          <w:tcPr>
            <w:tcW w:w="405" w:type="pct"/>
          </w:tcPr>
          <w:p w14:paraId="5757C2A3" w14:textId="04D71BF8" w:rsidR="000770EE" w:rsidRDefault="00D40069" w:rsidP="00DF50AE">
            <w:pPr>
              <w:pStyle w:val="BodyText"/>
              <w:spacing w:line="240" w:lineRule="exact"/>
              <w:rPr>
                <w:b/>
                <w:bCs/>
              </w:rPr>
            </w:pPr>
            <w:r>
              <w:rPr>
                <w:b/>
                <w:bCs/>
              </w:rPr>
              <w:t>8</w:t>
            </w:r>
          </w:p>
        </w:tc>
        <w:tc>
          <w:tcPr>
            <w:tcW w:w="3994" w:type="pct"/>
          </w:tcPr>
          <w:p w14:paraId="5CD2D210" w14:textId="77777777" w:rsidR="000770EE" w:rsidRPr="008173A5" w:rsidRDefault="000770EE" w:rsidP="00DF50AE">
            <w:pPr>
              <w:pStyle w:val="BodyText"/>
              <w:rPr>
                <w:b/>
                <w:bCs/>
              </w:rPr>
            </w:pPr>
            <w:r w:rsidRPr="008173A5">
              <w:rPr>
                <w:b/>
                <w:bCs/>
              </w:rPr>
              <w:t>Delegations of authority</w:t>
            </w:r>
          </w:p>
          <w:p w14:paraId="67B75C0B" w14:textId="5C743B1B" w:rsidR="000770EE" w:rsidRPr="008173A5" w:rsidRDefault="00F57DD9" w:rsidP="009B7D41">
            <w:pPr>
              <w:pStyle w:val="BodyText"/>
            </w:pPr>
            <w:r w:rsidRPr="008173A5">
              <w:t>U</w:t>
            </w:r>
            <w:r w:rsidR="000770EE" w:rsidRPr="008173A5">
              <w:t xml:space="preserve">rgently </w:t>
            </w:r>
            <w:r w:rsidR="000F348B" w:rsidRPr="008173A5">
              <w:t>reassess</w:t>
            </w:r>
            <w:r w:rsidR="000770EE" w:rsidRPr="008173A5">
              <w:t xml:space="preserve"> program and project risk and controls </w:t>
            </w:r>
            <w:r w:rsidR="00D0587F" w:rsidRPr="008173A5">
              <w:t xml:space="preserve">following </w:t>
            </w:r>
            <w:r w:rsidR="000770EE" w:rsidRPr="008173A5">
              <w:t>the improve</w:t>
            </w:r>
            <w:r w:rsidR="00D0587F" w:rsidRPr="008173A5">
              <w:t>ment in</w:t>
            </w:r>
            <w:r w:rsidR="000770EE" w:rsidRPr="008173A5">
              <w:t xml:space="preserve"> HAFF</w:t>
            </w:r>
            <w:r w:rsidR="00107307">
              <w:t xml:space="preserve"> Round 3 approval processes (as per Recommendation </w:t>
            </w:r>
            <w:r w:rsidR="00004F30">
              <w:t>6</w:t>
            </w:r>
            <w:r w:rsidR="00107307">
              <w:t>)</w:t>
            </w:r>
            <w:r w:rsidR="000770EE" w:rsidRPr="008173A5">
              <w:t xml:space="preserve">, maturity of systems and processes, and increased capability in financial risk, and adjust transaction approval delegations accordingly. </w:t>
            </w:r>
          </w:p>
        </w:tc>
        <w:tc>
          <w:tcPr>
            <w:tcW w:w="601" w:type="pct"/>
          </w:tcPr>
          <w:p w14:paraId="72828CCC" w14:textId="3DF9F29D" w:rsidR="000770EE" w:rsidRPr="009B7D41" w:rsidRDefault="000770EE" w:rsidP="00DF50AE">
            <w:pPr>
              <w:pStyle w:val="BodyText"/>
            </w:pPr>
            <w:r w:rsidRPr="009B7D41">
              <w:t>Section</w:t>
            </w:r>
            <w:r w:rsidR="00BA3684" w:rsidRPr="009B7D41">
              <w:t>s</w:t>
            </w:r>
            <w:r w:rsidRPr="009B7D41">
              <w:t xml:space="preserve"> 7.3 and 8.3</w:t>
            </w:r>
          </w:p>
        </w:tc>
      </w:tr>
      <w:tr w:rsidR="0079087C" w:rsidRPr="00CE605D" w14:paraId="747DD516" w14:textId="77777777" w:rsidTr="000770EE">
        <w:tc>
          <w:tcPr>
            <w:tcW w:w="405" w:type="pct"/>
          </w:tcPr>
          <w:p w14:paraId="7A9E2DFD" w14:textId="249086D3" w:rsidR="0079087C" w:rsidRDefault="00D40069" w:rsidP="0079087C">
            <w:pPr>
              <w:pStyle w:val="BodyText"/>
              <w:spacing w:line="240" w:lineRule="exact"/>
              <w:rPr>
                <w:b/>
                <w:bCs/>
              </w:rPr>
            </w:pPr>
            <w:r>
              <w:rPr>
                <w:b/>
                <w:bCs/>
              </w:rPr>
              <w:t>9</w:t>
            </w:r>
          </w:p>
        </w:tc>
        <w:tc>
          <w:tcPr>
            <w:tcW w:w="3994" w:type="pct"/>
          </w:tcPr>
          <w:p w14:paraId="04F56471" w14:textId="77777777" w:rsidR="0079087C" w:rsidRDefault="0079087C" w:rsidP="0079087C">
            <w:pPr>
              <w:pStyle w:val="BodyText"/>
              <w:spacing w:line="240" w:lineRule="exact"/>
              <w:rPr>
                <w:b/>
                <w:bCs/>
              </w:rPr>
            </w:pPr>
            <w:r>
              <w:rPr>
                <w:b/>
                <w:bCs/>
              </w:rPr>
              <w:t>Culture</w:t>
            </w:r>
          </w:p>
          <w:p w14:paraId="2157304F" w14:textId="4C0BDD0D" w:rsidR="0079087C" w:rsidRPr="008173A5" w:rsidRDefault="00D022E5" w:rsidP="00135068">
            <w:pPr>
              <w:pStyle w:val="BodyText0"/>
              <w:rPr>
                <w:b/>
                <w:bCs/>
              </w:rPr>
            </w:pPr>
            <w:r w:rsidRPr="00D022E5">
              <w:t>Align Board and management culture to establish a shared understanding of the organisation’s priorities, risk culture and delivery objectives.</w:t>
            </w:r>
          </w:p>
        </w:tc>
        <w:tc>
          <w:tcPr>
            <w:tcW w:w="601" w:type="pct"/>
          </w:tcPr>
          <w:p w14:paraId="28E501AB" w14:textId="053718D1" w:rsidR="0079087C" w:rsidRPr="00375219" w:rsidRDefault="0079087C" w:rsidP="0079087C">
            <w:pPr>
              <w:pStyle w:val="BodyText"/>
            </w:pPr>
            <w:r w:rsidRPr="00F3402D">
              <w:t>Section 8.1</w:t>
            </w:r>
          </w:p>
        </w:tc>
      </w:tr>
      <w:tr w:rsidR="0079087C" w:rsidRPr="008531B5" w14:paraId="74B718C6" w14:textId="77777777" w:rsidTr="00E423F8">
        <w:tc>
          <w:tcPr>
            <w:tcW w:w="4399" w:type="pct"/>
            <w:gridSpan w:val="2"/>
            <w:shd w:val="clear" w:color="auto" w:fill="E8ECE7" w:themeFill="accent3" w:themeFillTint="33"/>
          </w:tcPr>
          <w:p w14:paraId="6F24C535" w14:textId="26A6C651" w:rsidR="0079087C" w:rsidRDefault="0079087C" w:rsidP="0079087C">
            <w:pPr>
              <w:pStyle w:val="BodyText"/>
              <w:spacing w:line="240" w:lineRule="exact"/>
              <w:rPr>
                <w:b/>
                <w:bCs/>
              </w:rPr>
            </w:pPr>
            <w:r>
              <w:rPr>
                <w:b/>
                <w:bCs/>
              </w:rPr>
              <w:t>Operations</w:t>
            </w:r>
          </w:p>
        </w:tc>
        <w:tc>
          <w:tcPr>
            <w:tcW w:w="601" w:type="pct"/>
            <w:shd w:val="clear" w:color="auto" w:fill="E8ECE7" w:themeFill="accent3" w:themeFillTint="33"/>
          </w:tcPr>
          <w:p w14:paraId="70AE81B4" w14:textId="77777777" w:rsidR="0079087C" w:rsidRDefault="0079087C" w:rsidP="0079087C">
            <w:pPr>
              <w:pStyle w:val="BodyText"/>
              <w:spacing w:line="240" w:lineRule="exact"/>
              <w:rPr>
                <w:b/>
                <w:bCs/>
              </w:rPr>
            </w:pPr>
          </w:p>
        </w:tc>
      </w:tr>
      <w:tr w:rsidR="0079087C" w:rsidRPr="008531B5" w14:paraId="6FD23F8A" w14:textId="77777777" w:rsidTr="009B7D41">
        <w:tc>
          <w:tcPr>
            <w:tcW w:w="405" w:type="pct"/>
          </w:tcPr>
          <w:p w14:paraId="345FE9EB" w14:textId="70BB4166" w:rsidR="0079087C" w:rsidRDefault="00D40069" w:rsidP="0079087C">
            <w:pPr>
              <w:pStyle w:val="BodyText"/>
              <w:spacing w:line="240" w:lineRule="exact"/>
              <w:rPr>
                <w:b/>
                <w:bCs/>
              </w:rPr>
            </w:pPr>
            <w:r>
              <w:rPr>
                <w:b/>
                <w:bCs/>
              </w:rPr>
              <w:t>10</w:t>
            </w:r>
          </w:p>
        </w:tc>
        <w:tc>
          <w:tcPr>
            <w:tcW w:w="3994" w:type="pct"/>
          </w:tcPr>
          <w:p w14:paraId="3E8E9D1D" w14:textId="12C46E39" w:rsidR="0079087C" w:rsidRDefault="0079087C" w:rsidP="0079087C">
            <w:pPr>
              <w:pStyle w:val="BodyText"/>
              <w:spacing w:line="240" w:lineRule="exact"/>
              <w:rPr>
                <w:b/>
                <w:bCs/>
              </w:rPr>
            </w:pPr>
            <w:r w:rsidRPr="00B40611">
              <w:rPr>
                <w:b/>
                <w:bCs/>
              </w:rPr>
              <w:t xml:space="preserve">Resourcing </w:t>
            </w:r>
          </w:p>
          <w:p w14:paraId="5E9DBDED" w14:textId="5E36198E" w:rsidR="0079087C" w:rsidRPr="00043B07" w:rsidRDefault="0079087C" w:rsidP="009B7D41">
            <w:pPr>
              <w:pStyle w:val="BodyText"/>
            </w:pPr>
            <w:r>
              <w:t xml:space="preserve">Quantify the </w:t>
            </w:r>
            <w:r w:rsidR="007E1324">
              <w:t xml:space="preserve">level of </w:t>
            </w:r>
            <w:r w:rsidR="00FF4975">
              <w:t xml:space="preserve">internal </w:t>
            </w:r>
            <w:r>
              <w:t>resourcing</w:t>
            </w:r>
            <w:r w:rsidR="007F2F58">
              <w:t xml:space="preserve"> </w:t>
            </w:r>
            <w:r w:rsidR="00FC5186">
              <w:t>required</w:t>
            </w:r>
            <w:r>
              <w:t xml:space="preserve"> to support timely transaction approval</w:t>
            </w:r>
            <w:r w:rsidR="007E1324">
              <w:t>s and contract closure</w:t>
            </w:r>
            <w:r w:rsidR="007F2F58">
              <w:t xml:space="preserve"> through use of a </w:t>
            </w:r>
            <w:r>
              <w:t>run-rate or estimated effort per transaction. Once complete, confirm the level of surge capacity and/or recruitment required to achieve required outcomes.</w:t>
            </w:r>
            <w:r w:rsidRPr="001B60D2">
              <w:t> </w:t>
            </w:r>
          </w:p>
        </w:tc>
        <w:tc>
          <w:tcPr>
            <w:tcW w:w="601" w:type="pct"/>
          </w:tcPr>
          <w:p w14:paraId="648C19F7" w14:textId="2A1E10C2" w:rsidR="0079087C" w:rsidRPr="009B7D41" w:rsidRDefault="0079087C" w:rsidP="0079087C">
            <w:pPr>
              <w:pStyle w:val="BodyText"/>
              <w:spacing w:line="240" w:lineRule="exact"/>
            </w:pPr>
            <w:r w:rsidRPr="009B7D41">
              <w:t>Section 7.5</w:t>
            </w:r>
          </w:p>
        </w:tc>
      </w:tr>
      <w:tr w:rsidR="0079087C" w:rsidRPr="008531B5" w14:paraId="696A6867" w14:textId="77777777" w:rsidTr="009B7D41">
        <w:tc>
          <w:tcPr>
            <w:tcW w:w="405" w:type="pct"/>
          </w:tcPr>
          <w:p w14:paraId="2954D2E5" w14:textId="677E4C00" w:rsidR="0079087C" w:rsidRDefault="0079087C" w:rsidP="0079087C">
            <w:pPr>
              <w:pStyle w:val="BodyText"/>
              <w:spacing w:line="240" w:lineRule="exact"/>
              <w:rPr>
                <w:b/>
                <w:bCs/>
              </w:rPr>
            </w:pPr>
            <w:r>
              <w:rPr>
                <w:b/>
                <w:bCs/>
              </w:rPr>
              <w:t>1</w:t>
            </w:r>
            <w:r w:rsidR="00D40069">
              <w:rPr>
                <w:b/>
                <w:bCs/>
              </w:rPr>
              <w:t>1</w:t>
            </w:r>
          </w:p>
        </w:tc>
        <w:tc>
          <w:tcPr>
            <w:tcW w:w="3994" w:type="pct"/>
          </w:tcPr>
          <w:p w14:paraId="5744A5BB" w14:textId="30A4BC1C" w:rsidR="0079087C" w:rsidRDefault="000A1600" w:rsidP="0079087C">
            <w:pPr>
              <w:pStyle w:val="BodyText"/>
              <w:spacing w:line="240" w:lineRule="exact"/>
              <w:rPr>
                <w:b/>
                <w:bCs/>
              </w:rPr>
            </w:pPr>
            <w:r>
              <w:rPr>
                <w:b/>
                <w:bCs/>
              </w:rPr>
              <w:t>C</w:t>
            </w:r>
            <w:r w:rsidR="0079087C">
              <w:rPr>
                <w:b/>
                <w:bCs/>
              </w:rPr>
              <w:t>ommunications</w:t>
            </w:r>
          </w:p>
          <w:p w14:paraId="362B7661" w14:textId="5CC00DE2" w:rsidR="0079087C" w:rsidRPr="00B54BF4" w:rsidRDefault="00FC5186" w:rsidP="00295077">
            <w:pPr>
              <w:pStyle w:val="BodyText"/>
            </w:pPr>
            <w:r>
              <w:t>B</w:t>
            </w:r>
            <w:r w:rsidR="0079087C" w:rsidRPr="00416DAD">
              <w:t>uild on</w:t>
            </w:r>
            <w:r w:rsidR="0079087C" w:rsidRPr="00416DAD" w:rsidDel="00FC5186">
              <w:t xml:space="preserve"> </w:t>
            </w:r>
            <w:r>
              <w:t xml:space="preserve">the </w:t>
            </w:r>
            <w:r w:rsidR="00E413B8">
              <w:t>existing</w:t>
            </w:r>
            <w:r w:rsidRPr="00416DAD">
              <w:t xml:space="preserve"> </w:t>
            </w:r>
            <w:r w:rsidR="0079087C" w:rsidRPr="00416DAD">
              <w:t>2026 engagement and communications strategy by confirming stakeholder priorities and the organisational narrative, assigning accountable relationship owners, and implementing consistent communication, data-sharing and escalation protocols across existing engagement arrangements.</w:t>
            </w:r>
          </w:p>
        </w:tc>
        <w:tc>
          <w:tcPr>
            <w:tcW w:w="601" w:type="pct"/>
          </w:tcPr>
          <w:p w14:paraId="3C694340" w14:textId="17222475" w:rsidR="0079087C" w:rsidRPr="009B7D41" w:rsidRDefault="0079087C" w:rsidP="0079087C">
            <w:pPr>
              <w:pStyle w:val="BodyText"/>
              <w:spacing w:line="240" w:lineRule="exact"/>
            </w:pPr>
            <w:r w:rsidRPr="009B7D41">
              <w:t xml:space="preserve">Section </w:t>
            </w:r>
            <w:r w:rsidR="00BC39CA">
              <w:t>9.3</w:t>
            </w:r>
          </w:p>
        </w:tc>
      </w:tr>
      <w:tr w:rsidR="0079087C" w:rsidRPr="008531B5" w14:paraId="3375ED71" w14:textId="77777777" w:rsidTr="009B7D41">
        <w:tc>
          <w:tcPr>
            <w:tcW w:w="405" w:type="pct"/>
          </w:tcPr>
          <w:p w14:paraId="086E46D2" w14:textId="0B95A7CE" w:rsidR="0079087C" w:rsidRDefault="0079087C" w:rsidP="0079087C">
            <w:pPr>
              <w:pStyle w:val="BodyText"/>
              <w:spacing w:line="240" w:lineRule="exact"/>
              <w:rPr>
                <w:b/>
                <w:bCs/>
              </w:rPr>
            </w:pPr>
            <w:r>
              <w:rPr>
                <w:b/>
                <w:bCs/>
              </w:rPr>
              <w:t>1</w:t>
            </w:r>
            <w:r w:rsidR="00D40069">
              <w:rPr>
                <w:b/>
                <w:bCs/>
              </w:rPr>
              <w:t>2</w:t>
            </w:r>
          </w:p>
        </w:tc>
        <w:tc>
          <w:tcPr>
            <w:tcW w:w="3994" w:type="pct"/>
          </w:tcPr>
          <w:p w14:paraId="165C745D" w14:textId="77777777" w:rsidR="00E413B8" w:rsidRDefault="0079087C" w:rsidP="0079087C">
            <w:pPr>
              <w:pStyle w:val="BodyText"/>
              <w:spacing w:line="240" w:lineRule="exact"/>
            </w:pPr>
            <w:r w:rsidRPr="00835B16">
              <w:rPr>
                <w:b/>
                <w:bCs/>
              </w:rPr>
              <w:t>Housing Australia and Treasury relationship</w:t>
            </w:r>
            <w:r w:rsidRPr="001B60D2">
              <w:t> </w:t>
            </w:r>
          </w:p>
          <w:p w14:paraId="099F9A25" w14:textId="6D8F92C0" w:rsidR="0079087C" w:rsidRPr="00043B07" w:rsidRDefault="00123E4C" w:rsidP="009B7D41">
            <w:pPr>
              <w:pStyle w:val="BodyText"/>
            </w:pPr>
            <w:r>
              <w:t xml:space="preserve">Define </w:t>
            </w:r>
            <w:r w:rsidR="0079087C">
              <w:t xml:space="preserve">clear roles and responsibilities between </w:t>
            </w:r>
            <w:r>
              <w:t xml:space="preserve">Treasury and </w:t>
            </w:r>
            <w:r w:rsidR="0079087C">
              <w:t>Housing Australia that address access to data and information</w:t>
            </w:r>
            <w:r w:rsidR="00735FA3">
              <w:t xml:space="preserve"> and</w:t>
            </w:r>
            <w:r w:rsidR="0079087C">
              <w:t xml:space="preserve"> </w:t>
            </w:r>
            <w:r>
              <w:t>communications</w:t>
            </w:r>
            <w:r w:rsidR="0079087C" w:rsidDel="00735FA3">
              <w:t>.</w:t>
            </w:r>
          </w:p>
        </w:tc>
        <w:tc>
          <w:tcPr>
            <w:tcW w:w="601" w:type="pct"/>
          </w:tcPr>
          <w:p w14:paraId="4AE9253A" w14:textId="13DD656A" w:rsidR="0079087C" w:rsidRPr="009B7D41" w:rsidRDefault="0079087C" w:rsidP="0079087C">
            <w:pPr>
              <w:pStyle w:val="BodyText"/>
              <w:spacing w:line="240" w:lineRule="exact"/>
            </w:pPr>
            <w:r w:rsidRPr="009B7D41">
              <w:t>Section 9.</w:t>
            </w:r>
            <w:r w:rsidR="00BC39CA">
              <w:t>1</w:t>
            </w:r>
          </w:p>
        </w:tc>
      </w:tr>
      <w:tr w:rsidR="00CC1A39" w:rsidRPr="008531B5" w14:paraId="4648567B" w14:textId="77777777" w:rsidTr="000770EE">
        <w:tc>
          <w:tcPr>
            <w:tcW w:w="405" w:type="pct"/>
          </w:tcPr>
          <w:p w14:paraId="2D224DB7" w14:textId="22609556" w:rsidR="00CC1A39" w:rsidRDefault="00CC1A39" w:rsidP="0079087C">
            <w:pPr>
              <w:pStyle w:val="BodyText"/>
              <w:spacing w:line="240" w:lineRule="exact"/>
              <w:rPr>
                <w:b/>
                <w:bCs/>
              </w:rPr>
            </w:pPr>
            <w:r>
              <w:rPr>
                <w:b/>
                <w:bCs/>
              </w:rPr>
              <w:t>1</w:t>
            </w:r>
            <w:r w:rsidR="00D40069">
              <w:rPr>
                <w:b/>
                <w:bCs/>
              </w:rPr>
              <w:t>3</w:t>
            </w:r>
          </w:p>
        </w:tc>
        <w:tc>
          <w:tcPr>
            <w:tcW w:w="3994" w:type="pct"/>
          </w:tcPr>
          <w:p w14:paraId="41A643C7" w14:textId="77777777" w:rsidR="00CC1A39" w:rsidRDefault="00CC1A39" w:rsidP="0079087C">
            <w:pPr>
              <w:pStyle w:val="BodyText"/>
              <w:spacing w:line="240" w:lineRule="exact"/>
              <w:rPr>
                <w:b/>
                <w:bCs/>
              </w:rPr>
            </w:pPr>
            <w:r>
              <w:rPr>
                <w:b/>
                <w:bCs/>
              </w:rPr>
              <w:t>Working with states and territories</w:t>
            </w:r>
          </w:p>
          <w:p w14:paraId="180C27DF" w14:textId="22F6D8DF" w:rsidR="0048684E" w:rsidRPr="00835B16" w:rsidRDefault="0048684E" w:rsidP="009B7D41">
            <w:pPr>
              <w:pStyle w:val="BodyText"/>
            </w:pPr>
            <w:r>
              <w:t>Develop strong</w:t>
            </w:r>
            <w:r w:rsidR="00BD0608">
              <w:t>er</w:t>
            </w:r>
            <w:r>
              <w:t xml:space="preserve"> working relationships with states and territories that extend beyond the funding rounds and create a strategic partnership </w:t>
            </w:r>
            <w:r w:rsidR="00295077">
              <w:t>that supports housing outcomes.</w:t>
            </w:r>
          </w:p>
        </w:tc>
        <w:tc>
          <w:tcPr>
            <w:tcW w:w="601" w:type="pct"/>
          </w:tcPr>
          <w:p w14:paraId="256246F1" w14:textId="2F883CDF" w:rsidR="00CC1A39" w:rsidRPr="00CC1A39" w:rsidRDefault="00CC1A39" w:rsidP="0079087C">
            <w:pPr>
              <w:pStyle w:val="BodyText"/>
              <w:spacing w:line="240" w:lineRule="exact"/>
            </w:pPr>
            <w:r>
              <w:t>Section 9.</w:t>
            </w:r>
            <w:r w:rsidR="00BC39CA">
              <w:t>2</w:t>
            </w:r>
          </w:p>
        </w:tc>
      </w:tr>
    </w:tbl>
    <w:p w14:paraId="282A8C75" w14:textId="3957BC5D" w:rsidR="005034A2" w:rsidRDefault="005034A2">
      <w:pPr>
        <w:spacing w:line="240" w:lineRule="auto"/>
      </w:pPr>
      <w:r>
        <w:br w:type="page"/>
      </w:r>
    </w:p>
    <w:p w14:paraId="020D6F21" w14:textId="7B5800B9" w:rsidR="00A30B42" w:rsidRDefault="008338D2" w:rsidP="00292747">
      <w:pPr>
        <w:pStyle w:val="Heading1"/>
      </w:pPr>
      <w:bookmarkStart w:id="12" w:name="_Toc238805475"/>
      <w:r>
        <w:lastRenderedPageBreak/>
        <w:t>Introduction</w:t>
      </w:r>
      <w:bookmarkEnd w:id="12"/>
    </w:p>
    <w:p w14:paraId="5DFA0CE0" w14:textId="1D611F2B" w:rsidR="009B0708" w:rsidRDefault="009B0708" w:rsidP="00511CAB">
      <w:pPr>
        <w:pStyle w:val="BodyText"/>
        <w:rPr>
          <w:kern w:val="2"/>
          <w:lang w:eastAsia="en-AU"/>
          <w14:ligatures w14:val="standardContextual"/>
        </w:rPr>
      </w:pPr>
      <w:r>
        <w:t xml:space="preserve">Housing Australia plays a central role in the Australian Government’s housing agenda. Since </w:t>
      </w:r>
      <w:r w:rsidR="00E54C5E">
        <w:t>the</w:t>
      </w:r>
      <w:r>
        <w:t xml:space="preserve"> establishment </w:t>
      </w:r>
      <w:r w:rsidR="00E54C5E">
        <w:t xml:space="preserve">of the NHFIC </w:t>
      </w:r>
      <w:r>
        <w:t xml:space="preserve">in 2018, </w:t>
      </w:r>
      <w:r w:rsidR="00E54C5E">
        <w:t>the organisation change</w:t>
      </w:r>
      <w:r w:rsidR="0029369B">
        <w:t xml:space="preserve">d </w:t>
      </w:r>
      <w:r w:rsidR="00E54C5E">
        <w:t xml:space="preserve">to Housing Australia with a significant </w:t>
      </w:r>
      <w:r>
        <w:t xml:space="preserve">mandate </w:t>
      </w:r>
      <w:r w:rsidR="00E54C5E">
        <w:t xml:space="preserve">expansion </w:t>
      </w:r>
      <w:r>
        <w:t>as housing affordability, social housing supply</w:t>
      </w:r>
      <w:r w:rsidR="006F1AC7">
        <w:t>,</w:t>
      </w:r>
      <w:r>
        <w:t xml:space="preserve"> and home ownership have become increasingly important national policy objectives.</w:t>
      </w:r>
    </w:p>
    <w:p w14:paraId="38C3C67A" w14:textId="771A7E80" w:rsidR="009B0708" w:rsidRDefault="009B0708" w:rsidP="00511CAB">
      <w:pPr>
        <w:pStyle w:val="BodyText"/>
        <w:rPr>
          <w:kern w:val="2"/>
          <w:lang w:eastAsia="en-AU"/>
          <w14:ligatures w14:val="standardContextual"/>
        </w:rPr>
      </w:pPr>
      <w:r>
        <w:t xml:space="preserve">The Treasury commissioned this rapid, independent and forward-looking </w:t>
      </w:r>
      <w:r w:rsidR="006F1AC7">
        <w:t>a</w:t>
      </w:r>
      <w:r>
        <w:t xml:space="preserve">ssessment in July 2026 to consider whether Housing Australia’s governance, organisational arrangements and ways of working are positioned to support current and future Government objectives. </w:t>
      </w:r>
      <w:r w:rsidR="006F1AC7">
        <w:t xml:space="preserve">It </w:t>
      </w:r>
      <w:r>
        <w:t>is a top-down assessment rather than a detailed review of Housing Australia.</w:t>
      </w:r>
    </w:p>
    <w:p w14:paraId="49A21900" w14:textId="641C80AF" w:rsidR="009B0708" w:rsidRPr="003E2A71" w:rsidRDefault="009B0708" w:rsidP="003C3EFD">
      <w:pPr>
        <w:pStyle w:val="BodyText"/>
      </w:pPr>
      <w:r>
        <w:t xml:space="preserve">Conducted over six weeks, </w:t>
      </w:r>
      <w:r w:rsidR="0030788A">
        <w:t>the Assessment</w:t>
      </w:r>
      <w:r>
        <w:t xml:space="preserve"> identified strengths, capability gaps</w:t>
      </w:r>
      <w:r w:rsidR="00A95936">
        <w:t>,</w:t>
      </w:r>
      <w:r>
        <w:t xml:space="preserve"> and practical opportunities to </w:t>
      </w:r>
      <w:r w:rsidRPr="006455C5">
        <w:t>improve Housing Australia’s performance and organisational effectiveness. It considered:</w:t>
      </w:r>
    </w:p>
    <w:p w14:paraId="6AA5F74E" w14:textId="77777777" w:rsidR="009B0708" w:rsidRPr="005D00A1" w:rsidRDefault="009B0708" w:rsidP="005D00A1">
      <w:pPr>
        <w:pStyle w:val="ListBullet1"/>
      </w:pPr>
      <w:r w:rsidRPr="005D00A1">
        <w:t>The evolution of delivery performance and organisational capability as Housing Australia’s responsibilities have expanded.</w:t>
      </w:r>
    </w:p>
    <w:p w14:paraId="7C0D5129" w14:textId="77777777" w:rsidR="009B0708" w:rsidRPr="005D00A1" w:rsidRDefault="009B0708" w:rsidP="005D00A1">
      <w:pPr>
        <w:pStyle w:val="ListBullet1"/>
      </w:pPr>
      <w:r w:rsidRPr="005D00A1">
        <w:t>Whether governance, leadership and delivery approaches support end-to-end program delivery and Government objectives.</w:t>
      </w:r>
    </w:p>
    <w:p w14:paraId="25EF8C54" w14:textId="6CCF5366" w:rsidR="009B0708" w:rsidRPr="005D00A1" w:rsidRDefault="009B0708" w:rsidP="005D00A1">
      <w:pPr>
        <w:pStyle w:val="ListBullet1"/>
      </w:pPr>
      <w:r w:rsidRPr="005D00A1">
        <w:t>Whether workforce planning and resourcing</w:t>
      </w:r>
      <w:r w:rsidR="00EE72CC" w:rsidRPr="005D00A1">
        <w:t xml:space="preserve"> can</w:t>
      </w:r>
      <w:r w:rsidRPr="005D00A1">
        <w:t xml:space="preserve"> support current and future delivery requirements.</w:t>
      </w:r>
    </w:p>
    <w:p w14:paraId="71E744DC" w14:textId="77777777" w:rsidR="009B0708" w:rsidRPr="005D00A1" w:rsidRDefault="009B0708" w:rsidP="005D00A1">
      <w:pPr>
        <w:pStyle w:val="ListBullet1"/>
      </w:pPr>
      <w:r w:rsidRPr="005D00A1">
        <w:t>The extent of organisational focus and accountability for delivery outcomes.</w:t>
      </w:r>
    </w:p>
    <w:p w14:paraId="50499DAA" w14:textId="77777777" w:rsidR="009B0708" w:rsidRPr="005D00A1" w:rsidRDefault="009B0708" w:rsidP="005D00A1">
      <w:pPr>
        <w:pStyle w:val="ListBullet1"/>
      </w:pPr>
      <w:r w:rsidRPr="005D00A1">
        <w:t>The clarity of roles and responsibilities across the organisation.</w:t>
      </w:r>
    </w:p>
    <w:p w14:paraId="33325268" w14:textId="77777777" w:rsidR="009B0708" w:rsidRPr="005D00A1" w:rsidRDefault="009B0708" w:rsidP="005D00A1">
      <w:pPr>
        <w:pStyle w:val="ListBullet1"/>
      </w:pPr>
      <w:r w:rsidRPr="005D00A1">
        <w:t>The effectiveness of stakeholder engagement and collaboration.</w:t>
      </w:r>
    </w:p>
    <w:p w14:paraId="2C903CD8" w14:textId="064565D9" w:rsidR="009B0708" w:rsidRPr="005D00A1" w:rsidRDefault="009B0708" w:rsidP="005D00A1">
      <w:pPr>
        <w:pStyle w:val="ListBullet1"/>
      </w:pPr>
      <w:r w:rsidRPr="005D00A1">
        <w:t>The effectiveness of performance visibility, risk management, tracking, forecasting</w:t>
      </w:r>
      <w:r w:rsidR="005142A5" w:rsidRPr="005D00A1">
        <w:t>,</w:t>
      </w:r>
      <w:r w:rsidRPr="005D00A1">
        <w:t xml:space="preserve"> and reporting.</w:t>
      </w:r>
    </w:p>
    <w:p w14:paraId="347AF4E0" w14:textId="3BAA1BE6" w:rsidR="009B0708" w:rsidRPr="005D00A1" w:rsidRDefault="009B0708" w:rsidP="005D00A1">
      <w:pPr>
        <w:pStyle w:val="ListBullet1"/>
      </w:pPr>
      <w:r w:rsidRPr="005D00A1">
        <w:t>Additional capability required to respond to emerging opportunities and external pressures</w:t>
      </w:r>
      <w:r w:rsidR="005E552B" w:rsidRPr="005D00A1">
        <w:t>, such as the recent conflict in the Middle East</w:t>
      </w:r>
      <w:r w:rsidRPr="005D00A1">
        <w:t>.</w:t>
      </w:r>
    </w:p>
    <w:p w14:paraId="3975918C" w14:textId="002484C7" w:rsidR="005E552B" w:rsidRDefault="00BA7E76" w:rsidP="00511CAB">
      <w:pPr>
        <w:pStyle w:val="BodyText"/>
      </w:pPr>
      <w:r>
        <w:t xml:space="preserve">The purpose and scope that has been guiding this assessment has been included in Appendix C. </w:t>
      </w:r>
    </w:p>
    <w:p w14:paraId="6C10F703" w14:textId="4F8A9125" w:rsidR="009B0708" w:rsidRDefault="0030788A" w:rsidP="00511CAB">
      <w:pPr>
        <w:pStyle w:val="BodyText"/>
        <w:rPr>
          <w:kern w:val="2"/>
          <w:lang w:eastAsia="en-AU"/>
          <w14:ligatures w14:val="standardContextual"/>
        </w:rPr>
      </w:pPr>
      <w:r>
        <w:t>The Assessment</w:t>
      </w:r>
      <w:r w:rsidR="009B0708">
        <w:t xml:space="preserve"> team reviewed a broad range of internal and external documentation, including strategic and operational materials, organisational performance reports, and papers, minutes and reports prepared for the Housing Australia Board, Audit and Risk Committee, Investment Committee, executives, the Treasury and other stakeholders. Details of documents reviewed and interviews completed are provided in </w:t>
      </w:r>
      <w:r w:rsidR="009B0708" w:rsidRPr="00FA4BA4">
        <w:t xml:space="preserve">Appendices A and </w:t>
      </w:r>
      <w:r w:rsidR="009B0708" w:rsidRPr="001030F5">
        <w:t>B</w:t>
      </w:r>
      <w:r w:rsidR="009B0708">
        <w:t>.</w:t>
      </w:r>
    </w:p>
    <w:p w14:paraId="5AABC28E" w14:textId="736F4B90" w:rsidR="00D746EB" w:rsidRDefault="00D746EB" w:rsidP="00511CAB">
      <w:pPr>
        <w:pStyle w:val="BodyText"/>
        <w:rPr>
          <w:kern w:val="2"/>
          <w:lang w:eastAsia="en-AU"/>
          <w14:ligatures w14:val="standardContextual"/>
        </w:rPr>
      </w:pPr>
      <w:r>
        <w:t xml:space="preserve">Housing Australia has responded to successive Government priorities by establishing new programs and </w:t>
      </w:r>
      <w:r w:rsidR="005142A5">
        <w:t>associated</w:t>
      </w:r>
      <w:r>
        <w:t xml:space="preserve"> operational and governance arrangements, often concurrently </w:t>
      </w:r>
      <w:r w:rsidR="00FD3A24">
        <w:t xml:space="preserve">with in-flight programs </w:t>
      </w:r>
      <w:r>
        <w:t xml:space="preserve">and under compressed timeframes. The findings </w:t>
      </w:r>
      <w:r w:rsidR="00831DF8">
        <w:t xml:space="preserve">of this </w:t>
      </w:r>
      <w:r w:rsidR="00272B08">
        <w:t>a</w:t>
      </w:r>
      <w:r w:rsidR="00831DF8">
        <w:t xml:space="preserve">ssessment </w:t>
      </w:r>
      <w:r>
        <w:t xml:space="preserve">should therefore be considered in the context of an organisation that has </w:t>
      </w:r>
      <w:r w:rsidR="00831DF8">
        <w:t xml:space="preserve">undergone </w:t>
      </w:r>
      <w:r>
        <w:t>substantial growth and change</w:t>
      </w:r>
      <w:r w:rsidR="006335B5">
        <w:t xml:space="preserve"> in the pursuit of delivering</w:t>
      </w:r>
      <w:r>
        <w:t xml:space="preserve"> housing outcomes at scale.</w:t>
      </w:r>
    </w:p>
    <w:p w14:paraId="61E10C6C" w14:textId="25A17373" w:rsidR="009B0708" w:rsidRDefault="0030788A" w:rsidP="00511CAB">
      <w:pPr>
        <w:pStyle w:val="BodyText"/>
      </w:pPr>
      <w:r>
        <w:t>The Assessment</w:t>
      </w:r>
      <w:r w:rsidR="009B0708">
        <w:t xml:space="preserve"> team thanks all interview participants and information providers for their timely and constructive engagement.</w:t>
      </w:r>
    </w:p>
    <w:p w14:paraId="32677E35" w14:textId="77777777" w:rsidR="00600C7D" w:rsidRDefault="00600C7D" w:rsidP="00ED2992">
      <w:pPr>
        <w:pStyle w:val="BodyText"/>
      </w:pPr>
    </w:p>
    <w:p w14:paraId="3DDB56B9" w14:textId="568B69EB" w:rsidR="004038BD" w:rsidRPr="004038BD" w:rsidRDefault="004038BD" w:rsidP="005D00A1">
      <w:pPr>
        <w:pStyle w:val="ListBullet1"/>
        <w:rPr>
          <w:lang w:eastAsia="en-AU"/>
        </w:rPr>
      </w:pPr>
      <w:r>
        <w:rPr>
          <w:lang w:eastAsia="en-AU"/>
        </w:rPr>
        <w:br w:type="page"/>
      </w:r>
    </w:p>
    <w:p w14:paraId="18E01A22" w14:textId="4285B182" w:rsidR="00633B50" w:rsidRDefault="00A914CE" w:rsidP="004038BD">
      <w:pPr>
        <w:pStyle w:val="Heading1"/>
      </w:pPr>
      <w:bookmarkStart w:id="13" w:name="_Ref237361979"/>
      <w:bookmarkStart w:id="14" w:name="_Toc238805476"/>
      <w:r>
        <w:lastRenderedPageBreak/>
        <w:t>Housing Australia’s evolving role</w:t>
      </w:r>
      <w:bookmarkEnd w:id="13"/>
      <w:bookmarkEnd w:id="14"/>
      <w:r>
        <w:t xml:space="preserve"> </w:t>
      </w:r>
    </w:p>
    <w:p w14:paraId="4A115925" w14:textId="56EAB690" w:rsidR="009566F4" w:rsidRDefault="009566F4" w:rsidP="009566F4">
      <w:pPr>
        <w:pStyle w:val="Subheading"/>
      </w:pPr>
      <w:r>
        <w:t>A brief history</w:t>
      </w:r>
    </w:p>
    <w:p w14:paraId="1695AAB3" w14:textId="0CBEB697" w:rsidR="009566F4" w:rsidRDefault="009566F4" w:rsidP="009566F4">
      <w:pPr>
        <w:pStyle w:val="BodyText"/>
      </w:pPr>
      <w:r>
        <w:t xml:space="preserve">Housing Australia was established in 2018 </w:t>
      </w:r>
      <w:r w:rsidRPr="00B50F89">
        <w:t xml:space="preserve">as </w:t>
      </w:r>
      <w:r>
        <w:t xml:space="preserve">the </w:t>
      </w:r>
      <w:r w:rsidRPr="00B50F89">
        <w:t xml:space="preserve">National Housing Finance and Investment Corporation (NHFIC) </w:t>
      </w:r>
      <w:r w:rsidR="00EE615A">
        <w:t>and was</w:t>
      </w:r>
      <w:r w:rsidRPr="00B50F89">
        <w:t xml:space="preserve"> renamed Housing Australia in October 202</w:t>
      </w:r>
      <w:r w:rsidR="004D5696">
        <w:t>3</w:t>
      </w:r>
      <w:r>
        <w:t xml:space="preserve">. Housing Australia </w:t>
      </w:r>
      <w:r w:rsidRPr="00B50F89">
        <w:t>support</w:t>
      </w:r>
      <w:r>
        <w:t xml:space="preserve">s the delivery of the </w:t>
      </w:r>
      <w:r w:rsidR="00223199">
        <w:t xml:space="preserve">Australian </w:t>
      </w:r>
      <w:r w:rsidR="00EE615A">
        <w:t xml:space="preserve">Government’s </w:t>
      </w:r>
      <w:r>
        <w:t xml:space="preserve">housing objectives and performs both financing and delivery-enabling functions across an increasingly diverse portfolio of programs. </w:t>
      </w:r>
    </w:p>
    <w:p w14:paraId="4AA73ECC" w14:textId="620FF55F" w:rsidR="00A43889" w:rsidRDefault="00ED3944" w:rsidP="009566F4">
      <w:pPr>
        <w:pStyle w:val="BodyText"/>
      </w:pPr>
      <w:r>
        <w:t xml:space="preserve">A </w:t>
      </w:r>
      <w:r w:rsidR="00857668">
        <w:t xml:space="preserve">marked shift in </w:t>
      </w:r>
      <w:r w:rsidR="009566F4">
        <w:t xml:space="preserve">Housing Australia’s role </w:t>
      </w:r>
      <w:r w:rsidR="00F46640">
        <w:t xml:space="preserve">in the national housing system </w:t>
      </w:r>
      <w:r w:rsidR="0012523C">
        <w:t>occurred in 2022</w:t>
      </w:r>
      <w:r w:rsidR="00D65882">
        <w:t xml:space="preserve">. In addition to its original financing responsibilities, the organisation </w:t>
      </w:r>
      <w:r w:rsidR="009566F4">
        <w:t>became responsible for the design</w:t>
      </w:r>
      <w:r w:rsidR="00BF16F6">
        <w:t xml:space="preserve"> and</w:t>
      </w:r>
      <w:r w:rsidR="009566F4">
        <w:t xml:space="preserve"> operation of several new housing programs</w:t>
      </w:r>
      <w:r w:rsidR="00D578B7">
        <w:t xml:space="preserve"> including the HAFFF, NAHF</w:t>
      </w:r>
      <w:r w:rsidR="00BF16F6">
        <w:t xml:space="preserve"> and</w:t>
      </w:r>
      <w:r w:rsidR="00D578B7">
        <w:t xml:space="preserve"> Help to Buy scheme</w:t>
      </w:r>
      <w:r w:rsidR="004771F0">
        <w:t xml:space="preserve"> and </w:t>
      </w:r>
      <w:r w:rsidR="00BF16F6">
        <w:t xml:space="preserve">the </w:t>
      </w:r>
      <w:r w:rsidR="00575578">
        <w:t xml:space="preserve">enhancement of the </w:t>
      </w:r>
      <w:r w:rsidR="004771F0">
        <w:t xml:space="preserve">5% Deposit </w:t>
      </w:r>
      <w:r w:rsidR="00BF16F6">
        <w:t>s</w:t>
      </w:r>
      <w:r w:rsidR="004771F0">
        <w:t>c</w:t>
      </w:r>
      <w:r w:rsidR="00BF16F6">
        <w:t>heme</w:t>
      </w:r>
      <w:r w:rsidR="00D578B7">
        <w:t>.</w:t>
      </w:r>
    </w:p>
    <w:p w14:paraId="43C92E5B" w14:textId="62B91DDA" w:rsidR="00A43889" w:rsidRDefault="00A43889" w:rsidP="009566F4">
      <w:pPr>
        <w:pStyle w:val="BodyText"/>
      </w:pPr>
      <w:r>
        <w:t>As one of the contributors to the Australian Government’s housing objectives, Housing Australia is responsible for coordinating efforts of the commonwealth, state and territory governments, local governments, private developers, financiers, builders and community housing providers through its programs. Governments establish policy, planning, regulatory, and funding frameworks, while private and community sector organisations finance, develop, deliver, and manage housing across the continuum of need.</w:t>
      </w:r>
      <w:r w:rsidR="00C22B34">
        <w:t xml:space="preserve"> </w:t>
      </w:r>
    </w:p>
    <w:p w14:paraId="06C248BB" w14:textId="1533D487" w:rsidR="009566F4" w:rsidRDefault="004664F1" w:rsidP="009566F4">
      <w:pPr>
        <w:pStyle w:val="BodyText"/>
      </w:pPr>
      <w:r>
        <w:t>While beginning to deliver these programs</w:t>
      </w:r>
      <w:r w:rsidR="00976949">
        <w:t xml:space="preserve">, Housing Australia </w:t>
      </w:r>
      <w:r>
        <w:t xml:space="preserve">concurrently </w:t>
      </w:r>
      <w:r w:rsidR="009566F4">
        <w:t>establish</w:t>
      </w:r>
      <w:r w:rsidR="00006511">
        <w:t>ed</w:t>
      </w:r>
      <w:r w:rsidR="00976949">
        <w:t xml:space="preserve"> </w:t>
      </w:r>
      <w:r w:rsidR="009566F4">
        <w:t xml:space="preserve">the resources, systems and processes required to </w:t>
      </w:r>
      <w:r w:rsidR="008E0F9A">
        <w:t xml:space="preserve">effectively </w:t>
      </w:r>
      <w:r w:rsidR="009566F4">
        <w:t>administer those programs. This change saw Housing Australia</w:t>
      </w:r>
      <w:r w:rsidR="004613B7">
        <w:t>’s role</w:t>
      </w:r>
      <w:r w:rsidR="009566F4">
        <w:t xml:space="preserve"> </w:t>
      </w:r>
      <w:proofErr w:type="gramStart"/>
      <w:r w:rsidR="009566F4">
        <w:t>e</w:t>
      </w:r>
      <w:r w:rsidR="009566F4" w:rsidRPr="00CE7416">
        <w:t>volv</w:t>
      </w:r>
      <w:r w:rsidR="009566F4">
        <w:t>e</w:t>
      </w:r>
      <w:proofErr w:type="gramEnd"/>
      <w:r w:rsidR="009566F4" w:rsidRPr="00CE7416">
        <w:t xml:space="preserve"> from a specialist</w:t>
      </w:r>
      <w:r w:rsidR="009566F4">
        <w:t>,</w:t>
      </w:r>
      <w:r w:rsidR="009566F4" w:rsidRPr="00CE7416">
        <w:t xml:space="preserve"> </w:t>
      </w:r>
      <w:r w:rsidR="009566F4">
        <w:t xml:space="preserve">small-scale </w:t>
      </w:r>
      <w:r w:rsidR="009566F4" w:rsidRPr="00CE7416">
        <w:t xml:space="preserve">financier and lender to a delivery-focused agency responsible for administering a </w:t>
      </w:r>
      <w:r w:rsidR="009566F4">
        <w:t xml:space="preserve">significant and </w:t>
      </w:r>
      <w:r w:rsidR="009566F4" w:rsidRPr="00CE7416">
        <w:t xml:space="preserve">growing portfolio of </w:t>
      </w:r>
      <w:r w:rsidR="009566F4">
        <w:t xml:space="preserve">nationally significant </w:t>
      </w:r>
      <w:r w:rsidR="009566F4" w:rsidRPr="00CE7416">
        <w:t>housing programs.</w:t>
      </w:r>
      <w:r w:rsidR="009566F4">
        <w:t xml:space="preserve"> A brief chronology of </w:t>
      </w:r>
      <w:r w:rsidR="002927BD">
        <w:t xml:space="preserve">Housing Australia’s </w:t>
      </w:r>
      <w:r w:rsidR="009566F4">
        <w:t xml:space="preserve">program expansion is provided </w:t>
      </w:r>
      <w:r w:rsidR="00706198">
        <w:t xml:space="preserve">in </w:t>
      </w:r>
      <w:r w:rsidR="00C24D39">
        <w:t>Figure</w:t>
      </w:r>
      <w:r w:rsidR="00C24D39" w:rsidRPr="009B7D41">
        <w:t xml:space="preserve"> </w:t>
      </w:r>
      <w:r w:rsidR="00A95AF5">
        <w:t>1</w:t>
      </w:r>
      <w:r w:rsidR="009566F4">
        <w:t>.</w:t>
      </w:r>
    </w:p>
    <w:p w14:paraId="666CEE25" w14:textId="59737DDD" w:rsidR="009566F4" w:rsidRDefault="009566F4" w:rsidP="009566F4">
      <w:pPr>
        <w:pStyle w:val="BodyText"/>
      </w:pPr>
      <w:r>
        <w:t>T</w:t>
      </w:r>
      <w:r w:rsidR="000960BB">
        <w:t xml:space="preserve">his evolution in role has required Housing Australia to adapt its </w:t>
      </w:r>
      <w:r w:rsidRPr="00C63ECA">
        <w:t>governance arrangements, operating model, workforce capability</w:t>
      </w:r>
      <w:r w:rsidR="006C6699">
        <w:t>,</w:t>
      </w:r>
      <w:r w:rsidRPr="00C63ECA">
        <w:t xml:space="preserve"> and delivery practices. While the organisation has demonstrated a strong ability to </w:t>
      </w:r>
      <w:r w:rsidR="00E01F12">
        <w:t>embrace</w:t>
      </w:r>
      <w:r w:rsidR="00E01F12" w:rsidRPr="00C63ECA">
        <w:t xml:space="preserve"> </w:t>
      </w:r>
      <w:r w:rsidRPr="00C63ECA">
        <w:t xml:space="preserve">new responsibilities, the pace of </w:t>
      </w:r>
      <w:r w:rsidR="004F5AE1">
        <w:t xml:space="preserve">change and </w:t>
      </w:r>
      <w:r w:rsidRPr="00C63ECA">
        <w:t>growth has created new challenges associated with program delivery, organisational capacity, stakeholder coordination and performance oversight</w:t>
      </w:r>
      <w:r>
        <w:t>.</w:t>
      </w:r>
      <w:r w:rsidRPr="007D3A3F">
        <w:rPr>
          <w:rStyle w:val="FootnoteReference"/>
        </w:rPr>
        <w:t xml:space="preserve"> </w:t>
      </w:r>
    </w:p>
    <w:p w14:paraId="18D55EBB" w14:textId="3BDB2458" w:rsidR="009566F4" w:rsidRDefault="009566F4" w:rsidP="009566F4">
      <w:pPr>
        <w:pStyle w:val="Subheading"/>
      </w:pPr>
      <w:r>
        <w:t xml:space="preserve">Housing Australia’s </w:t>
      </w:r>
      <w:r w:rsidR="009C38F2">
        <w:t>governing mandate</w:t>
      </w:r>
    </w:p>
    <w:p w14:paraId="02EB3168" w14:textId="47D1F642" w:rsidR="000B5650" w:rsidRDefault="00A96BD6" w:rsidP="000B5650">
      <w:pPr>
        <w:pStyle w:val="BodyText"/>
      </w:pPr>
      <w:r>
        <w:t xml:space="preserve">Established under the </w:t>
      </w:r>
      <w:r>
        <w:rPr>
          <w:i/>
          <w:iCs/>
        </w:rPr>
        <w:t xml:space="preserve">Housing Australia Act 2018 </w:t>
      </w:r>
      <w:r>
        <w:t xml:space="preserve">(Cth), </w:t>
      </w:r>
      <w:r w:rsidR="008A0E61">
        <w:t>Housing Australia occupies a unique position within the Australian housing ecosystem</w:t>
      </w:r>
      <w:r w:rsidR="00EC15C9">
        <w:t xml:space="preserve"> as a</w:t>
      </w:r>
      <w:r w:rsidR="001311F6">
        <w:t xml:space="preserve"> Corporate Commonwealth Entity (CCE) in the Treasury Portfolio.  It is one of several </w:t>
      </w:r>
      <w:r w:rsidR="00EA2256">
        <w:t xml:space="preserve">Specialist Direct Investment Vehicles </w:t>
      </w:r>
      <w:r w:rsidR="001311F6">
        <w:t xml:space="preserve">(SIVs) established by the Government. </w:t>
      </w:r>
    </w:p>
    <w:p w14:paraId="6D2BD82F" w14:textId="46ABE9ED" w:rsidR="0042327A" w:rsidRDefault="001311F6" w:rsidP="001311F6">
      <w:pPr>
        <w:pStyle w:val="BodyText"/>
      </w:pPr>
      <w:r>
        <w:t>Housing Australia operates under a joint ministerial accountability model, with the Minister for Finance and the Minister for Housing</w:t>
      </w:r>
      <w:r w:rsidDel="00E80699">
        <w:t xml:space="preserve"> </w:t>
      </w:r>
      <w:r>
        <w:t xml:space="preserve">providing </w:t>
      </w:r>
      <w:r w:rsidR="002A6120">
        <w:t>functional</w:t>
      </w:r>
      <w:r w:rsidR="004D15CE">
        <w:t xml:space="preserve"> </w:t>
      </w:r>
      <w:r>
        <w:t xml:space="preserve">oversight. </w:t>
      </w:r>
      <w:r w:rsidR="0042327A">
        <w:t>Under this model, the Minister for Housing is the responsible Minister for exercising portfolio oversight of Housing Australia, while the Minister for Finance has oversight over the SIV portfolio more b</w:t>
      </w:r>
      <w:r w:rsidR="00A51835">
        <w:t xml:space="preserve">roadly. </w:t>
      </w:r>
    </w:p>
    <w:p w14:paraId="71303754" w14:textId="27AE74B4" w:rsidR="001311F6" w:rsidRDefault="00A51835" w:rsidP="005A327E">
      <w:pPr>
        <w:pStyle w:val="BodyText"/>
      </w:pPr>
      <w:r>
        <w:t xml:space="preserve">Housing Australia’s legislative functions are set out in </w:t>
      </w:r>
      <w:r w:rsidR="001311F6">
        <w:t xml:space="preserve">the </w:t>
      </w:r>
      <w:r w:rsidR="001311F6">
        <w:rPr>
          <w:i/>
          <w:iCs/>
        </w:rPr>
        <w:t xml:space="preserve">Housing Australia Act 2018 </w:t>
      </w:r>
      <w:r w:rsidR="001311F6">
        <w:t xml:space="preserve">(Cth), the </w:t>
      </w:r>
      <w:r w:rsidR="001311F6" w:rsidRPr="0025715E">
        <w:rPr>
          <w:i/>
          <w:iCs/>
        </w:rPr>
        <w:t>Housing Australia Investment Mandate 2018</w:t>
      </w:r>
      <w:r w:rsidR="001311F6">
        <w:rPr>
          <w:i/>
          <w:iCs/>
        </w:rPr>
        <w:t xml:space="preserve"> </w:t>
      </w:r>
      <w:r w:rsidR="001311F6" w:rsidRPr="00D14306">
        <w:t>(</w:t>
      </w:r>
      <w:r w:rsidR="002D47FD">
        <w:t xml:space="preserve">the </w:t>
      </w:r>
      <w:r w:rsidR="001311F6" w:rsidRPr="00D14306">
        <w:t>Investment Mandate)</w:t>
      </w:r>
      <w:r w:rsidR="00A94B01">
        <w:t>,</w:t>
      </w:r>
      <w:r w:rsidR="000543D3">
        <w:t xml:space="preserve"> </w:t>
      </w:r>
      <w:r w:rsidR="00362C4A">
        <w:t xml:space="preserve">and the </w:t>
      </w:r>
      <w:r w:rsidR="00362C4A">
        <w:rPr>
          <w:i/>
          <w:iCs/>
        </w:rPr>
        <w:t xml:space="preserve">Help to Buy Act 2024 </w:t>
      </w:r>
      <w:r w:rsidR="00362C4A">
        <w:t xml:space="preserve">(Cth). </w:t>
      </w:r>
      <w:r w:rsidR="005A327E">
        <w:t xml:space="preserve">The Minister for Housing can provide guidance on how Housing Australia should operate through the </w:t>
      </w:r>
      <w:r w:rsidR="001311F6">
        <w:t xml:space="preserve">Statement of Expectations </w:t>
      </w:r>
      <w:r w:rsidR="002D47FD">
        <w:t xml:space="preserve">for Housing Australia </w:t>
      </w:r>
      <w:r w:rsidR="001311F6">
        <w:t>(SOE).</w:t>
      </w:r>
      <w:r w:rsidR="00DB1410" w:rsidRPr="00DB1410">
        <w:rPr>
          <w:rStyle w:val="FootnoteReference"/>
        </w:rPr>
        <w:t xml:space="preserve"> </w:t>
      </w:r>
      <w:r w:rsidR="00DB1410">
        <w:rPr>
          <w:rStyle w:val="FootnoteReference"/>
        </w:rPr>
        <w:footnoteReference w:id="2"/>
      </w:r>
      <w:r w:rsidR="001311F6">
        <w:t xml:space="preserve"> </w:t>
      </w:r>
      <w:r w:rsidR="00DE6846">
        <w:t xml:space="preserve">Additionally, </w:t>
      </w:r>
      <w:r w:rsidR="00C503CF" w:rsidRPr="00C503CF">
        <w:t xml:space="preserve">Housing Australia’s Board is the accountable authority in accordance with the </w:t>
      </w:r>
      <w:r w:rsidR="00C503CF" w:rsidRPr="00DE6846">
        <w:rPr>
          <w:i/>
          <w:iCs/>
        </w:rPr>
        <w:t>Public Governance, Performance and Accountability Act 2013</w:t>
      </w:r>
      <w:r w:rsidR="00C503CF" w:rsidRPr="00C503CF">
        <w:t xml:space="preserve"> </w:t>
      </w:r>
      <w:r w:rsidR="00DE6846">
        <w:t xml:space="preserve">(Cth), </w:t>
      </w:r>
      <w:r w:rsidR="00C503CF" w:rsidRPr="00C503CF">
        <w:t>providing strategic direction, governance oversight, risk management and administration of public resources.</w:t>
      </w:r>
    </w:p>
    <w:p w14:paraId="36B40A63" w14:textId="77777777" w:rsidR="001E39EC" w:rsidRDefault="00042424" w:rsidP="00551BC0">
      <w:pPr>
        <w:pStyle w:val="BodyText"/>
      </w:pPr>
      <w:r>
        <w:t xml:space="preserve">As a SIV, Housing Australia provides additional flexibility to Government to deliver its housing policy mandate, with greater latitude to make commercial decisions within the framework of the Investment Mandate as well as the capacity to deploy specialist housing sector expertise, through the Housing Australia Board and senior leadership group. </w:t>
      </w:r>
    </w:p>
    <w:p w14:paraId="342A9A0A" w14:textId="29084107" w:rsidR="00551BC0" w:rsidRDefault="00551BC0" w:rsidP="00551BC0">
      <w:pPr>
        <w:pStyle w:val="BodyText"/>
      </w:pPr>
      <w:r>
        <w:lastRenderedPageBreak/>
        <w:t>Th</w:t>
      </w:r>
      <w:r w:rsidR="00841F95">
        <w:t>e</w:t>
      </w:r>
      <w:r>
        <w:t xml:space="preserve"> </w:t>
      </w:r>
      <w:r w:rsidR="004900EC">
        <w:t>Minister’s</w:t>
      </w:r>
      <w:r>
        <w:t xml:space="preserve"> </w:t>
      </w:r>
      <w:r w:rsidR="00F04773">
        <w:t>SOE</w:t>
      </w:r>
      <w:r w:rsidR="000B5650">
        <w:t xml:space="preserve">, which was </w:t>
      </w:r>
      <w:r w:rsidR="004900EC">
        <w:t>updated in August 2025</w:t>
      </w:r>
      <w:r>
        <w:t xml:space="preserve">, clarifies </w:t>
      </w:r>
      <w:r w:rsidR="000B5650">
        <w:t xml:space="preserve">Housing Australia’s </w:t>
      </w:r>
      <w:r>
        <w:t xml:space="preserve">role </w:t>
      </w:r>
      <w:r w:rsidR="00841F95">
        <w:t xml:space="preserve">in </w:t>
      </w:r>
      <w:r>
        <w:t xml:space="preserve">delivering the Government’s housing agenda </w:t>
      </w:r>
      <w:r w:rsidR="00841F95">
        <w:t xml:space="preserve">and </w:t>
      </w:r>
      <w:r>
        <w:t>prioritis</w:t>
      </w:r>
      <w:r w:rsidR="00CE443B">
        <w:t>es</w:t>
      </w:r>
      <w:r>
        <w:t xml:space="preserve">: </w:t>
      </w:r>
    </w:p>
    <w:p w14:paraId="61643C2F" w14:textId="4B1BC93C" w:rsidR="00551BC0" w:rsidRDefault="00551BC0" w:rsidP="005D00A1">
      <w:pPr>
        <w:pStyle w:val="ListBullet1"/>
      </w:pPr>
      <w:r w:rsidRPr="00D561C4">
        <w:t>Program delivery</w:t>
      </w:r>
      <w:r w:rsidR="00A75C86">
        <w:t>,</w:t>
      </w:r>
      <w:r w:rsidR="00D561C4">
        <w:t xml:space="preserve"> by e</w:t>
      </w:r>
      <w:r w:rsidRPr="00D561C4">
        <w:t>nsuring</w:t>
      </w:r>
      <w:r>
        <w:t xml:space="preserve"> the delivery of programs is efficient, effective, timely and delivers against the Government’s key policy, legislative and financial priorities. </w:t>
      </w:r>
    </w:p>
    <w:p w14:paraId="5D65CD03" w14:textId="77777777" w:rsidR="00551BC0" w:rsidRDefault="00551BC0" w:rsidP="005D00A1">
      <w:pPr>
        <w:pStyle w:val="ListBullet1"/>
      </w:pPr>
      <w:r w:rsidRPr="00D561C4">
        <w:t>Program performance, including</w:t>
      </w:r>
      <w:r>
        <w:t xml:space="preserve"> timely and accurate data collection, analysis and reporting to key stakeholders.</w:t>
      </w:r>
    </w:p>
    <w:p w14:paraId="21A78F21" w14:textId="1B7428DB" w:rsidR="00551BC0" w:rsidRDefault="00551BC0" w:rsidP="005D00A1">
      <w:pPr>
        <w:pStyle w:val="ListBullet1"/>
      </w:pPr>
      <w:r>
        <w:t xml:space="preserve">Operations, including having appropriate organisational capability and governance to administer and deliver Housing Australia’s programs. </w:t>
      </w:r>
    </w:p>
    <w:p w14:paraId="63E6BED8" w14:textId="20160149" w:rsidR="00750DA0" w:rsidRDefault="00F152B5" w:rsidP="00133F24">
      <w:pPr>
        <w:pStyle w:val="BodyText"/>
      </w:pPr>
      <w:r w:rsidRPr="00DC3CCB">
        <w:t xml:space="preserve">This role is discussed further in </w:t>
      </w:r>
      <w:r w:rsidR="00750DA0" w:rsidRPr="00DC3CCB">
        <w:t xml:space="preserve">Section </w:t>
      </w:r>
      <w:r w:rsidR="00D73105" w:rsidRPr="00DC3CCB">
        <w:t>5.1</w:t>
      </w:r>
      <w:r w:rsidR="00750DA0" w:rsidRPr="00DC3CCB">
        <w:t>.</w:t>
      </w:r>
      <w:r w:rsidR="00750DA0">
        <w:t xml:space="preserve"> </w:t>
      </w:r>
    </w:p>
    <w:p w14:paraId="19304E73" w14:textId="1EAEE9FB" w:rsidR="00894739" w:rsidRDefault="00C24D39" w:rsidP="00511CAB">
      <w:pPr>
        <w:pStyle w:val="TableCharttitle"/>
      </w:pPr>
      <w:r w:rsidRPr="00511CAB">
        <w:lastRenderedPageBreak/>
        <w:t xml:space="preserve">Figure </w:t>
      </w:r>
      <w:r w:rsidR="00A95AF5" w:rsidRPr="00511CAB">
        <w:t>1</w:t>
      </w:r>
      <w:r w:rsidR="00894739" w:rsidRPr="00511CAB">
        <w:t xml:space="preserve">: </w:t>
      </w:r>
      <w:r w:rsidR="00894739" w:rsidRPr="00FD1F3E">
        <w:t>Chronology of Housing Australia’s key events and program expansion</w:t>
      </w:r>
      <w:r w:rsidR="007924B3" w:rsidRPr="00FD1F3E">
        <w:t>s</w:t>
      </w:r>
    </w:p>
    <w:p w14:paraId="61B4A235" w14:textId="46A13A75" w:rsidR="00DB02BC" w:rsidRPr="00DB02BC" w:rsidRDefault="00DB02BC" w:rsidP="00DB02BC">
      <w:pPr>
        <w:pStyle w:val="BodyText"/>
        <w:rPr>
          <w:highlight w:val="yellow"/>
        </w:rPr>
      </w:pPr>
      <w:r w:rsidRPr="00DB02BC">
        <w:rPr>
          <w:noProof/>
        </w:rPr>
        <w:drawing>
          <wp:inline distT="0" distB="0" distL="0" distR="0" wp14:anchorId="1F8A5014" wp14:editId="611D2999">
            <wp:extent cx="6490582" cy="8563970"/>
            <wp:effectExtent l="0" t="0" r="5715" b="0"/>
            <wp:docPr id="208837257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72570" name="Picture 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98486" cy="8574399"/>
                    </a:xfrm>
                    <a:prstGeom prst="rect">
                      <a:avLst/>
                    </a:prstGeom>
                    <a:noFill/>
                  </pic:spPr>
                </pic:pic>
              </a:graphicData>
            </a:graphic>
          </wp:inline>
        </w:drawing>
      </w:r>
    </w:p>
    <w:p w14:paraId="1E5B32F5" w14:textId="3ECF0E92" w:rsidR="007A3825" w:rsidRPr="00F73ACD" w:rsidRDefault="007A3825" w:rsidP="007A3825">
      <w:pPr>
        <w:pStyle w:val="Heading1"/>
      </w:pPr>
      <w:bookmarkStart w:id="15" w:name="_Toc238805477"/>
      <w:r w:rsidRPr="00F73ACD">
        <w:lastRenderedPageBreak/>
        <w:t>Homeowner program</w:t>
      </w:r>
      <w:r>
        <w:t>s</w:t>
      </w:r>
      <w:bookmarkEnd w:id="15"/>
    </w:p>
    <w:p w14:paraId="2BBE9275" w14:textId="31AC7B29" w:rsidR="007A3825" w:rsidRDefault="007A3825" w:rsidP="007A3825">
      <w:pPr>
        <w:pStyle w:val="Heading2"/>
      </w:pPr>
      <w:bookmarkStart w:id="16" w:name="_Toc238805478"/>
      <w:r w:rsidRPr="00520A38">
        <w:t>5% Deposit Scheme</w:t>
      </w:r>
      <w:bookmarkEnd w:id="16"/>
    </w:p>
    <w:p w14:paraId="490567D9" w14:textId="542103AB" w:rsidR="007A3825" w:rsidRDefault="007A3825" w:rsidP="007A3825">
      <w:pPr>
        <w:pStyle w:val="BodyText"/>
      </w:pPr>
      <w:r>
        <w:t xml:space="preserve">Housing Australia administers the 5% Deposit Scheme, formerly known as the Home Guarantee Scheme. The Scheme supports home ownership by enabling eligible Australians </w:t>
      </w:r>
      <w:r w:rsidRPr="00CC3F0A">
        <w:t xml:space="preserve">to purchase a home with a deposit of </w:t>
      </w:r>
      <w:r w:rsidR="00F61FA3">
        <w:t>five</w:t>
      </w:r>
      <w:r w:rsidRPr="00CC3F0A">
        <w:t xml:space="preserve"> per cent, or </w:t>
      </w:r>
      <w:r w:rsidR="00F61FA3">
        <w:t>two</w:t>
      </w:r>
      <w:r w:rsidRPr="00CC3F0A">
        <w:t xml:space="preserve"> per cent for eligible single parents and legal guardians, without paying Lenders Mortgage Insurance.</w:t>
      </w:r>
      <w:r>
        <w:t xml:space="preserve"> Housing Australia manages </w:t>
      </w:r>
      <w:r w:rsidR="0058455B">
        <w:t xml:space="preserve">the program’s </w:t>
      </w:r>
      <w:r>
        <w:t>participating lender</w:t>
      </w:r>
      <w:r w:rsidR="001556F7">
        <w:t xml:space="preserve"> panel</w:t>
      </w:r>
      <w:r>
        <w:t>, oversees compliance with Scheme rules, and monitors portfolio performance.</w:t>
      </w:r>
      <w:r w:rsidR="00FB7E62">
        <w:t xml:space="preserve"> Program applicants </w:t>
      </w:r>
      <w:r w:rsidR="00BD3AB5">
        <w:t>engage solely with participating lenders.</w:t>
      </w:r>
    </w:p>
    <w:p w14:paraId="6F6DC566" w14:textId="73CFD6DE" w:rsidR="007A3825" w:rsidRDefault="007A3825" w:rsidP="007A3825">
      <w:pPr>
        <w:pStyle w:val="BodyText"/>
      </w:pPr>
      <w:r>
        <w:t>T</w:t>
      </w:r>
      <w:r w:rsidRPr="004D5E6B">
        <w:t xml:space="preserve">he Scheme has expanded significantly </w:t>
      </w:r>
      <w:r>
        <w:t>s</w:t>
      </w:r>
      <w:r w:rsidRPr="004D5E6B">
        <w:t>ince introduction in 2020</w:t>
      </w:r>
      <w:r>
        <w:t xml:space="preserve"> </w:t>
      </w:r>
      <w:r w:rsidRPr="004D5E6B">
        <w:t xml:space="preserve">and now operates through a broad network of major banks, regional lenders and customer-owned institutions. </w:t>
      </w:r>
      <w:r>
        <w:t xml:space="preserve">In October 2025, the Government removed income caps and expanded </w:t>
      </w:r>
      <w:r w:rsidR="00B6784C">
        <w:t xml:space="preserve">scheme </w:t>
      </w:r>
      <w:r>
        <w:t xml:space="preserve">eligibility, increasing the number of participants. </w:t>
      </w:r>
    </w:p>
    <w:p w14:paraId="76C9D151" w14:textId="67863FC4" w:rsidR="00342644" w:rsidRDefault="00342644" w:rsidP="00342644">
      <w:pPr>
        <w:pStyle w:val="Subheading"/>
      </w:pPr>
      <w:r>
        <w:t>Capability</w:t>
      </w:r>
    </w:p>
    <w:p w14:paraId="613AC487" w14:textId="10828672" w:rsidR="007A3825" w:rsidRDefault="007A3825" w:rsidP="007A3825">
      <w:pPr>
        <w:pStyle w:val="BodyText"/>
      </w:pPr>
      <w:r w:rsidRPr="00FF2612">
        <w:t xml:space="preserve">Housing Australia has developed </w:t>
      </w:r>
      <w:r>
        <w:t>effective</w:t>
      </w:r>
      <w:r w:rsidRPr="00FF2612">
        <w:t xml:space="preserve"> operational processes</w:t>
      </w:r>
      <w:r>
        <w:t xml:space="preserve">, </w:t>
      </w:r>
      <w:r w:rsidRPr="00FF2612">
        <w:t>lender relationships</w:t>
      </w:r>
      <w:r w:rsidR="00DA43C5">
        <w:t>,</w:t>
      </w:r>
      <w:r w:rsidRPr="00FF2612">
        <w:t xml:space="preserve"> and governance arrangements</w:t>
      </w:r>
      <w:r w:rsidR="00342644">
        <w:t xml:space="preserve"> for this mature program</w:t>
      </w:r>
      <w:r w:rsidRPr="00FF2612">
        <w:t xml:space="preserve">, </w:t>
      </w:r>
      <w:r w:rsidR="00342644">
        <w:t xml:space="preserve">which </w:t>
      </w:r>
      <w:r w:rsidRPr="00FF2612">
        <w:t>enabl</w:t>
      </w:r>
      <w:r w:rsidR="00342644">
        <w:t>es</w:t>
      </w:r>
      <w:r w:rsidRPr="00FF2612">
        <w:t xml:space="preserve"> manage</w:t>
      </w:r>
      <w:r w:rsidR="009208DC">
        <w:t>ment of</w:t>
      </w:r>
      <w:r w:rsidRPr="00FF2612">
        <w:t xml:space="preserve"> transaction volumes while maintaining compliance and risk oversight.</w:t>
      </w:r>
      <w:r>
        <w:t xml:space="preserve"> Housing Australia has more recently expand</w:t>
      </w:r>
      <w:r w:rsidR="00FB7E62">
        <w:t>ed</w:t>
      </w:r>
      <w:r>
        <w:t xml:space="preserve"> the lender panel to include 48 lenders, representing 55+ brands</w:t>
      </w:r>
      <w:r w:rsidR="00FB7E62">
        <w:t xml:space="preserve">, </w:t>
      </w:r>
      <w:r>
        <w:t>improv</w:t>
      </w:r>
      <w:r w:rsidR="00FB7E62">
        <w:t>ing</w:t>
      </w:r>
      <w:r>
        <w:t xml:space="preserve"> access and choice for home buyers. </w:t>
      </w:r>
    </w:p>
    <w:p w14:paraId="26924D3B" w14:textId="19A885BB" w:rsidR="007A3825" w:rsidRDefault="007A3825" w:rsidP="007A3825">
      <w:pPr>
        <w:pStyle w:val="BodyText"/>
      </w:pPr>
      <w:r w:rsidRPr="00F91125">
        <w:t xml:space="preserve">The </w:t>
      </w:r>
      <w:r>
        <w:t>s</w:t>
      </w:r>
      <w:r w:rsidRPr="00F91125">
        <w:t>cheme</w:t>
      </w:r>
      <w:r>
        <w:t xml:space="preserve"> was found to be mature with effective governance, systems and processes in place, noting that continuous improvement</w:t>
      </w:r>
      <w:r w:rsidR="000E02B7">
        <w:t>s</w:t>
      </w:r>
      <w:r>
        <w:t xml:space="preserve"> should </w:t>
      </w:r>
      <w:r w:rsidR="000E02B7">
        <w:t>continue to</w:t>
      </w:r>
      <w:r>
        <w:t xml:space="preserve"> be pursued.</w:t>
      </w:r>
    </w:p>
    <w:p w14:paraId="55A99046" w14:textId="77777777" w:rsidR="007A3825" w:rsidRDefault="007A3825" w:rsidP="007A3825">
      <w:pPr>
        <w:pStyle w:val="Heading2"/>
      </w:pPr>
      <w:bookmarkStart w:id="17" w:name="_Toc238805479"/>
      <w:r>
        <w:t>Help to Buy</w:t>
      </w:r>
      <w:bookmarkEnd w:id="17"/>
      <w:r>
        <w:t xml:space="preserve"> </w:t>
      </w:r>
    </w:p>
    <w:p w14:paraId="65109DFA" w14:textId="0319842A" w:rsidR="007A3825" w:rsidRPr="00622C56" w:rsidRDefault="007A3825" w:rsidP="007A3825">
      <w:pPr>
        <w:pStyle w:val="BodyText"/>
      </w:pPr>
      <w:r>
        <w:t>The Help to Buy program commenced in December 2025 as Housing Australia’s first program with retail</w:t>
      </w:r>
      <w:r w:rsidR="00D93BB4">
        <w:t xml:space="preserve"> </w:t>
      </w:r>
      <w:r>
        <w:t xml:space="preserve">consumers. </w:t>
      </w:r>
      <w:r w:rsidR="005970CA">
        <w:t>This is</w:t>
      </w:r>
      <w:r w:rsidRPr="00622C56">
        <w:t xml:space="preserve"> a shared-equity home ownership program designed to help </w:t>
      </w:r>
      <w:r>
        <w:t xml:space="preserve">40,000 </w:t>
      </w:r>
      <w:r w:rsidRPr="00622C56">
        <w:t xml:space="preserve">low- and middle-income Australians </w:t>
      </w:r>
      <w:r>
        <w:t xml:space="preserve">to </w:t>
      </w:r>
      <w:r w:rsidRPr="00622C56">
        <w:t xml:space="preserve">purchase a home sooner by reducing the size of the deposit and mortgage required, with the Australian Government taking an equity stake in the </w:t>
      </w:r>
      <w:r w:rsidR="005970CA">
        <w:t xml:space="preserve">purchased </w:t>
      </w:r>
      <w:r w:rsidRPr="00622C56">
        <w:t>property</w:t>
      </w:r>
      <w:r>
        <w:t>.</w:t>
      </w:r>
    </w:p>
    <w:p w14:paraId="498963C6" w14:textId="7093066A" w:rsidR="007A3825" w:rsidRDefault="006A4E2B" w:rsidP="00864080">
      <w:pPr>
        <w:pStyle w:val="BodyText"/>
      </w:pPr>
      <w:r>
        <w:t xml:space="preserve">Noting that the program commenced in December 2025, figures </w:t>
      </w:r>
      <w:r w:rsidR="00A0733B">
        <w:t>outlined in Table 1</w:t>
      </w:r>
      <w:r w:rsidR="008C3692">
        <w:t xml:space="preserve"> are reflective of the program being operational for only </w:t>
      </w:r>
      <w:r w:rsidR="00D10702">
        <w:t>seven</w:t>
      </w:r>
      <w:r w:rsidR="008C3692">
        <w:t xml:space="preserve"> months of the 2025-</w:t>
      </w:r>
      <w:r w:rsidR="00DA6D75">
        <w:t>2</w:t>
      </w:r>
      <w:r w:rsidR="008C3692">
        <w:t xml:space="preserve">6 </w:t>
      </w:r>
      <w:r w:rsidR="00DA6D75">
        <w:t xml:space="preserve">financial year. </w:t>
      </w:r>
      <w:r w:rsidR="00864080">
        <w:t xml:space="preserve">These figures </w:t>
      </w:r>
      <w:r w:rsidR="00836433">
        <w:t xml:space="preserve">reflect </w:t>
      </w:r>
      <w:r w:rsidR="00B534B3">
        <w:t>Help to Buy being a</w:t>
      </w:r>
      <w:r w:rsidR="00836433">
        <w:t xml:space="preserve"> </w:t>
      </w:r>
      <w:r w:rsidR="00864080">
        <w:t>new program. P</w:t>
      </w:r>
      <w:r w:rsidR="006902CC" w:rsidRPr="009B7D41">
        <w:t xml:space="preserve">rogram </w:t>
      </w:r>
      <w:r w:rsidR="00864080">
        <w:t xml:space="preserve">participation </w:t>
      </w:r>
      <w:r w:rsidR="006902CC" w:rsidRPr="009B7D41">
        <w:t>is expected to increase</w:t>
      </w:r>
      <w:r w:rsidR="00CF6D4E" w:rsidRPr="009B7D41">
        <w:t>,</w:t>
      </w:r>
      <w:r w:rsidR="00607DC5" w:rsidRPr="009B7D41">
        <w:t xml:space="preserve"> and </w:t>
      </w:r>
      <w:r w:rsidR="00600D11" w:rsidRPr="00D866FB">
        <w:t>u</w:t>
      </w:r>
      <w:r w:rsidR="007A3825" w:rsidRPr="00D866FB">
        <w:t>nused</w:t>
      </w:r>
      <w:r w:rsidR="007A3825">
        <w:t xml:space="preserve"> places </w:t>
      </w:r>
      <w:r w:rsidR="00600D11">
        <w:t xml:space="preserve">can be </w:t>
      </w:r>
      <w:r w:rsidR="007A3825">
        <w:t>carried forward between years</w:t>
      </w:r>
      <w:r w:rsidR="001C02AF">
        <w:t>, reducing the significance of any shortfall during the establishment phase</w:t>
      </w:r>
      <w:r w:rsidR="007A3825">
        <w:t>.</w:t>
      </w:r>
    </w:p>
    <w:p w14:paraId="36C5889C" w14:textId="131C8455" w:rsidR="007A3825" w:rsidRPr="00E3079E" w:rsidRDefault="007A3825" w:rsidP="00BD29AF">
      <w:pPr>
        <w:pStyle w:val="TableCharttitle"/>
      </w:pPr>
      <w:r w:rsidRPr="009B7D41">
        <w:t xml:space="preserve">Table </w:t>
      </w:r>
      <w:r w:rsidR="00A0733B">
        <w:t>1</w:t>
      </w:r>
      <w:r>
        <w:t xml:space="preserve">: Help to Buy Performance for 7 months December 2025 to June 2026 </w:t>
      </w:r>
    </w:p>
    <w:tbl>
      <w:tblPr>
        <w:tblStyle w:val="KMTable"/>
        <w:tblW w:w="5000" w:type="pct"/>
        <w:tblLook w:val="04A0" w:firstRow="1" w:lastRow="0" w:firstColumn="1" w:lastColumn="0" w:noHBand="0" w:noVBand="1"/>
      </w:tblPr>
      <w:tblGrid>
        <w:gridCol w:w="3259"/>
        <w:gridCol w:w="3261"/>
        <w:gridCol w:w="3261"/>
      </w:tblGrid>
      <w:tr w:rsidR="00634AB7" w14:paraId="7D3B9986" w14:textId="77777777" w:rsidTr="0001652C">
        <w:trPr>
          <w:cnfStyle w:val="100000000000" w:firstRow="1" w:lastRow="0" w:firstColumn="0" w:lastColumn="0" w:oddVBand="0" w:evenVBand="0" w:oddHBand="0" w:evenHBand="0" w:firstRowFirstColumn="0" w:firstRowLastColumn="0" w:lastRowFirstColumn="0" w:lastRowLastColumn="0"/>
        </w:trPr>
        <w:tc>
          <w:tcPr>
            <w:tcW w:w="1666" w:type="pct"/>
            <w:shd w:val="clear" w:color="auto" w:fill="D9E5D2" w:themeFill="accent2" w:themeFillTint="33"/>
          </w:tcPr>
          <w:p w14:paraId="69C680C4" w14:textId="77777777" w:rsidR="00634AB7" w:rsidRDefault="00634AB7" w:rsidP="009B7D41">
            <w:pPr>
              <w:pStyle w:val="TableHeader"/>
            </w:pPr>
          </w:p>
        </w:tc>
        <w:tc>
          <w:tcPr>
            <w:tcW w:w="1667" w:type="pct"/>
            <w:shd w:val="clear" w:color="auto" w:fill="D9E5D2" w:themeFill="accent2" w:themeFillTint="33"/>
          </w:tcPr>
          <w:p w14:paraId="7F46E0D3" w14:textId="5D86EEFD" w:rsidR="00634AB7" w:rsidRDefault="00BF6370" w:rsidP="009B7D41">
            <w:pPr>
              <w:pStyle w:val="TableHeader"/>
              <w:jc w:val="right"/>
            </w:pPr>
            <w:r>
              <w:rPr>
                <w:color w:val="000000"/>
                <w:sz w:val="20"/>
                <w:szCs w:val="20"/>
              </w:rPr>
              <w:t>Actuals to 30 June</w:t>
            </w:r>
          </w:p>
        </w:tc>
        <w:tc>
          <w:tcPr>
            <w:tcW w:w="1667" w:type="pct"/>
            <w:shd w:val="clear" w:color="auto" w:fill="D9E5D2" w:themeFill="accent2" w:themeFillTint="33"/>
          </w:tcPr>
          <w:p w14:paraId="5D2C07FF" w14:textId="1C8B4D4F" w:rsidR="00634AB7" w:rsidRDefault="00BF6370" w:rsidP="009B7D41">
            <w:pPr>
              <w:pStyle w:val="TableHeader"/>
              <w:jc w:val="right"/>
            </w:pPr>
            <w:r>
              <w:rPr>
                <w:color w:val="000000"/>
                <w:sz w:val="20"/>
                <w:szCs w:val="20"/>
              </w:rPr>
              <w:t>Extrapolated for 12months</w:t>
            </w:r>
          </w:p>
        </w:tc>
      </w:tr>
      <w:tr w:rsidR="00634AB7" w14:paraId="49795393" w14:textId="77777777" w:rsidTr="009B7D41">
        <w:tc>
          <w:tcPr>
            <w:tcW w:w="1666" w:type="pct"/>
          </w:tcPr>
          <w:p w14:paraId="727DAC5A" w14:textId="175297C8" w:rsidR="00634AB7" w:rsidRDefault="00AD5841" w:rsidP="009B7D41">
            <w:pPr>
              <w:pStyle w:val="TableText"/>
            </w:pPr>
            <w:r>
              <w:rPr>
                <w:color w:val="000000"/>
                <w:sz w:val="20"/>
                <w:szCs w:val="20"/>
              </w:rPr>
              <w:t>Available places</w:t>
            </w:r>
          </w:p>
        </w:tc>
        <w:tc>
          <w:tcPr>
            <w:tcW w:w="1667" w:type="pct"/>
          </w:tcPr>
          <w:p w14:paraId="5A49F081" w14:textId="4CD19A16" w:rsidR="00634AB7" w:rsidRDefault="00BF6370" w:rsidP="009B7D41">
            <w:pPr>
              <w:pStyle w:val="TableText"/>
              <w:jc w:val="right"/>
            </w:pPr>
            <w:r>
              <w:rPr>
                <w:color w:val="000000"/>
                <w:sz w:val="20"/>
                <w:szCs w:val="20"/>
              </w:rPr>
              <w:t>10,000</w:t>
            </w:r>
          </w:p>
        </w:tc>
        <w:tc>
          <w:tcPr>
            <w:tcW w:w="1667" w:type="pct"/>
          </w:tcPr>
          <w:p w14:paraId="619C6FC9" w14:textId="20112146" w:rsidR="00634AB7" w:rsidRDefault="00BF6370" w:rsidP="009B7D41">
            <w:pPr>
              <w:pStyle w:val="TableText"/>
              <w:jc w:val="right"/>
            </w:pPr>
            <w:r>
              <w:rPr>
                <w:color w:val="000000"/>
                <w:sz w:val="20"/>
                <w:szCs w:val="20"/>
              </w:rPr>
              <w:t>10,000</w:t>
            </w:r>
          </w:p>
        </w:tc>
      </w:tr>
      <w:tr w:rsidR="00634AB7" w14:paraId="1E176851" w14:textId="77777777" w:rsidTr="009B7D41">
        <w:tc>
          <w:tcPr>
            <w:tcW w:w="1666" w:type="pct"/>
          </w:tcPr>
          <w:p w14:paraId="4E881B46" w14:textId="2E30961E" w:rsidR="00634AB7" w:rsidRDefault="00BF6370" w:rsidP="009B7D41">
            <w:pPr>
              <w:pStyle w:val="TableText"/>
            </w:pPr>
            <w:r>
              <w:rPr>
                <w:color w:val="000000"/>
                <w:sz w:val="20"/>
                <w:szCs w:val="20"/>
              </w:rPr>
              <w:t>A</w:t>
            </w:r>
            <w:r w:rsidR="00266A67">
              <w:rPr>
                <w:color w:val="000000"/>
                <w:sz w:val="20"/>
                <w:szCs w:val="20"/>
              </w:rPr>
              <w:t>ctive a</w:t>
            </w:r>
            <w:r>
              <w:rPr>
                <w:color w:val="000000"/>
                <w:sz w:val="20"/>
                <w:szCs w:val="20"/>
              </w:rPr>
              <w:t>pplications received</w:t>
            </w:r>
            <w:r w:rsidR="00266A67">
              <w:rPr>
                <w:color w:val="000000"/>
                <w:sz w:val="20"/>
                <w:szCs w:val="20"/>
              </w:rPr>
              <w:t>*</w:t>
            </w:r>
          </w:p>
        </w:tc>
        <w:tc>
          <w:tcPr>
            <w:tcW w:w="1667" w:type="pct"/>
          </w:tcPr>
          <w:p w14:paraId="568B2358" w14:textId="596BA256" w:rsidR="00634AB7" w:rsidRDefault="00BF6370" w:rsidP="009B7D41">
            <w:pPr>
              <w:pStyle w:val="TableText"/>
              <w:jc w:val="right"/>
            </w:pPr>
            <w:r>
              <w:rPr>
                <w:color w:val="000000"/>
                <w:sz w:val="20"/>
                <w:szCs w:val="20"/>
              </w:rPr>
              <w:t>7,261</w:t>
            </w:r>
          </w:p>
        </w:tc>
        <w:tc>
          <w:tcPr>
            <w:tcW w:w="1667" w:type="pct"/>
          </w:tcPr>
          <w:p w14:paraId="32D7DBC8" w14:textId="113F9450" w:rsidR="00634AB7" w:rsidRDefault="00BF6370" w:rsidP="009B7D41">
            <w:pPr>
              <w:pStyle w:val="TableText"/>
              <w:jc w:val="right"/>
            </w:pPr>
            <w:r>
              <w:rPr>
                <w:color w:val="000000"/>
                <w:sz w:val="20"/>
                <w:szCs w:val="20"/>
              </w:rPr>
              <w:t>12,447</w:t>
            </w:r>
          </w:p>
        </w:tc>
      </w:tr>
      <w:tr w:rsidR="00634AB7" w14:paraId="4C31A5F6" w14:textId="77777777" w:rsidTr="009B7D41">
        <w:tc>
          <w:tcPr>
            <w:tcW w:w="1666" w:type="pct"/>
          </w:tcPr>
          <w:p w14:paraId="0309AB0B" w14:textId="0FC609B5" w:rsidR="00634AB7" w:rsidRDefault="00BF6370" w:rsidP="009B7D41">
            <w:pPr>
              <w:pStyle w:val="TableText"/>
            </w:pPr>
            <w:r>
              <w:rPr>
                <w:color w:val="000000"/>
                <w:sz w:val="20"/>
                <w:szCs w:val="20"/>
              </w:rPr>
              <w:t>Applications approved</w:t>
            </w:r>
            <w:r w:rsidR="00266A67">
              <w:rPr>
                <w:color w:val="000000"/>
                <w:sz w:val="20"/>
                <w:szCs w:val="20"/>
              </w:rPr>
              <w:t>**</w:t>
            </w:r>
          </w:p>
        </w:tc>
        <w:tc>
          <w:tcPr>
            <w:tcW w:w="1667" w:type="pct"/>
          </w:tcPr>
          <w:p w14:paraId="24F380A4" w14:textId="04CA5F69" w:rsidR="00634AB7" w:rsidRDefault="00BF6370" w:rsidP="009B7D41">
            <w:pPr>
              <w:pStyle w:val="TableText"/>
              <w:jc w:val="right"/>
            </w:pPr>
            <w:r>
              <w:rPr>
                <w:color w:val="000000"/>
                <w:sz w:val="20"/>
                <w:szCs w:val="20"/>
              </w:rPr>
              <w:t>4,808</w:t>
            </w:r>
          </w:p>
        </w:tc>
        <w:tc>
          <w:tcPr>
            <w:tcW w:w="1667" w:type="pct"/>
          </w:tcPr>
          <w:p w14:paraId="2C9ADD89" w14:textId="62BAFF82" w:rsidR="00634AB7" w:rsidRDefault="00BF6370" w:rsidP="009B7D41">
            <w:pPr>
              <w:pStyle w:val="TableText"/>
              <w:jc w:val="right"/>
            </w:pPr>
            <w:r>
              <w:rPr>
                <w:color w:val="000000"/>
                <w:sz w:val="20"/>
                <w:szCs w:val="20"/>
              </w:rPr>
              <w:t>8,242</w:t>
            </w:r>
          </w:p>
        </w:tc>
      </w:tr>
      <w:tr w:rsidR="00634AB7" w14:paraId="77113354" w14:textId="77777777" w:rsidTr="009B7D41">
        <w:tc>
          <w:tcPr>
            <w:tcW w:w="1666" w:type="pct"/>
          </w:tcPr>
          <w:p w14:paraId="27B8BC5D" w14:textId="3AE8F931" w:rsidR="00634AB7" w:rsidRDefault="00BF6370" w:rsidP="009B7D41">
            <w:pPr>
              <w:pStyle w:val="TableText"/>
            </w:pPr>
            <w:r>
              <w:rPr>
                <w:color w:val="000000"/>
                <w:sz w:val="20"/>
                <w:szCs w:val="20"/>
              </w:rPr>
              <w:t>Settled</w:t>
            </w:r>
          </w:p>
        </w:tc>
        <w:tc>
          <w:tcPr>
            <w:tcW w:w="1667" w:type="pct"/>
          </w:tcPr>
          <w:p w14:paraId="751F0822" w14:textId="16AC93E9" w:rsidR="00634AB7" w:rsidRDefault="00BF6370" w:rsidP="009B7D41">
            <w:pPr>
              <w:pStyle w:val="TableText"/>
              <w:jc w:val="right"/>
            </w:pPr>
            <w:r>
              <w:rPr>
                <w:color w:val="000000"/>
                <w:sz w:val="20"/>
                <w:szCs w:val="20"/>
              </w:rPr>
              <w:t>3.636</w:t>
            </w:r>
          </w:p>
        </w:tc>
        <w:tc>
          <w:tcPr>
            <w:tcW w:w="1667" w:type="pct"/>
          </w:tcPr>
          <w:p w14:paraId="42880413" w14:textId="75B31394" w:rsidR="00634AB7" w:rsidRDefault="00BF6370" w:rsidP="009B7D41">
            <w:pPr>
              <w:pStyle w:val="TableText"/>
              <w:jc w:val="right"/>
            </w:pPr>
            <w:r>
              <w:rPr>
                <w:color w:val="000000"/>
                <w:sz w:val="20"/>
                <w:szCs w:val="20"/>
              </w:rPr>
              <w:t>6,233</w:t>
            </w:r>
          </w:p>
        </w:tc>
      </w:tr>
    </w:tbl>
    <w:p w14:paraId="4DA4B5F7" w14:textId="567A7422" w:rsidR="00266A67" w:rsidRDefault="00266A67" w:rsidP="00600D11">
      <w:pPr>
        <w:pStyle w:val="TableSource"/>
      </w:pPr>
      <w:r>
        <w:t>*Active applications received exclude applications that were cancelled, withdrawn or expired. When cancelled, withdrawn and expired</w:t>
      </w:r>
      <w:r w:rsidR="00463A9A">
        <w:t xml:space="preserve"> applications are included, Housing Australia received 9,203 applications. </w:t>
      </w:r>
    </w:p>
    <w:p w14:paraId="23714F47" w14:textId="30A539BC" w:rsidR="007A3825" w:rsidRPr="00BD3BEA" w:rsidRDefault="00266A67" w:rsidP="00600D11">
      <w:pPr>
        <w:pStyle w:val="TableSource"/>
      </w:pPr>
      <w:r>
        <w:t>*</w:t>
      </w:r>
      <w:r w:rsidR="007A3825" w:rsidRPr="00BD3BEA">
        <w:t>*Approved applications are dependent on Applicants finding homes</w:t>
      </w:r>
      <w:r w:rsidR="00FE1DFA">
        <w:t>. Once pre</w:t>
      </w:r>
      <w:r w:rsidR="00781D1B">
        <w:t xml:space="preserve">-approved by </w:t>
      </w:r>
      <w:r w:rsidR="00BA5428">
        <w:t>L</w:t>
      </w:r>
      <w:r w:rsidR="00781D1B">
        <w:t>enders, applications have 90</w:t>
      </w:r>
      <w:r w:rsidR="00BF6370">
        <w:t> </w:t>
      </w:r>
      <w:r w:rsidR="00781D1B">
        <w:t>days to find a home and sign a contract of sale</w:t>
      </w:r>
      <w:r w:rsidR="007A3825">
        <w:t>.</w:t>
      </w:r>
      <w:r w:rsidR="00DB1D26">
        <w:t xml:space="preserve"> Application then gets </w:t>
      </w:r>
      <w:r w:rsidR="00BA5428">
        <w:t xml:space="preserve">submitted to Housing Australia for final approval. </w:t>
      </w:r>
    </w:p>
    <w:p w14:paraId="15A6A8C9" w14:textId="77777777" w:rsidR="0044090C" w:rsidRDefault="0044090C" w:rsidP="00B719CE">
      <w:pPr>
        <w:pStyle w:val="Subheading"/>
      </w:pPr>
      <w:r>
        <w:br w:type="page"/>
      </w:r>
    </w:p>
    <w:p w14:paraId="67EE6703" w14:textId="2894AEC2" w:rsidR="00B719CE" w:rsidRDefault="00B719CE" w:rsidP="00B719CE">
      <w:pPr>
        <w:pStyle w:val="Subheading"/>
      </w:pPr>
      <w:r>
        <w:lastRenderedPageBreak/>
        <w:t>Capability</w:t>
      </w:r>
      <w:r w:rsidR="002C7BA3">
        <w:t xml:space="preserve"> </w:t>
      </w:r>
    </w:p>
    <w:p w14:paraId="4CFB137C" w14:textId="32C61944" w:rsidR="007A3825" w:rsidRDefault="007A3825" w:rsidP="007A3825">
      <w:pPr>
        <w:pStyle w:val="BodyText"/>
      </w:pPr>
      <w:r>
        <w:t xml:space="preserve">Since commencement, Housing Australia has rapidly established critical </w:t>
      </w:r>
      <w:r w:rsidR="00B719CE">
        <w:t xml:space="preserve">program </w:t>
      </w:r>
      <w:r>
        <w:t xml:space="preserve">governance and operational systems, processes, and capability to administer the scheme, including </w:t>
      </w:r>
      <w:r w:rsidRPr="004B3DC3">
        <w:t xml:space="preserve">sufficient capability and capacity to </w:t>
      </w:r>
      <w:r>
        <w:t>process</w:t>
      </w:r>
      <w:r w:rsidRPr="004B3DC3">
        <w:t xml:space="preserve"> applications as they are received.</w:t>
      </w:r>
      <w:r w:rsidRPr="004B3DC3" w:rsidDel="002A1A58">
        <w:t xml:space="preserve"> </w:t>
      </w:r>
      <w:r w:rsidR="002A1A58">
        <w:t>T</w:t>
      </w:r>
      <w:r w:rsidRPr="004B3DC3">
        <w:t xml:space="preserve">he </w:t>
      </w:r>
      <w:r w:rsidR="002C38F3">
        <w:t xml:space="preserve">panel of </w:t>
      </w:r>
      <w:r>
        <w:t xml:space="preserve">participating </w:t>
      </w:r>
      <w:r w:rsidRPr="004B3DC3">
        <w:t>lender</w:t>
      </w:r>
      <w:r w:rsidR="002C38F3">
        <w:t>s</w:t>
      </w:r>
      <w:r w:rsidRPr="004B3DC3">
        <w:t xml:space="preserve"> </w:t>
      </w:r>
      <w:r w:rsidR="002A1A58">
        <w:t xml:space="preserve">has been </w:t>
      </w:r>
      <w:r w:rsidR="0061319E">
        <w:t>established,</w:t>
      </w:r>
      <w:r w:rsidR="002A1A58">
        <w:t xml:space="preserve"> </w:t>
      </w:r>
      <w:r w:rsidR="002C38F3">
        <w:t xml:space="preserve">and </w:t>
      </w:r>
      <w:r w:rsidR="00BD784E">
        <w:t xml:space="preserve">expansion activities are ongoing </w:t>
      </w:r>
      <w:r w:rsidRPr="004B3DC3">
        <w:t xml:space="preserve">to </w:t>
      </w:r>
      <w:r>
        <w:t>improve</w:t>
      </w:r>
      <w:r w:rsidRPr="004B3DC3">
        <w:t xml:space="preserve"> accessibility and </w:t>
      </w:r>
      <w:r>
        <w:t>support</w:t>
      </w:r>
      <w:r w:rsidRPr="004B3DC3">
        <w:t xml:space="preserve"> future growth in </w:t>
      </w:r>
      <w:r>
        <w:t xml:space="preserve">program </w:t>
      </w:r>
      <w:r w:rsidRPr="004B3DC3">
        <w:t>participation.</w:t>
      </w:r>
      <w:r>
        <w:t xml:space="preserve"> </w:t>
      </w:r>
    </w:p>
    <w:p w14:paraId="57275AD4" w14:textId="2E00BC88" w:rsidR="007A3825" w:rsidRDefault="007A3825" w:rsidP="007A3825">
      <w:pPr>
        <w:pStyle w:val="BodyText"/>
      </w:pPr>
      <w:r>
        <w:t xml:space="preserve">In recognition that </w:t>
      </w:r>
      <w:r w:rsidRPr="008233B5">
        <w:t>shared equity arrangements</w:t>
      </w:r>
      <w:r>
        <w:t xml:space="preserve"> with homeowners</w:t>
      </w:r>
      <w:r w:rsidRPr="008233B5">
        <w:t xml:space="preserve"> </w:t>
      </w:r>
      <w:r>
        <w:t>may</w:t>
      </w:r>
      <w:r w:rsidRPr="008233B5">
        <w:t xml:space="preserve"> remain in place for many years, </w:t>
      </w:r>
      <w:r>
        <w:t xml:space="preserve">Housing Australia has </w:t>
      </w:r>
      <w:r w:rsidRPr="008233B5">
        <w:t xml:space="preserve">commenced </w:t>
      </w:r>
      <w:r>
        <w:t>planning for future scenarios</w:t>
      </w:r>
      <w:r w:rsidRPr="008233B5">
        <w:t xml:space="preserve"> such as</w:t>
      </w:r>
      <w:r>
        <w:t xml:space="preserve"> management of</w:t>
      </w:r>
      <w:r w:rsidRPr="008233B5">
        <w:t xml:space="preserve"> relationship breakdowns and early equity buy-outs. </w:t>
      </w:r>
      <w:r>
        <w:t xml:space="preserve">This work includes developing </w:t>
      </w:r>
      <w:r w:rsidR="001D6BBB">
        <w:t xml:space="preserve">interim </w:t>
      </w:r>
      <w:r w:rsidR="00804C19">
        <w:t xml:space="preserve">and long-term </w:t>
      </w:r>
      <w:r>
        <w:t>policies, procedures, and operational processes to support consistent and efficient management of these matters. Forward workforce planning is also underway to support program maturity and expected increases in application volumes.</w:t>
      </w:r>
    </w:p>
    <w:p w14:paraId="7CD26FA7" w14:textId="4BF22E61" w:rsidR="002023BD" w:rsidRPr="00574B70" w:rsidRDefault="002023BD" w:rsidP="007A3825">
      <w:pPr>
        <w:pStyle w:val="BodyText"/>
      </w:pPr>
      <w:r>
        <w:t xml:space="preserve">Housing Australia will need to increase its capacity and capability to manage the in-life arrangements under a shared equity scheme (and have plans to do so). This will include skills that enable it to engage with complex customers, manage assets (new and old) </w:t>
      </w:r>
      <w:r w:rsidR="00811434">
        <w:t>and</w:t>
      </w:r>
      <w:r>
        <w:t xml:space="preserve"> balance financial risk for participants and the Commonwealth. </w:t>
      </w:r>
    </w:p>
    <w:p w14:paraId="26827141" w14:textId="3D151114" w:rsidR="0044090C" w:rsidRDefault="007A3825" w:rsidP="007A3825">
      <w:pPr>
        <w:pStyle w:val="BodyText"/>
      </w:pPr>
      <w:r w:rsidRPr="007A3825">
        <w:t xml:space="preserve">Housing Australia has established the core capability required to administer the scheme and is taking </w:t>
      </w:r>
      <w:r w:rsidR="00C80F45">
        <w:t xml:space="preserve">a </w:t>
      </w:r>
      <w:r w:rsidRPr="007A3825">
        <w:t xml:space="preserve">proactive approach to </w:t>
      </w:r>
      <w:r w:rsidR="0002395D" w:rsidRPr="007A3825">
        <w:t xml:space="preserve">planning </w:t>
      </w:r>
      <w:r w:rsidR="00F76315">
        <w:t xml:space="preserve">for </w:t>
      </w:r>
      <w:r w:rsidRPr="007A3825">
        <w:t>future</w:t>
      </w:r>
      <w:r w:rsidR="00FD7AB3">
        <w:t xml:space="preserve"> program demands</w:t>
      </w:r>
      <w:r w:rsidRPr="007A3825">
        <w:t xml:space="preserve">, risk management, and workforce readiness. </w:t>
      </w:r>
      <w:r w:rsidR="00431B51">
        <w:t>Assuming improvements continue as planned,</w:t>
      </w:r>
      <w:r w:rsidRPr="007A3825">
        <w:t xml:space="preserve"> the organisation w</w:t>
      </w:r>
      <w:r w:rsidR="00214F83">
        <w:t>ill be w</w:t>
      </w:r>
      <w:r w:rsidRPr="007A3825">
        <w:t xml:space="preserve">ell </w:t>
      </w:r>
      <w:r w:rsidR="00214F83">
        <w:t>positioned to support</w:t>
      </w:r>
      <w:r w:rsidRPr="007A3825">
        <w:t xml:space="preserve"> increasing participation and program evolution</w:t>
      </w:r>
      <w:r>
        <w:t>.</w:t>
      </w:r>
    </w:p>
    <w:p w14:paraId="2186339E" w14:textId="77777777" w:rsidR="000A6012" w:rsidRPr="007A3825" w:rsidRDefault="000A6012" w:rsidP="00511CAB">
      <w:pPr>
        <w:pStyle w:val="Heading1"/>
        <w:spacing w:before="240"/>
        <w:rPr>
          <w:color w:val="auto"/>
        </w:rPr>
      </w:pPr>
      <w:bookmarkStart w:id="18" w:name="_Toc238805480"/>
      <w:r w:rsidRPr="007A3825">
        <w:rPr>
          <w:color w:val="auto"/>
        </w:rPr>
        <w:t>More Homes programs</w:t>
      </w:r>
      <w:bookmarkEnd w:id="18"/>
      <w:r w:rsidRPr="007A3825">
        <w:rPr>
          <w:color w:val="auto"/>
        </w:rPr>
        <w:t xml:space="preserve"> </w:t>
      </w:r>
    </w:p>
    <w:p w14:paraId="3476F79C" w14:textId="77777777" w:rsidR="000A6012" w:rsidRDefault="000A6012" w:rsidP="000A6012">
      <w:pPr>
        <w:pStyle w:val="Heading2"/>
      </w:pPr>
      <w:bookmarkStart w:id="19" w:name="_Toc238805481"/>
      <w:r>
        <w:t>Social and affordable housing</w:t>
      </w:r>
      <w:bookmarkEnd w:id="19"/>
      <w:r>
        <w:t xml:space="preserve"> </w:t>
      </w:r>
    </w:p>
    <w:p w14:paraId="5305F2E3" w14:textId="4501374E" w:rsidR="000A6012" w:rsidRPr="0034068B" w:rsidDel="0039282F" w:rsidRDefault="000A6012" w:rsidP="00FC1847">
      <w:pPr>
        <w:pStyle w:val="BodyText"/>
      </w:pPr>
      <w:bookmarkStart w:id="20" w:name="_Toc237515311"/>
      <w:r>
        <w:t>Housing Australia has been tasked to deliver 20,000 social and 20,000 affordable dwellings by 30 June 2029 through the HAFF</w:t>
      </w:r>
      <w:r w:rsidR="005C3277">
        <w:t>F</w:t>
      </w:r>
      <w:r w:rsidR="00E23CF3">
        <w:t xml:space="preserve"> and NHAF</w:t>
      </w:r>
      <w:r>
        <w:t xml:space="preserve">, </w:t>
      </w:r>
      <w:r w:rsidR="000E261A">
        <w:t xml:space="preserve">collectively </w:t>
      </w:r>
      <w:r>
        <w:t xml:space="preserve">referred to in Housing Australia </w:t>
      </w:r>
      <w:r w:rsidR="00DC3662">
        <w:t xml:space="preserve">along with AHBA </w:t>
      </w:r>
      <w:r>
        <w:t xml:space="preserve">as “More Homes”. </w:t>
      </w:r>
      <w:r w:rsidR="00191D8E">
        <w:t>Demand for social and affordable housing continues to exceed available supply, with more than 200,000 households on social housing wait lists nationally in June 2025</w:t>
      </w:r>
      <w:r w:rsidR="0013026D">
        <w:t>.</w:t>
      </w:r>
      <w:r w:rsidR="0013026D">
        <w:rPr>
          <w:rStyle w:val="FootnoteReference"/>
        </w:rPr>
        <w:footnoteReference w:id="3"/>
      </w:r>
      <w:r w:rsidR="00191D8E">
        <w:t xml:space="preserve"> Despite this demand, many social and affordable housing projects are not commercially viable under normal market conditions</w:t>
      </w:r>
      <w:r w:rsidR="0021545B">
        <w:t xml:space="preserve"> and as such</w:t>
      </w:r>
      <w:r w:rsidR="006708DF">
        <w:t>,</w:t>
      </w:r>
      <w:r w:rsidR="00191D8E">
        <w:t xml:space="preserve"> requir</w:t>
      </w:r>
      <w:r w:rsidR="006708DF">
        <w:t>e</w:t>
      </w:r>
      <w:r w:rsidR="00191D8E">
        <w:t xml:space="preserve"> support</w:t>
      </w:r>
      <w:r w:rsidR="006708DF">
        <w:t xml:space="preserve"> to be </w:t>
      </w:r>
      <w:r w:rsidR="000F6339">
        <w:t>feasible</w:t>
      </w:r>
      <w:r w:rsidR="00FC1847">
        <w:t xml:space="preserve">. </w:t>
      </w:r>
      <w:r>
        <w:t xml:space="preserve">Housing Australia seeks to </w:t>
      </w:r>
      <w:r w:rsidR="009C3755">
        <w:t xml:space="preserve">bridge </w:t>
      </w:r>
      <w:r>
        <w:t xml:space="preserve">this gap, by combining a range of funding products to support upfront capital costs and long-term operational </w:t>
      </w:r>
      <w:r w:rsidR="006E31EA">
        <w:t xml:space="preserve">costs </w:t>
      </w:r>
      <w:r>
        <w:t>of dwellings.</w:t>
      </w:r>
      <w:bookmarkStart w:id="21" w:name="_Toc237532560"/>
      <w:bookmarkStart w:id="22" w:name="_Toc237536592"/>
      <w:bookmarkEnd w:id="20"/>
      <w:bookmarkEnd w:id="21"/>
      <w:bookmarkEnd w:id="22"/>
    </w:p>
    <w:p w14:paraId="2643D8CA" w14:textId="77777777" w:rsidR="000A6012" w:rsidRDefault="000A6012" w:rsidP="000A6012">
      <w:pPr>
        <w:pStyle w:val="BodyText"/>
      </w:pPr>
      <w:r>
        <w:t>The funding products under the programs are:</w:t>
      </w:r>
    </w:p>
    <w:tbl>
      <w:tblPr>
        <w:tblStyle w:val="KMTable"/>
        <w:tblW w:w="0" w:type="auto"/>
        <w:tblBorders>
          <w:top w:val="single" w:sz="2" w:space="0" w:color="8EA189" w:themeColor="accent3"/>
          <w:bottom w:val="single" w:sz="2" w:space="0" w:color="8EA189" w:themeColor="accent3"/>
          <w:insideH w:val="single" w:sz="2" w:space="0" w:color="8EA189" w:themeColor="accent3"/>
        </w:tblBorders>
        <w:tblCellMar>
          <w:right w:w="28" w:type="dxa"/>
        </w:tblCellMar>
        <w:tblLook w:val="0480" w:firstRow="0" w:lastRow="0" w:firstColumn="1" w:lastColumn="0" w:noHBand="0" w:noVBand="1"/>
      </w:tblPr>
      <w:tblGrid>
        <w:gridCol w:w="1701"/>
        <w:gridCol w:w="7937"/>
      </w:tblGrid>
      <w:tr w:rsidR="00B410FE" w14:paraId="62D5E0A9" w14:textId="77777777" w:rsidTr="0001652C">
        <w:tc>
          <w:tcPr>
            <w:tcW w:w="1701" w:type="dxa"/>
            <w:shd w:val="clear" w:color="auto" w:fill="D9E5D2" w:themeFill="accent2" w:themeFillTint="33"/>
          </w:tcPr>
          <w:p w14:paraId="591C7E01" w14:textId="6122783C" w:rsidR="00B410FE" w:rsidRPr="00E52A67" w:rsidRDefault="00B410FE" w:rsidP="0084675A">
            <w:pPr>
              <w:pStyle w:val="TableText"/>
              <w:rPr>
                <w:b/>
              </w:rPr>
            </w:pPr>
            <w:bookmarkStart w:id="23" w:name="_Toc237536593"/>
            <w:bookmarkStart w:id="24" w:name="_Toc237536594"/>
            <w:bookmarkEnd w:id="23"/>
            <w:bookmarkEnd w:id="24"/>
            <w:r>
              <w:rPr>
                <w:b/>
                <w:bCs/>
              </w:rPr>
              <w:t>Concessional loans (HAFF/NHAF)</w:t>
            </w:r>
          </w:p>
        </w:tc>
        <w:tc>
          <w:tcPr>
            <w:tcW w:w="7937" w:type="dxa"/>
          </w:tcPr>
          <w:p w14:paraId="351ADE7B" w14:textId="7F4506A7" w:rsidR="00B410FE" w:rsidRDefault="00B410FE" w:rsidP="0084675A">
            <w:pPr>
              <w:pStyle w:val="TableText"/>
            </w:pPr>
            <w:r w:rsidRPr="00B53D8C">
              <w:t>long-term interest-free loans</w:t>
            </w:r>
            <w:r w:rsidR="00820F17">
              <w:t xml:space="preserve"> at project level</w:t>
            </w:r>
            <w:r w:rsidRPr="00B53D8C">
              <w:t>, typically provided for 25 years as subordinated secured loans with repayment at maturity, reducing project financing costs and improving feasibility</w:t>
            </w:r>
          </w:p>
        </w:tc>
      </w:tr>
      <w:tr w:rsidR="00B410FE" w14:paraId="64FF9EB4" w14:textId="77777777" w:rsidTr="0001652C">
        <w:tc>
          <w:tcPr>
            <w:tcW w:w="1701" w:type="dxa"/>
            <w:shd w:val="clear" w:color="auto" w:fill="D9E5D2" w:themeFill="accent2" w:themeFillTint="33"/>
          </w:tcPr>
          <w:p w14:paraId="42189447" w14:textId="026B866B" w:rsidR="00B410FE" w:rsidRPr="00E52A67" w:rsidRDefault="00B410FE" w:rsidP="0084675A">
            <w:pPr>
              <w:pStyle w:val="TableText"/>
              <w:rPr>
                <w:b/>
              </w:rPr>
            </w:pPr>
            <w:r w:rsidRPr="00B979F6">
              <w:rPr>
                <w:b/>
                <w:bCs/>
              </w:rPr>
              <w:t>Availability payments (HAFF/NHAF)</w:t>
            </w:r>
          </w:p>
        </w:tc>
        <w:tc>
          <w:tcPr>
            <w:tcW w:w="7937" w:type="dxa"/>
          </w:tcPr>
          <w:p w14:paraId="43FD3C50" w14:textId="424A3BE3" w:rsidR="00B410FE" w:rsidRDefault="00DC346A" w:rsidP="0084675A">
            <w:pPr>
              <w:pStyle w:val="TableText"/>
            </w:pPr>
            <w:r w:rsidRPr="00B979F6">
              <w:t>indexed</w:t>
            </w:r>
            <w:r>
              <w:rPr>
                <w:b/>
                <w:bCs/>
              </w:rPr>
              <w:t xml:space="preserve"> </w:t>
            </w:r>
            <w:r w:rsidRPr="00B979F6">
              <w:t xml:space="preserve">quarterly payments made for 25 years </w:t>
            </w:r>
            <w:r w:rsidR="00BC37A2">
              <w:t>per dwelling commencing when the dwelling becomes occupiable</w:t>
            </w:r>
            <w:r w:rsidRPr="00B979F6">
              <w:t xml:space="preserve">, designed to </w:t>
            </w:r>
            <w:r w:rsidR="00ED11E5">
              <w:t>support the cost of financing, developing, operating, and maintaining the dwelling</w:t>
            </w:r>
          </w:p>
        </w:tc>
      </w:tr>
      <w:tr w:rsidR="00B62223" w14:paraId="30A6AE31" w14:textId="77777777" w:rsidTr="0001652C">
        <w:tc>
          <w:tcPr>
            <w:tcW w:w="1701" w:type="dxa"/>
            <w:shd w:val="clear" w:color="auto" w:fill="D9E5D2" w:themeFill="accent2" w:themeFillTint="33"/>
          </w:tcPr>
          <w:p w14:paraId="2EDE8BB4" w14:textId="23170312" w:rsidR="00B62223" w:rsidRPr="00B979F6" w:rsidRDefault="00B62223" w:rsidP="0084675A">
            <w:pPr>
              <w:pStyle w:val="TableText"/>
              <w:rPr>
                <w:b/>
                <w:bCs/>
              </w:rPr>
            </w:pPr>
            <w:r w:rsidRPr="00E52A67">
              <w:rPr>
                <w:b/>
                <w:bCs/>
              </w:rPr>
              <w:t>Grants (HAFF/NHAF)</w:t>
            </w:r>
          </w:p>
        </w:tc>
        <w:tc>
          <w:tcPr>
            <w:tcW w:w="7937" w:type="dxa"/>
          </w:tcPr>
          <w:p w14:paraId="2AA25514" w14:textId="4F5D1F42" w:rsidR="00B62223" w:rsidRPr="00B979F6" w:rsidRDefault="00B62223" w:rsidP="0084675A">
            <w:pPr>
              <w:pStyle w:val="TableText"/>
            </w:pPr>
            <w:r>
              <w:t xml:space="preserve">an upfront non-repayable payment at the project level </w:t>
            </w:r>
          </w:p>
        </w:tc>
      </w:tr>
      <w:tr w:rsidR="00B62223" w14:paraId="662356C1" w14:textId="77777777" w:rsidTr="0001652C">
        <w:tc>
          <w:tcPr>
            <w:tcW w:w="1701" w:type="dxa"/>
            <w:shd w:val="clear" w:color="auto" w:fill="D9E5D2" w:themeFill="accent2" w:themeFillTint="33"/>
          </w:tcPr>
          <w:p w14:paraId="3D7850D5" w14:textId="47A1A336" w:rsidR="00B62223" w:rsidRPr="00E52A67" w:rsidRDefault="00B62223" w:rsidP="0084675A">
            <w:pPr>
              <w:pStyle w:val="TableText"/>
              <w:rPr>
                <w:b/>
              </w:rPr>
            </w:pPr>
            <w:r w:rsidRPr="00E52A67">
              <w:rPr>
                <w:b/>
                <w:bCs/>
              </w:rPr>
              <w:t>Senior debt (AHBA)</w:t>
            </w:r>
          </w:p>
        </w:tc>
        <w:tc>
          <w:tcPr>
            <w:tcW w:w="7937" w:type="dxa"/>
          </w:tcPr>
          <w:p w14:paraId="4BC1D55E" w14:textId="5316A8C3" w:rsidR="00B62223" w:rsidRDefault="00B62223" w:rsidP="0084675A">
            <w:pPr>
              <w:pStyle w:val="TableText"/>
            </w:pPr>
            <w:r w:rsidRPr="006362C0">
              <w:t xml:space="preserve">long-term loans enabling </w:t>
            </w:r>
            <w:r w:rsidR="00055399">
              <w:t xml:space="preserve">CHPs </w:t>
            </w:r>
            <w:r w:rsidRPr="006362C0">
              <w:t>to access lower-cost funding with reduced refinancing risk</w:t>
            </w:r>
            <w:r w:rsidR="00055399">
              <w:t xml:space="preserve"> and supported by a line of credit</w:t>
            </w:r>
          </w:p>
        </w:tc>
      </w:tr>
    </w:tbl>
    <w:p w14:paraId="41ECCEEE" w14:textId="370F9FF5" w:rsidR="00EC620E" w:rsidRDefault="00192CE5" w:rsidP="000A6012">
      <w:pPr>
        <w:pStyle w:val="BodyText"/>
      </w:pPr>
      <w:r>
        <w:t xml:space="preserve">Housing Australia delivers its agenda through </w:t>
      </w:r>
      <w:r w:rsidR="004B1E94">
        <w:t>third parties</w:t>
      </w:r>
      <w:r w:rsidR="00F452A6">
        <w:t xml:space="preserve"> including</w:t>
      </w:r>
      <w:r w:rsidR="00EC620E">
        <w:t xml:space="preserve"> CHPs, state and territory governments, First Nations housing organisations, Defence and veterans’ housing providers, and other delivery partners to </w:t>
      </w:r>
      <w:r w:rsidR="00073AE7">
        <w:t>increase social and affordable</w:t>
      </w:r>
      <w:r w:rsidR="00EC620E">
        <w:t xml:space="preserve"> housing supply. </w:t>
      </w:r>
      <w:r w:rsidR="00F452A6">
        <w:t xml:space="preserve">Those external </w:t>
      </w:r>
      <w:r w:rsidR="002E38BF">
        <w:t>parties’</w:t>
      </w:r>
      <w:r w:rsidR="00824EEF">
        <w:t xml:space="preserve"> </w:t>
      </w:r>
      <w:r w:rsidR="00F452A6">
        <w:t>partner</w:t>
      </w:r>
      <w:r w:rsidR="00ED0C4D">
        <w:t xml:space="preserve"> </w:t>
      </w:r>
      <w:r w:rsidR="00F452A6">
        <w:t>with the property development and construction market</w:t>
      </w:r>
      <w:r w:rsidR="007417A3">
        <w:t xml:space="preserve"> to </w:t>
      </w:r>
      <w:r w:rsidR="000912A8">
        <w:t>deliver additional social and affordable housing</w:t>
      </w:r>
      <w:r w:rsidR="002E38BF">
        <w:t>.</w:t>
      </w:r>
    </w:p>
    <w:p w14:paraId="1A7FBB40" w14:textId="77777777" w:rsidR="00FB3420" w:rsidRDefault="00FB3420" w:rsidP="000A6012">
      <w:pPr>
        <w:pStyle w:val="BodyText"/>
      </w:pPr>
    </w:p>
    <w:p w14:paraId="48DA162C" w14:textId="36731998" w:rsidR="00D02B59" w:rsidRDefault="000A6012" w:rsidP="000A6012">
      <w:pPr>
        <w:pStyle w:val="BodyText"/>
      </w:pPr>
      <w:r>
        <w:lastRenderedPageBreak/>
        <w:t>While Housing Australia is responsible for assessing</w:t>
      </w:r>
      <w:r w:rsidR="00D3388C">
        <w:t xml:space="preserve"> </w:t>
      </w:r>
      <w:r w:rsidR="000A6732">
        <w:t xml:space="preserve">program </w:t>
      </w:r>
      <w:r w:rsidR="00D3388C">
        <w:t>applications</w:t>
      </w:r>
      <w:r>
        <w:t>, approving</w:t>
      </w:r>
      <w:r w:rsidR="00D3388C">
        <w:t xml:space="preserve"> funding</w:t>
      </w:r>
      <w:r>
        <w:t xml:space="preserve">, </w:t>
      </w:r>
      <w:r w:rsidR="00D3388C">
        <w:t>entering into contracts</w:t>
      </w:r>
      <w:r>
        <w:t xml:space="preserve">, and </w:t>
      </w:r>
      <w:r w:rsidR="00D3388C">
        <w:t>providing finance</w:t>
      </w:r>
      <w:r>
        <w:t xml:space="preserve">, </w:t>
      </w:r>
      <w:r w:rsidR="00D3388C">
        <w:t xml:space="preserve">its role extends beyond these transactional </w:t>
      </w:r>
      <w:r w:rsidR="00DE2733">
        <w:t>activities. It is</w:t>
      </w:r>
      <w:r w:rsidDel="00DE2733">
        <w:t xml:space="preserve"> </w:t>
      </w:r>
      <w:r>
        <w:t xml:space="preserve">accountable for </w:t>
      </w:r>
      <w:r w:rsidR="0000184D">
        <w:t>supporting the achievement of the Government’s social and affordable housing objectives, ultimately measured by whether funded projects result in completed</w:t>
      </w:r>
      <w:r w:rsidR="0098691D">
        <w:t xml:space="preserve"> and occupied</w:t>
      </w:r>
      <w:r w:rsidR="0000184D">
        <w:t xml:space="preserve"> homes. </w:t>
      </w:r>
    </w:p>
    <w:p w14:paraId="4A1EA8C2" w14:textId="6C3D0EF2" w:rsidR="0044090C" w:rsidRDefault="000A6012" w:rsidP="00511CAB">
      <w:pPr>
        <w:pStyle w:val="BodyText"/>
      </w:pPr>
      <w:r>
        <w:t xml:space="preserve">This </w:t>
      </w:r>
      <w:r w:rsidR="0000184D">
        <w:t xml:space="preserve">means Housing Australia’s role </w:t>
      </w:r>
      <w:r w:rsidR="008C3C01">
        <w:t xml:space="preserve">in this program </w:t>
      </w:r>
      <w:r w:rsidR="00D54B95">
        <w:t>extends beyond</w:t>
      </w:r>
      <w:r w:rsidR="0000184D">
        <w:t xml:space="preserve"> funding approv</w:t>
      </w:r>
      <w:r w:rsidR="00D54B95">
        <w:t>al</w:t>
      </w:r>
      <w:r w:rsidR="0000184D">
        <w:t xml:space="preserve">. Achieving housing outcomes </w:t>
      </w:r>
      <w:r>
        <w:t xml:space="preserve">requires </w:t>
      </w:r>
      <w:r w:rsidR="0000184D">
        <w:t xml:space="preserve">effective program </w:t>
      </w:r>
      <w:r w:rsidR="00651AC9">
        <w:t>design</w:t>
      </w:r>
      <w:r w:rsidR="0000184D">
        <w:t xml:space="preserve">, </w:t>
      </w:r>
      <w:r w:rsidR="0000184D" w:rsidDel="008C3C01">
        <w:t>well</w:t>
      </w:r>
      <w:r w:rsidR="008C3C01">
        <w:t>-structured</w:t>
      </w:r>
      <w:r w:rsidR="00651AC9">
        <w:t xml:space="preserve"> </w:t>
      </w:r>
      <w:r w:rsidR="00C67044">
        <w:t>fundi</w:t>
      </w:r>
      <w:r w:rsidR="00B94A59">
        <w:t xml:space="preserve">ng </w:t>
      </w:r>
      <w:r w:rsidR="00F8657C">
        <w:t>rounds</w:t>
      </w:r>
      <w:r w:rsidR="00BD091C">
        <w:t>,</w:t>
      </w:r>
      <w:r w:rsidR="00F8657C">
        <w:t xml:space="preserve"> and </w:t>
      </w:r>
      <w:r>
        <w:t xml:space="preserve">oversight of </w:t>
      </w:r>
      <w:r w:rsidR="00BD091C">
        <w:t xml:space="preserve">funded </w:t>
      </w:r>
      <w:r>
        <w:t>projects</w:t>
      </w:r>
      <w:r w:rsidR="00BD091C">
        <w:t xml:space="preserve">. Housing Australia must monitor </w:t>
      </w:r>
      <w:r>
        <w:t xml:space="preserve">delivery progress, identifying and reporting on emerging risks, </w:t>
      </w:r>
      <w:r w:rsidR="003006C9">
        <w:t>intervene</w:t>
      </w:r>
      <w:r w:rsidR="00955173">
        <w:t xml:space="preserve"> where </w:t>
      </w:r>
      <w:r w:rsidR="001704B6">
        <w:t>possible</w:t>
      </w:r>
      <w:r w:rsidR="00707915">
        <w:t xml:space="preserve"> </w:t>
      </w:r>
      <w:r w:rsidR="003006C9">
        <w:t xml:space="preserve">to address barriers, </w:t>
      </w:r>
      <w:r>
        <w:t>and provid</w:t>
      </w:r>
      <w:r w:rsidR="003006C9">
        <w:t xml:space="preserve">e </w:t>
      </w:r>
      <w:r>
        <w:t xml:space="preserve">transparent reporting on project outcomes. </w:t>
      </w:r>
    </w:p>
    <w:p w14:paraId="0EC848E4" w14:textId="5A85CA18" w:rsidR="000A6012" w:rsidRDefault="000A6012" w:rsidP="000A6012">
      <w:pPr>
        <w:pStyle w:val="Heading2"/>
      </w:pPr>
      <w:bookmarkStart w:id="25" w:name="_Toc238805482"/>
      <w:r>
        <w:t>HAFF</w:t>
      </w:r>
      <w:r w:rsidR="00A05BC5">
        <w:t>F</w:t>
      </w:r>
      <w:r>
        <w:t xml:space="preserve"> and NHAF programs</w:t>
      </w:r>
      <w:bookmarkEnd w:id="25"/>
    </w:p>
    <w:p w14:paraId="34A10901" w14:textId="5A165AB3" w:rsidR="000A6012" w:rsidRDefault="000A6012" w:rsidP="000A6012">
      <w:pPr>
        <w:pStyle w:val="BodyText"/>
      </w:pPr>
      <w:r w:rsidRPr="006D162F">
        <w:t xml:space="preserve">Housing Australia has structured </w:t>
      </w:r>
      <w:r>
        <w:t>delivery of the HAFF</w:t>
      </w:r>
      <w:r w:rsidR="00410E5C">
        <w:t>F</w:t>
      </w:r>
      <w:r>
        <w:t xml:space="preserve"> and NHAF</w:t>
      </w:r>
      <w:r w:rsidR="006D5D88">
        <w:t xml:space="preserve"> </w:t>
      </w:r>
      <w:r>
        <w:t>programs through three funding rounds.</w:t>
      </w:r>
      <w:r w:rsidR="006D5D88">
        <w:rPr>
          <w:rStyle w:val="FootnoteReference"/>
        </w:rPr>
        <w:footnoteReference w:id="4"/>
      </w:r>
      <w:r w:rsidR="006D5D88">
        <w:t xml:space="preserve"> </w:t>
      </w:r>
      <w:r w:rsidR="006B3111">
        <w:t xml:space="preserve"> </w:t>
      </w:r>
    </w:p>
    <w:p w14:paraId="20E32B5B" w14:textId="1B29D360" w:rsidR="000A6012" w:rsidRDefault="000A6012" w:rsidP="000A6012">
      <w:pPr>
        <w:pStyle w:val="BodyText"/>
      </w:pPr>
      <w:r w:rsidRPr="000642EE">
        <w:t>Funding Round 1 (FR01) opened in January 2024 and targeted CHP</w:t>
      </w:r>
      <w:r w:rsidR="00D81F1B">
        <w:t xml:space="preserve"> participants</w:t>
      </w:r>
      <w:r w:rsidRPr="000642EE">
        <w:t xml:space="preserve">. Funding Round 2 (FR02) followed in December 2024 and targeted </w:t>
      </w:r>
      <w:r w:rsidR="00C7184A">
        <w:t>s</w:t>
      </w:r>
      <w:r w:rsidRPr="000642EE">
        <w:t xml:space="preserve">tate and </w:t>
      </w:r>
      <w:r w:rsidR="00C7184A">
        <w:t>t</w:t>
      </w:r>
      <w:r w:rsidRPr="000642EE">
        <w:t>erritory government</w:t>
      </w:r>
      <w:r w:rsidR="00D81F1B">
        <w:t xml:space="preserve"> participation</w:t>
      </w:r>
      <w:r w:rsidRPr="000642EE">
        <w:t xml:space="preserve">. Funding Round 3 (FR03) commenced in January 2026 and is the largest of the funding rounds. FR03 has been designed to increase the </w:t>
      </w:r>
      <w:r w:rsidR="00CD556B">
        <w:t xml:space="preserve">number </w:t>
      </w:r>
      <w:r w:rsidRPr="000642EE">
        <w:t xml:space="preserve">of dwellings </w:t>
      </w:r>
      <w:r w:rsidR="00CD556B">
        <w:t xml:space="preserve">delivered </w:t>
      </w:r>
      <w:r w:rsidRPr="000642EE">
        <w:t xml:space="preserve">per project and </w:t>
      </w:r>
      <w:r w:rsidR="00702561">
        <w:t xml:space="preserve">is being </w:t>
      </w:r>
      <w:r w:rsidR="004C67DA">
        <w:t>managed</w:t>
      </w:r>
      <w:r w:rsidR="00702561">
        <w:t xml:space="preserve"> </w:t>
      </w:r>
      <w:r w:rsidR="004C67DA">
        <w:t>through</w:t>
      </w:r>
      <w:r w:rsidRPr="000642EE">
        <w:t xml:space="preserve"> four streams:</w:t>
      </w:r>
    </w:p>
    <w:tbl>
      <w:tblPr>
        <w:tblStyle w:val="KMTable"/>
        <w:tblW w:w="0" w:type="auto"/>
        <w:tblBorders>
          <w:top w:val="single" w:sz="2" w:space="0" w:color="8EA189" w:themeColor="accent3"/>
          <w:bottom w:val="single" w:sz="2" w:space="0" w:color="8EA189" w:themeColor="accent3"/>
          <w:insideH w:val="single" w:sz="2" w:space="0" w:color="8EA189" w:themeColor="accent3"/>
        </w:tblBorders>
        <w:tblLook w:val="0480" w:firstRow="0" w:lastRow="0" w:firstColumn="1" w:lastColumn="0" w:noHBand="0" w:noVBand="1"/>
      </w:tblPr>
      <w:tblGrid>
        <w:gridCol w:w="2835"/>
        <w:gridCol w:w="6803"/>
      </w:tblGrid>
      <w:tr w:rsidR="00E52A67" w14:paraId="6EF28745" w14:textId="77777777" w:rsidTr="001F6884">
        <w:tc>
          <w:tcPr>
            <w:tcW w:w="2835" w:type="dxa"/>
            <w:shd w:val="clear" w:color="auto" w:fill="D9E5D2" w:themeFill="accent2" w:themeFillTint="33"/>
          </w:tcPr>
          <w:p w14:paraId="08C141CB" w14:textId="3DF54166" w:rsidR="00E52A67" w:rsidRPr="00E52A67" w:rsidRDefault="00E52A67" w:rsidP="00E52A67">
            <w:pPr>
              <w:pStyle w:val="TableText"/>
              <w:rPr>
                <w:b/>
                <w:bCs/>
              </w:rPr>
            </w:pPr>
            <w:r w:rsidRPr="00E52A67">
              <w:rPr>
                <w:b/>
                <w:bCs/>
              </w:rPr>
              <w:t>Stream 1 - First Nations</w:t>
            </w:r>
          </w:p>
        </w:tc>
        <w:tc>
          <w:tcPr>
            <w:tcW w:w="6803" w:type="dxa"/>
          </w:tcPr>
          <w:p w14:paraId="7905CF66" w14:textId="3D750F5E" w:rsidR="00E52A67" w:rsidRDefault="00E52A67" w:rsidP="00512DF4">
            <w:pPr>
              <w:pStyle w:val="TableText"/>
            </w:pPr>
            <w:r>
              <w:t>supports more homes being owned by First Nations Housing Providers</w:t>
            </w:r>
            <w:r w:rsidR="00512DF4">
              <w:t xml:space="preserve"> and supports the housing needs of First Nations people</w:t>
            </w:r>
            <w:r>
              <w:t>, with $600 million in Availability Payments allocated to this Stream</w:t>
            </w:r>
          </w:p>
        </w:tc>
      </w:tr>
      <w:tr w:rsidR="00E52A67" w14:paraId="35C4FA59" w14:textId="77777777" w:rsidTr="001F6884">
        <w:tc>
          <w:tcPr>
            <w:tcW w:w="2835" w:type="dxa"/>
            <w:shd w:val="clear" w:color="auto" w:fill="D9E5D2" w:themeFill="accent2" w:themeFillTint="33"/>
          </w:tcPr>
          <w:p w14:paraId="693C4EC9" w14:textId="7F2A3D22" w:rsidR="00E52A67" w:rsidRPr="00E52A67" w:rsidRDefault="00E52A67" w:rsidP="00E52A67">
            <w:pPr>
              <w:pStyle w:val="TableText"/>
              <w:rPr>
                <w:b/>
                <w:bCs/>
              </w:rPr>
            </w:pPr>
            <w:r w:rsidRPr="00E52A67">
              <w:rPr>
                <w:b/>
                <w:bCs/>
              </w:rPr>
              <w:t>Stream 2 - Housing Diversity</w:t>
            </w:r>
          </w:p>
        </w:tc>
        <w:tc>
          <w:tcPr>
            <w:tcW w:w="6803" w:type="dxa"/>
          </w:tcPr>
          <w:p w14:paraId="49A76470" w14:textId="23A3564A" w:rsidR="00E52A67" w:rsidRDefault="00E52A67" w:rsidP="00512DF4">
            <w:pPr>
              <w:pStyle w:val="TableText"/>
            </w:pPr>
            <w:r>
              <w:t>supports housing outcomes across a range of locations and cohorts, across an equal mix of social and affordable homes</w:t>
            </w:r>
          </w:p>
        </w:tc>
      </w:tr>
      <w:tr w:rsidR="00E52A67" w14:paraId="71187E93" w14:textId="77777777" w:rsidTr="001F6884">
        <w:tc>
          <w:tcPr>
            <w:tcW w:w="2835" w:type="dxa"/>
            <w:shd w:val="clear" w:color="auto" w:fill="D9E5D2" w:themeFill="accent2" w:themeFillTint="33"/>
          </w:tcPr>
          <w:p w14:paraId="60C5041E" w14:textId="6AEDCB6C" w:rsidR="00E52A67" w:rsidRPr="00E52A67" w:rsidRDefault="00E52A67" w:rsidP="00E52A67">
            <w:pPr>
              <w:pStyle w:val="TableText"/>
              <w:rPr>
                <w:b/>
                <w:bCs/>
              </w:rPr>
            </w:pPr>
            <w:r w:rsidRPr="00E52A67">
              <w:rPr>
                <w:b/>
                <w:bCs/>
              </w:rPr>
              <w:t>Stream 3 - States and Territories</w:t>
            </w:r>
          </w:p>
        </w:tc>
        <w:tc>
          <w:tcPr>
            <w:tcW w:w="6803" w:type="dxa"/>
          </w:tcPr>
          <w:p w14:paraId="013BE04C" w14:textId="6D784980" w:rsidR="00E52A67" w:rsidRDefault="00E52A67" w:rsidP="00512DF4">
            <w:pPr>
              <w:pStyle w:val="TableText"/>
            </w:pPr>
            <w:r>
              <w:t xml:space="preserve">partners with </w:t>
            </w:r>
            <w:r w:rsidR="000224DC">
              <w:t>s</w:t>
            </w:r>
            <w:r>
              <w:t xml:space="preserve">tate and </w:t>
            </w:r>
            <w:r w:rsidR="000224DC">
              <w:t>t</w:t>
            </w:r>
            <w:r>
              <w:t>erritory governments to facilitate and accelerate delivery, predominantly for social dwellings, subject to further state-by-state minimum quotas</w:t>
            </w:r>
          </w:p>
        </w:tc>
      </w:tr>
      <w:tr w:rsidR="00E52A67" w14:paraId="235CBF64" w14:textId="77777777" w:rsidTr="001F6884">
        <w:tc>
          <w:tcPr>
            <w:tcW w:w="2835" w:type="dxa"/>
            <w:shd w:val="clear" w:color="auto" w:fill="D9E5D2" w:themeFill="accent2" w:themeFillTint="33"/>
          </w:tcPr>
          <w:p w14:paraId="53BCCBBB" w14:textId="04DACCB6" w:rsidR="00E52A67" w:rsidRPr="00E52A67" w:rsidRDefault="00E52A67" w:rsidP="00E52A67">
            <w:pPr>
              <w:pStyle w:val="TableText"/>
              <w:rPr>
                <w:b/>
                <w:bCs/>
              </w:rPr>
            </w:pPr>
            <w:r w:rsidRPr="00E52A67">
              <w:rPr>
                <w:b/>
                <w:bCs/>
              </w:rPr>
              <w:t>Stream 4 - Partnerships at Scale</w:t>
            </w:r>
          </w:p>
        </w:tc>
        <w:tc>
          <w:tcPr>
            <w:tcW w:w="6803" w:type="dxa"/>
          </w:tcPr>
          <w:p w14:paraId="0CE0B3C2" w14:textId="3AA8A8FD" w:rsidR="00E52A67" w:rsidRPr="00DC346A" w:rsidRDefault="00E52A67" w:rsidP="00512DF4">
            <w:pPr>
              <w:pStyle w:val="TableText"/>
            </w:pPr>
            <w:r>
              <w:t>aims to attract partners that can rapidly deliver outcomes at scale, with a focus predominantly on affordable dwellings, where applications must be for at least 500 dwellings</w:t>
            </w:r>
          </w:p>
        </w:tc>
      </w:tr>
      <w:tr w:rsidR="00CE4E29" w14:paraId="65FB7E76" w14:textId="77777777" w:rsidTr="001F6884">
        <w:tc>
          <w:tcPr>
            <w:tcW w:w="2835" w:type="dxa"/>
            <w:shd w:val="clear" w:color="auto" w:fill="D9E5D2" w:themeFill="accent2" w:themeFillTint="33"/>
          </w:tcPr>
          <w:p w14:paraId="05204A59" w14:textId="5F7EECAA" w:rsidR="00CE4E29" w:rsidRPr="00E52A67" w:rsidRDefault="00CE4E29" w:rsidP="00E52A67">
            <w:pPr>
              <w:pStyle w:val="TableText"/>
              <w:rPr>
                <w:b/>
                <w:bCs/>
              </w:rPr>
            </w:pPr>
            <w:r>
              <w:rPr>
                <w:b/>
                <w:bCs/>
              </w:rPr>
              <w:t xml:space="preserve">Stream 5 </w:t>
            </w:r>
            <w:r w:rsidR="0095743D">
              <w:rPr>
                <w:b/>
                <w:bCs/>
              </w:rPr>
              <w:t>–</w:t>
            </w:r>
            <w:r>
              <w:rPr>
                <w:b/>
                <w:bCs/>
              </w:rPr>
              <w:t xml:space="preserve"> </w:t>
            </w:r>
            <w:r w:rsidR="0095743D">
              <w:rPr>
                <w:b/>
                <w:bCs/>
              </w:rPr>
              <w:t>Release 1</w:t>
            </w:r>
            <w:r>
              <w:rPr>
                <w:b/>
                <w:bCs/>
              </w:rPr>
              <w:t xml:space="preserve"> </w:t>
            </w:r>
          </w:p>
        </w:tc>
        <w:tc>
          <w:tcPr>
            <w:tcW w:w="6803" w:type="dxa"/>
          </w:tcPr>
          <w:p w14:paraId="42D0F95F" w14:textId="18283029" w:rsidR="00CE4E29" w:rsidRDefault="00E93D42" w:rsidP="00512DF4">
            <w:pPr>
              <w:pStyle w:val="TableText"/>
            </w:pPr>
            <w:r>
              <w:t xml:space="preserve">newly </w:t>
            </w:r>
            <w:r w:rsidR="0095743D">
              <w:t>established additional pathway to support ready to go, well located, low density (class 1) projects</w:t>
            </w:r>
            <w:r>
              <w:t>, with funding approvals in place by 1 February 2027 to enable main works construction to commence by 1 May 2027</w:t>
            </w:r>
          </w:p>
        </w:tc>
      </w:tr>
    </w:tbl>
    <w:p w14:paraId="621FEB4B" w14:textId="5902DCA9" w:rsidR="000A6012" w:rsidRDefault="000A6012" w:rsidP="00E52A67">
      <w:pPr>
        <w:pStyle w:val="BodyText"/>
      </w:pPr>
      <w:r>
        <w:t>Housing Australia has also been undertaking early contingency planning to increase the likelihood of achieving the program target by the target date</w:t>
      </w:r>
      <w:r w:rsidR="005D41E4">
        <w:t>, if required</w:t>
      </w:r>
      <w:r>
        <w:t>.</w:t>
      </w:r>
    </w:p>
    <w:p w14:paraId="7D2838B1" w14:textId="75A464B6" w:rsidR="00F340CC" w:rsidRDefault="00F340CC" w:rsidP="00F340CC">
      <w:pPr>
        <w:pStyle w:val="Subheading"/>
      </w:pPr>
      <w:r>
        <w:t>Capability</w:t>
      </w:r>
    </w:p>
    <w:p w14:paraId="6C3E4007" w14:textId="3119B101" w:rsidR="00D02B59" w:rsidRDefault="00301FE3" w:rsidP="00511CAB">
      <w:pPr>
        <w:pStyle w:val="BodyText"/>
      </w:pPr>
      <w:r w:rsidRPr="00301FE3">
        <w:t xml:space="preserve">Housing Australia has made progress in </w:t>
      </w:r>
      <w:r w:rsidR="00205DEC">
        <w:t xml:space="preserve">building </w:t>
      </w:r>
      <w:r w:rsidR="001B70EE">
        <w:t xml:space="preserve">the capabilities required to deliver the More Homes agenda. </w:t>
      </w:r>
      <w:r w:rsidR="00D91C11">
        <w:t xml:space="preserve">This has been explored in more </w:t>
      </w:r>
      <w:r w:rsidR="00B421F6">
        <w:t xml:space="preserve">detail in section 6.1. </w:t>
      </w:r>
      <w:r w:rsidRPr="00301FE3">
        <w:t xml:space="preserve">However, </w:t>
      </w:r>
      <w:r w:rsidR="000F020C">
        <w:t xml:space="preserve">program maturity requires </w:t>
      </w:r>
      <w:r w:rsidR="0022204B">
        <w:t xml:space="preserve">Housing Australia </w:t>
      </w:r>
      <w:r w:rsidR="000F020C">
        <w:t>to</w:t>
      </w:r>
      <w:r w:rsidR="0022204B">
        <w:t xml:space="preserve"> </w:t>
      </w:r>
      <w:r w:rsidR="00F27520">
        <w:t xml:space="preserve">concurrently </w:t>
      </w:r>
      <w:r w:rsidR="004A53EE">
        <w:t xml:space="preserve">focus on </w:t>
      </w:r>
      <w:r w:rsidR="009E6917">
        <w:t xml:space="preserve">project assessment and funding </w:t>
      </w:r>
      <w:r w:rsidRPr="00301FE3">
        <w:t>approval</w:t>
      </w:r>
      <w:r w:rsidR="00CD276E" w:rsidDel="00BA7E3B">
        <w:t>s</w:t>
      </w:r>
      <w:r w:rsidRPr="00301FE3">
        <w:t xml:space="preserve"> </w:t>
      </w:r>
      <w:r w:rsidR="0049199C">
        <w:t xml:space="preserve">for FR03 and actively manage </w:t>
      </w:r>
      <w:r w:rsidR="009E6917">
        <w:t>delivery outcomes</w:t>
      </w:r>
      <w:r w:rsidR="0049199C">
        <w:t xml:space="preserve"> for already approved projects</w:t>
      </w:r>
      <w:r w:rsidR="009E6917">
        <w:t>. I</w:t>
      </w:r>
      <w:r w:rsidR="00ED6FDD">
        <w:t xml:space="preserve">mprovement is required </w:t>
      </w:r>
      <w:r w:rsidRPr="00301FE3">
        <w:t xml:space="preserve">in </w:t>
      </w:r>
      <w:r w:rsidR="009E6917">
        <w:t xml:space="preserve">areas such as </w:t>
      </w:r>
      <w:r w:rsidR="00ED6FDD">
        <w:t>program performance</w:t>
      </w:r>
      <w:r w:rsidRPr="00301FE3">
        <w:t xml:space="preserve"> forecasting, approval and contracting</w:t>
      </w:r>
      <w:r w:rsidR="009E6917">
        <w:t xml:space="preserve"> timeframes</w:t>
      </w:r>
      <w:r w:rsidRPr="00301FE3">
        <w:t xml:space="preserve">, consolidated risk reporting, Board delivery </w:t>
      </w:r>
      <w:r w:rsidR="00271C4D">
        <w:t>focus</w:t>
      </w:r>
      <w:r w:rsidRPr="00301FE3">
        <w:t>, and delivery support for CHPs. Th</w:t>
      </w:r>
      <w:r w:rsidR="00271C4D">
        <w:t xml:space="preserve">is is a significant program of work that will support hundreds of projects and demands </w:t>
      </w:r>
      <w:r w:rsidR="00197956">
        <w:t>additional maturity of delivery capability</w:t>
      </w:r>
      <w:r w:rsidR="00BE33F0">
        <w:t xml:space="preserve"> as outlined in the report recommendations</w:t>
      </w:r>
      <w:r w:rsidR="004E42C5">
        <w:t>.</w:t>
      </w:r>
      <w:r w:rsidR="006C4CAD">
        <w:t xml:space="preserve"> </w:t>
      </w:r>
      <w:r w:rsidR="00D55159">
        <w:t>Addressing t</w:t>
      </w:r>
      <w:r w:rsidR="006C4CAD">
        <w:t>h</w:t>
      </w:r>
      <w:r w:rsidRPr="00301FE3">
        <w:t xml:space="preserve">ese </w:t>
      </w:r>
      <w:r w:rsidR="006C4CAD">
        <w:t xml:space="preserve">capability </w:t>
      </w:r>
      <w:r w:rsidRPr="00301FE3">
        <w:t xml:space="preserve">gaps </w:t>
      </w:r>
      <w:r w:rsidR="006F2E0C">
        <w:t xml:space="preserve">is essential </w:t>
      </w:r>
      <w:r w:rsidR="006C4CAD">
        <w:t>as</w:t>
      </w:r>
      <w:r w:rsidRPr="00301FE3">
        <w:t xml:space="preserve"> completion risk is concentrated late in the program and relies on active stewardship of </w:t>
      </w:r>
      <w:r w:rsidR="003A0FCD">
        <w:t xml:space="preserve">the </w:t>
      </w:r>
      <w:r w:rsidRPr="00301FE3">
        <w:t>external delivery partners</w:t>
      </w:r>
      <w:r w:rsidR="003A0FCD">
        <w:t>.</w:t>
      </w:r>
      <w:r w:rsidR="00D02B59">
        <w:br w:type="page"/>
      </w:r>
    </w:p>
    <w:p w14:paraId="1894AD80" w14:textId="780BD746" w:rsidR="00B11E60" w:rsidRPr="00A2037E" w:rsidRDefault="003A0FCD" w:rsidP="007A3825">
      <w:pPr>
        <w:pStyle w:val="Heading1"/>
      </w:pPr>
      <w:bookmarkStart w:id="26" w:name="_Toc238805483"/>
      <w:r w:rsidRPr="00A2037E">
        <w:lastRenderedPageBreak/>
        <w:t>Organisational capability</w:t>
      </w:r>
      <w:bookmarkEnd w:id="26"/>
      <w:r w:rsidRPr="00A2037E">
        <w:t xml:space="preserve"> </w:t>
      </w:r>
    </w:p>
    <w:p w14:paraId="24063173" w14:textId="77777777" w:rsidR="00B746A5" w:rsidRDefault="00B746A5" w:rsidP="00B746A5">
      <w:pPr>
        <w:pStyle w:val="Heading2"/>
      </w:pPr>
      <w:bookmarkStart w:id="27" w:name="_Toc238805484"/>
      <w:r>
        <w:t>An organisation in transition</w:t>
      </w:r>
      <w:bookmarkEnd w:id="27"/>
      <w:r>
        <w:t xml:space="preserve"> </w:t>
      </w:r>
    </w:p>
    <w:p w14:paraId="1CA3D236" w14:textId="3DBDF548" w:rsidR="00B746A5" w:rsidRDefault="00CF7BD8" w:rsidP="00511CAB">
      <w:pPr>
        <w:pStyle w:val="BodyText"/>
        <w:rPr>
          <w:kern w:val="2"/>
          <w:lang w:eastAsia="en-AU"/>
          <w14:ligatures w14:val="standardContextual"/>
        </w:rPr>
      </w:pPr>
      <w:r>
        <w:t xml:space="preserve">Since October 2023 </w:t>
      </w:r>
      <w:r w:rsidR="00FF5A2D">
        <w:t>Housing Australia</w:t>
      </w:r>
      <w:r>
        <w:t xml:space="preserve"> has expanded from a relatively small financing organisation focused on individual transactions</w:t>
      </w:r>
      <w:r w:rsidR="002E188B">
        <w:t>,</w:t>
      </w:r>
      <w:r>
        <w:t xml:space="preserve"> into a </w:t>
      </w:r>
      <w:r w:rsidR="00162C21">
        <w:t>multi</w:t>
      </w:r>
      <w:r w:rsidR="002E188B">
        <w:t>-</w:t>
      </w:r>
      <w:r w:rsidR="00162C21">
        <w:t xml:space="preserve">program </w:t>
      </w:r>
      <w:r>
        <w:t>housing agency</w:t>
      </w:r>
      <w:r w:rsidR="00162C21">
        <w:t xml:space="preserve"> with a </w:t>
      </w:r>
      <w:r w:rsidR="00D5770C">
        <w:t>much broader remit.</w:t>
      </w:r>
      <w:r w:rsidR="00F55C3E">
        <w:t xml:space="preserve"> In response, </w:t>
      </w:r>
      <w:r w:rsidR="00B746A5">
        <w:t>Housing Australia has undergone rapid and substantial change, particularly over the past 12–18 months,</w:t>
      </w:r>
      <w:r w:rsidR="00B746A5" w:rsidDel="00F55C3E">
        <w:t xml:space="preserve"> </w:t>
      </w:r>
      <w:r w:rsidR="00B746A5">
        <w:t>implementing a new operating model, establishing dedicated delivery oversight functions and strengthening its governance, risk, people, systems and data capability. The scale and pace of recent changes is illustrated by:</w:t>
      </w:r>
    </w:p>
    <w:p w14:paraId="53C41564" w14:textId="17D51FE0" w:rsidR="00B746A5" w:rsidRDefault="008D191E" w:rsidP="005D00A1">
      <w:pPr>
        <w:pStyle w:val="ListBullet1"/>
        <w:rPr>
          <w:kern w:val="2"/>
          <w:sz w:val="24"/>
          <w:szCs w:val="24"/>
          <w:lang w:eastAsia="en-AU"/>
          <w14:ligatures w14:val="standardContextual"/>
        </w:rPr>
      </w:pPr>
      <w:r>
        <w:t xml:space="preserve">Funded project activity increased </w:t>
      </w:r>
      <w:r w:rsidR="00B746A5">
        <w:t>more than five</w:t>
      </w:r>
      <w:r w:rsidR="00E83FB8">
        <w:t>-</w:t>
      </w:r>
      <w:r w:rsidR="00B746A5">
        <w:t>fold, from approximately 70 projects across the six years from 2018</w:t>
      </w:r>
      <w:r w:rsidR="00060202">
        <w:t>-</w:t>
      </w:r>
      <w:r w:rsidR="00B746A5">
        <w:t>19 to 2023</w:t>
      </w:r>
      <w:r w:rsidR="00060202">
        <w:t>-</w:t>
      </w:r>
      <w:r w:rsidR="00B746A5">
        <w:t xml:space="preserve">24, to more than 370 </w:t>
      </w:r>
      <w:r>
        <w:t xml:space="preserve">projects </w:t>
      </w:r>
      <w:r w:rsidR="00B746A5">
        <w:t>across 2024</w:t>
      </w:r>
      <w:r w:rsidR="004E424F">
        <w:t>-</w:t>
      </w:r>
      <w:r w:rsidR="00B746A5">
        <w:t>25 and 2025</w:t>
      </w:r>
      <w:r w:rsidR="004E424F">
        <w:t>-</w:t>
      </w:r>
      <w:r w:rsidR="00B746A5">
        <w:t>26.</w:t>
      </w:r>
    </w:p>
    <w:p w14:paraId="24758AE0" w14:textId="424B9FB9" w:rsidR="00B746A5" w:rsidRDefault="008D191E" w:rsidP="005D00A1">
      <w:pPr>
        <w:pStyle w:val="ListBullet1"/>
        <w:rPr>
          <w:kern w:val="2"/>
          <w:sz w:val="24"/>
          <w:szCs w:val="24"/>
          <w:lang w:eastAsia="en-AU"/>
          <w14:ligatures w14:val="standardContextual"/>
        </w:rPr>
      </w:pPr>
      <w:r>
        <w:t xml:space="preserve">Workforce numbers have nearly tripled </w:t>
      </w:r>
      <w:r w:rsidR="00B746A5">
        <w:t xml:space="preserve">since 2023, </w:t>
      </w:r>
      <w:r w:rsidR="008339F8">
        <w:t xml:space="preserve">increasing </w:t>
      </w:r>
      <w:r w:rsidR="00B746A5">
        <w:t>from approximately 79 staff to approximately 230 in 2026.</w:t>
      </w:r>
    </w:p>
    <w:p w14:paraId="4C5D7C48" w14:textId="41ADD8AF" w:rsidR="00B746A5" w:rsidRPr="0086370E" w:rsidRDefault="00B746A5" w:rsidP="00511CAB">
      <w:pPr>
        <w:pStyle w:val="BodyText"/>
      </w:pPr>
      <w:r w:rsidRPr="0086370E">
        <w:t xml:space="preserve">Housing Australia is </w:t>
      </w:r>
      <w:r>
        <w:t xml:space="preserve">now </w:t>
      </w:r>
      <w:r w:rsidRPr="0086370E">
        <w:t>at a</w:t>
      </w:r>
      <w:r w:rsidR="00191855">
        <w:t xml:space="preserve">n important stage of its </w:t>
      </w:r>
      <w:r w:rsidRPr="0086370E">
        <w:t xml:space="preserve">transition. </w:t>
      </w:r>
      <w:r w:rsidRPr="0086370E" w:rsidDel="00DA1105">
        <w:t xml:space="preserve">Its origins and </w:t>
      </w:r>
      <w:r w:rsidRPr="0086370E">
        <w:t>early responsibilities required deep financial, investment</w:t>
      </w:r>
      <w:r w:rsidR="005D5014">
        <w:t>,</w:t>
      </w:r>
      <w:r w:rsidRPr="0086370E">
        <w:t xml:space="preserve"> and transaction capability. Those </w:t>
      </w:r>
      <w:r w:rsidR="005D5014">
        <w:t>capabilities</w:t>
      </w:r>
      <w:r w:rsidR="005D5014" w:rsidRPr="0086370E">
        <w:t xml:space="preserve"> </w:t>
      </w:r>
      <w:r w:rsidRPr="0086370E">
        <w:t xml:space="preserve">remain </w:t>
      </w:r>
      <w:proofErr w:type="gramStart"/>
      <w:r w:rsidRPr="0086370E">
        <w:t>essential,</w:t>
      </w:r>
      <w:proofErr w:type="gramEnd"/>
      <w:r w:rsidRPr="0086370E">
        <w:t xml:space="preserve"> </w:t>
      </w:r>
      <w:r w:rsidR="005D5014">
        <w:t xml:space="preserve">however, Housing Australia’s </w:t>
      </w:r>
      <w:r w:rsidRPr="0086370E">
        <w:t>expanded mandate now requires an equal</w:t>
      </w:r>
      <w:r w:rsidR="00250F10">
        <w:t xml:space="preserve"> </w:t>
      </w:r>
      <w:r w:rsidRPr="0086370E">
        <w:t>focus on program and project delivery at pace. In short, the organisation is mid-</w:t>
      </w:r>
      <w:r w:rsidR="009D03C1">
        <w:t>transition</w:t>
      </w:r>
      <w:r w:rsidR="009D03C1" w:rsidRPr="0086370E">
        <w:t xml:space="preserve"> </w:t>
      </w:r>
      <w:r w:rsidRPr="0086370E">
        <w:t xml:space="preserve">from a demand-led lender (NHFIC) into a public sector delivery agency (Housing Australia) </w:t>
      </w:r>
      <w:r w:rsidR="00A123BC">
        <w:t>of</w:t>
      </w:r>
      <w:r w:rsidRPr="0086370E">
        <w:t xml:space="preserve"> far greater scale, risk and complexity.</w:t>
      </w:r>
    </w:p>
    <w:p w14:paraId="3975A5E1" w14:textId="17F5EC2B" w:rsidR="00B746A5" w:rsidRPr="0086370E" w:rsidRDefault="00B746A5" w:rsidP="00511CAB">
      <w:pPr>
        <w:pStyle w:val="BodyText"/>
      </w:pPr>
      <w:r w:rsidRPr="0086370E">
        <w:t xml:space="preserve">This shift is most evident in the </w:t>
      </w:r>
      <w:r w:rsidR="00B84E93">
        <w:t>HAFF</w:t>
      </w:r>
      <w:r w:rsidR="00D17223">
        <w:t>F and NHAF</w:t>
      </w:r>
      <w:r w:rsidRPr="0086370E">
        <w:t>, Housing Australia’s largest program</w:t>
      </w:r>
      <w:r w:rsidR="00494183">
        <w:t>s</w:t>
      </w:r>
      <w:r w:rsidRPr="0086370E">
        <w:t>. The five-year program</w:t>
      </w:r>
      <w:r w:rsidR="00494183">
        <w:t>s</w:t>
      </w:r>
      <w:r w:rsidRPr="0086370E">
        <w:t xml:space="preserve">, which commenced in 2024, </w:t>
      </w:r>
      <w:r w:rsidR="00CC33F2">
        <w:t>are</w:t>
      </w:r>
      <w:r w:rsidR="00620F5E">
        <w:t xml:space="preserve"> progress</w:t>
      </w:r>
      <w:r w:rsidR="00CC33F2">
        <w:t>ing</w:t>
      </w:r>
      <w:r w:rsidR="00620F5E">
        <w:t xml:space="preserve"> through</w:t>
      </w:r>
      <w:r w:rsidR="00620F5E" w:rsidDel="00743D6D">
        <w:t xml:space="preserve"> </w:t>
      </w:r>
      <w:r w:rsidRPr="0086370E">
        <w:t>funding-round design</w:t>
      </w:r>
      <w:r w:rsidR="004574EA">
        <w:t>,</w:t>
      </w:r>
      <w:r w:rsidRPr="0086370E">
        <w:t xml:space="preserve"> project approval and contracting</w:t>
      </w:r>
      <w:r w:rsidR="004574EA">
        <w:t>,</w:t>
      </w:r>
      <w:r w:rsidRPr="0086370E">
        <w:t xml:space="preserve"> project delivery</w:t>
      </w:r>
      <w:r w:rsidR="004574EA">
        <w:t>,</w:t>
      </w:r>
      <w:r w:rsidRPr="0086370E">
        <w:t xml:space="preserve"> and portfolio stewardship. </w:t>
      </w:r>
      <w:r w:rsidR="006D2B19">
        <w:t>Each</w:t>
      </w:r>
      <w:r w:rsidRPr="0086370E">
        <w:t xml:space="preserve"> phase</w:t>
      </w:r>
      <w:r w:rsidR="006D2B19">
        <w:t xml:space="preserve"> requires</w:t>
      </w:r>
      <w:r w:rsidRPr="0086370E">
        <w:t xml:space="preserve"> the organisation </w:t>
      </w:r>
      <w:r w:rsidR="006D2B19">
        <w:t>to</w:t>
      </w:r>
      <w:r w:rsidRPr="0086370E" w:rsidDel="006D2B19">
        <w:t xml:space="preserve"> </w:t>
      </w:r>
      <w:r w:rsidRPr="0086370E">
        <w:t>adapt its capability, governance, systems and management attention.</w:t>
      </w:r>
    </w:p>
    <w:p w14:paraId="71698CC4" w14:textId="0136C862" w:rsidR="00B746A5" w:rsidRPr="0086370E" w:rsidRDefault="00B746A5" w:rsidP="00511CAB">
      <w:pPr>
        <w:pStyle w:val="BodyText"/>
      </w:pPr>
      <w:r w:rsidRPr="0086370E">
        <w:t xml:space="preserve">As the </w:t>
      </w:r>
      <w:r w:rsidR="00494183">
        <w:t>National Housing Accord target period</w:t>
      </w:r>
      <w:r w:rsidRPr="0086370E">
        <w:t xml:space="preserve"> enters its </w:t>
      </w:r>
      <w:r w:rsidR="0008150E">
        <w:t>final</w:t>
      </w:r>
      <w:r w:rsidRPr="0086370E">
        <w:t xml:space="preserve"> three years</w:t>
      </w:r>
      <w:r w:rsidR="00494183">
        <w:t xml:space="preserve"> to June 2029</w:t>
      </w:r>
      <w:r w:rsidRPr="0086370E">
        <w:t xml:space="preserve">, the </w:t>
      </w:r>
      <w:r w:rsidR="00C53FA4">
        <w:t>balance</w:t>
      </w:r>
      <w:r w:rsidR="00C53FA4" w:rsidRPr="0086370E">
        <w:t xml:space="preserve"> </w:t>
      </w:r>
      <w:r w:rsidRPr="0086370E">
        <w:t>of</w:t>
      </w:r>
      <w:r w:rsidRPr="0086370E" w:rsidDel="008648B7">
        <w:t xml:space="preserve"> </w:t>
      </w:r>
      <w:r w:rsidRPr="0086370E">
        <w:t>effort must move from approving and contracting individual transactions towards active oversight of delivery and, ultimately, stewardship of the portfolio. This requires mature program and project management, delivery forecasting, risk monitoring, data, systems and intervention capabilit</w:t>
      </w:r>
      <w:r w:rsidR="008648B7">
        <w:t>ies</w:t>
      </w:r>
      <w:r w:rsidRPr="0086370E">
        <w:t xml:space="preserve">. Housing Australia has begun this transition, </w:t>
      </w:r>
      <w:r w:rsidR="00930237">
        <w:t>h</w:t>
      </w:r>
      <w:r w:rsidRPr="0086370E">
        <w:t>owever given the program’s maturity and the concentration of completions expected before June 2029, these capabilities should now be more established and embedded.</w:t>
      </w:r>
    </w:p>
    <w:p w14:paraId="794A27D9" w14:textId="071572C8" w:rsidR="00B746A5" w:rsidRPr="0086370E" w:rsidRDefault="00B746A5" w:rsidP="00511CAB">
      <w:pPr>
        <w:pStyle w:val="BodyText"/>
      </w:pPr>
      <w:r w:rsidRPr="0086370E">
        <w:t xml:space="preserve">While Housing Australia does not directly manage developers or builders, it </w:t>
      </w:r>
      <w:r w:rsidR="0019439F">
        <w:t xml:space="preserve">plays an important role in </w:t>
      </w:r>
      <w:r w:rsidRPr="0086370E">
        <w:t>maintaining visibility of project progress, identifying and responding to emerging risks, and working closely with state and territory governments, community housing providers</w:t>
      </w:r>
      <w:r w:rsidR="005C2675">
        <w:t>, First Nations housing organisations,</w:t>
      </w:r>
      <w:r w:rsidRPr="0086370E">
        <w:t xml:space="preserve"> and other delivery partners to resolve barriers and strengthen sector capability.</w:t>
      </w:r>
    </w:p>
    <w:p w14:paraId="2CE7985C" w14:textId="3A532524" w:rsidR="00B746A5" w:rsidRDefault="004D12FE" w:rsidP="00511CAB">
      <w:pPr>
        <w:pStyle w:val="BodyText"/>
      </w:pPr>
      <w:r w:rsidRPr="004D12FE">
        <w:t xml:space="preserve">The challenge for Housing Australia is not to replace its strong financial foundations, but to complement them with a more mature delivery focus and a clear organisational emphasis on converting approved funding into completed </w:t>
      </w:r>
      <w:r w:rsidR="001A4AFA">
        <w:t xml:space="preserve">and occupied </w:t>
      </w:r>
      <w:r w:rsidRPr="004D12FE">
        <w:t>homes.</w:t>
      </w:r>
      <w:r w:rsidR="00B746A5">
        <w:t xml:space="preserve"> </w:t>
      </w:r>
    </w:p>
    <w:p w14:paraId="6A1EB6FA" w14:textId="77777777" w:rsidR="007A4D1B" w:rsidRDefault="007A4D1B">
      <w:pPr>
        <w:spacing w:line="240" w:lineRule="auto"/>
        <w:rPr>
          <w:rFonts w:eastAsiaTheme="majorEastAsia" w:cs="Arial"/>
          <w:b/>
          <w:bCs/>
          <w:color w:val="4B673B" w:themeColor="accent2"/>
          <w:sz w:val="24"/>
          <w:szCs w:val="28"/>
        </w:rPr>
      </w:pPr>
      <w:r>
        <w:br w:type="page"/>
      </w:r>
    </w:p>
    <w:p w14:paraId="4B8C8EA3" w14:textId="532C6B56" w:rsidR="001646C9" w:rsidRDefault="001646C9" w:rsidP="001646C9">
      <w:pPr>
        <w:pStyle w:val="Heading2"/>
      </w:pPr>
      <w:bookmarkStart w:id="28" w:name="_Toc238805485"/>
      <w:r>
        <w:lastRenderedPageBreak/>
        <w:t>Recent capability improvements</w:t>
      </w:r>
      <w:bookmarkEnd w:id="28"/>
    </w:p>
    <w:p w14:paraId="1AD0D55A" w14:textId="6DCDFD8E" w:rsidR="00B11E60" w:rsidRDefault="004A705B" w:rsidP="00511CAB">
      <w:pPr>
        <w:pStyle w:val="BodyText"/>
        <w:rPr>
          <w:kern w:val="2"/>
          <w:lang w:eastAsia="en-AU"/>
          <w14:ligatures w14:val="standardContextual"/>
        </w:rPr>
      </w:pPr>
      <w:r>
        <w:t xml:space="preserve">In response to the changing expectations and responsibilities, </w:t>
      </w:r>
      <w:r w:rsidR="00B11E60">
        <w:t xml:space="preserve">Housing Australia has made significant progress in strengthening its systems, processes and governance arrangements over the past 12–18 months. The changes respond to stakeholder feedback, lessons learned and the organisation’s evolving role, and are intended to improve the experience of applicants, customers and stakeholders while strengthening support for program and project delivery. </w:t>
      </w:r>
      <w:r w:rsidR="001406BB">
        <w:t>Example</w:t>
      </w:r>
      <w:r w:rsidR="00B11E60">
        <w:t xml:space="preserve"> initiatives include:</w:t>
      </w:r>
    </w:p>
    <w:p w14:paraId="5895ACF8" w14:textId="22C49804" w:rsidR="00B11E60" w:rsidRPr="00511CAB" w:rsidRDefault="00B11E60" w:rsidP="005D00A1">
      <w:pPr>
        <w:pStyle w:val="ListBullet1"/>
      </w:pPr>
      <w:r w:rsidRPr="005D00A1">
        <w:t xml:space="preserve">Adopting an Investment Manager Model in April 2026, providing each </w:t>
      </w:r>
      <w:r w:rsidR="003C680A" w:rsidRPr="005D00A1">
        <w:t>CHP</w:t>
      </w:r>
      <w:r w:rsidRPr="005D00A1">
        <w:t xml:space="preserve"> with a single point of contact across the project lifecycle and access to specialist support where required.</w:t>
      </w:r>
    </w:p>
    <w:p w14:paraId="011986AE" w14:textId="140D52A9" w:rsidR="00B11E60" w:rsidRPr="00511CAB" w:rsidRDefault="00B11E60" w:rsidP="005D00A1">
      <w:pPr>
        <w:pStyle w:val="ListBullet1"/>
      </w:pPr>
      <w:r w:rsidRPr="005D00A1">
        <w:t xml:space="preserve">Establishing the </w:t>
      </w:r>
      <w:r w:rsidR="003C680A" w:rsidRPr="005D00A1">
        <w:t>PDU</w:t>
      </w:r>
      <w:r w:rsidRPr="005D00A1">
        <w:t xml:space="preserve"> in</w:t>
      </w:r>
      <w:r w:rsidRPr="005D00A1" w:rsidDel="003C680A">
        <w:t xml:space="preserve"> </w:t>
      </w:r>
      <w:r w:rsidR="003C680A" w:rsidRPr="005D00A1">
        <w:t>June</w:t>
      </w:r>
      <w:r w:rsidRPr="005D00A1">
        <w:t xml:space="preserve"> 2026 to strengthen oversight of delivery risks, including through a construction benchmarking tool and a delivery watchlist, escalation and resolution framework for projects requiring additional attention or support.</w:t>
      </w:r>
    </w:p>
    <w:p w14:paraId="4B5079DB" w14:textId="5E28DB95" w:rsidR="00B11E60" w:rsidRPr="00511CAB" w:rsidRDefault="00B11E60" w:rsidP="005D00A1">
      <w:pPr>
        <w:pStyle w:val="ListBullet1"/>
      </w:pPr>
      <w:r w:rsidRPr="005D00A1">
        <w:t xml:space="preserve">Improving project reporting through the </w:t>
      </w:r>
      <w:r w:rsidR="00D81ECD" w:rsidRPr="005D00A1">
        <w:t>SRT</w:t>
      </w:r>
      <w:r w:rsidRPr="005D00A1">
        <w:t>, which gathers project progress data and supports performance reporting to management and other stakeholders.</w:t>
      </w:r>
    </w:p>
    <w:p w14:paraId="695FACAF" w14:textId="77777777" w:rsidR="00B11E60" w:rsidRPr="00511CAB" w:rsidRDefault="00B11E60" w:rsidP="005D00A1">
      <w:pPr>
        <w:pStyle w:val="ListBullet1"/>
      </w:pPr>
      <w:r w:rsidRPr="005D00A1">
        <w:t>Establishing a Management Investment Committee to support the assessment and approval of applications.</w:t>
      </w:r>
    </w:p>
    <w:p w14:paraId="1670B0FC" w14:textId="77777777" w:rsidR="00B11E60" w:rsidRPr="00511CAB" w:rsidRDefault="00B11E60" w:rsidP="005D00A1">
      <w:pPr>
        <w:pStyle w:val="ListBullet1"/>
      </w:pPr>
      <w:r w:rsidRPr="005D00A1">
        <w:t>Introducing workforce policies and procedures to support the needs of a substantially larger organisation.</w:t>
      </w:r>
    </w:p>
    <w:p w14:paraId="7C426D3D" w14:textId="77777777" w:rsidR="00B11E60" w:rsidRDefault="00B11E60" w:rsidP="00511CAB">
      <w:pPr>
        <w:pStyle w:val="BodyText"/>
        <w:rPr>
          <w:kern w:val="2"/>
          <w:lang w:eastAsia="en-AU"/>
          <w14:ligatures w14:val="standardContextual"/>
        </w:rPr>
      </w:pPr>
      <w:r>
        <w:t xml:space="preserve">Stakeholder interviews consistently recognised the extent of Housing Australia’s organisational improvement over the past 12-18 months, particularly in governance, processes, systems and delivery capability, achieved during a period of rapid growth and increasing responsibility. </w:t>
      </w:r>
    </w:p>
    <w:p w14:paraId="4BB6A4B1" w14:textId="607CDA30" w:rsidR="00FF6D6E" w:rsidRPr="00D80999" w:rsidRDefault="00F6303E" w:rsidP="000D737D">
      <w:pPr>
        <w:pStyle w:val="Heading2"/>
      </w:pPr>
      <w:bookmarkStart w:id="29" w:name="_Toc238805486"/>
      <w:r>
        <w:t>Corporate</w:t>
      </w:r>
      <w:r w:rsidRPr="00D80999">
        <w:t xml:space="preserve"> </w:t>
      </w:r>
      <w:r w:rsidR="00FF6D6E" w:rsidRPr="00D80999">
        <w:t>services</w:t>
      </w:r>
      <w:bookmarkEnd w:id="29"/>
    </w:p>
    <w:p w14:paraId="6E016CFA" w14:textId="0E2E7E99" w:rsidR="005479C7" w:rsidRDefault="00B7085A" w:rsidP="00511CAB">
      <w:pPr>
        <w:pStyle w:val="BodyText"/>
        <w:keepNext/>
      </w:pPr>
      <w:r>
        <w:t xml:space="preserve">During the same 12 </w:t>
      </w:r>
      <w:proofErr w:type="gramStart"/>
      <w:r w:rsidR="00F6303E">
        <w:t>-18 month</w:t>
      </w:r>
      <w:proofErr w:type="gramEnd"/>
      <w:r>
        <w:t xml:space="preserve"> period, </w:t>
      </w:r>
      <w:r w:rsidR="007A4C8B">
        <w:t xml:space="preserve">uplift of </w:t>
      </w:r>
      <w:r w:rsidR="003C3F44">
        <w:t xml:space="preserve">corporate system and process changes have </w:t>
      </w:r>
      <w:r w:rsidR="004136D7">
        <w:t xml:space="preserve">continued </w:t>
      </w:r>
      <w:r w:rsidR="003C3F44">
        <w:t xml:space="preserve">to </w:t>
      </w:r>
      <w:r w:rsidR="007A4C8B">
        <w:t xml:space="preserve">improve </w:t>
      </w:r>
      <w:r w:rsidR="003C3F44">
        <w:t>support</w:t>
      </w:r>
      <w:r w:rsidR="007A4C8B">
        <w:t xml:space="preserve"> of the nature and scale of</w:t>
      </w:r>
      <w:r w:rsidR="003C3F44">
        <w:t xml:space="preserve"> program activity</w:t>
      </w:r>
      <w:r w:rsidR="00E61EBC">
        <w:t xml:space="preserve">. </w:t>
      </w:r>
      <w:r w:rsidR="008C12DE">
        <w:t xml:space="preserve">Each of the corporate functions continue to plan further improvements to </w:t>
      </w:r>
      <w:r w:rsidR="00F6303E">
        <w:t xml:space="preserve">further </w:t>
      </w:r>
      <w:r w:rsidR="008C12DE">
        <w:t xml:space="preserve">streamline operations. </w:t>
      </w:r>
      <w:r w:rsidR="00EB09A5">
        <w:t>In summary results were</w:t>
      </w:r>
      <w:r w:rsidR="005479C7">
        <w:t>:</w:t>
      </w:r>
    </w:p>
    <w:tbl>
      <w:tblPr>
        <w:tblStyle w:val="KMTable"/>
        <w:tblW w:w="0" w:type="auto"/>
        <w:tblBorders>
          <w:top w:val="single" w:sz="2" w:space="0" w:color="8EA189" w:themeColor="accent3"/>
          <w:bottom w:val="single" w:sz="2" w:space="0" w:color="8EA189" w:themeColor="accent3"/>
          <w:insideH w:val="single" w:sz="2" w:space="0" w:color="8EA189" w:themeColor="accent3"/>
        </w:tblBorders>
        <w:tblLook w:val="0480" w:firstRow="0" w:lastRow="0" w:firstColumn="1" w:lastColumn="0" w:noHBand="0" w:noVBand="1"/>
      </w:tblPr>
      <w:tblGrid>
        <w:gridCol w:w="2835"/>
        <w:gridCol w:w="6803"/>
      </w:tblGrid>
      <w:tr w:rsidR="000420FA" w14:paraId="2DFAF1D2" w14:textId="77777777" w:rsidTr="007A4D1B">
        <w:tc>
          <w:tcPr>
            <w:tcW w:w="2835" w:type="dxa"/>
            <w:shd w:val="clear" w:color="auto" w:fill="D9E5D2" w:themeFill="accent2" w:themeFillTint="33"/>
          </w:tcPr>
          <w:p w14:paraId="292CF266" w14:textId="29E16B2E" w:rsidR="000420FA" w:rsidRPr="00E52A67" w:rsidRDefault="000420FA">
            <w:pPr>
              <w:pStyle w:val="TableText"/>
              <w:rPr>
                <w:b/>
                <w:bCs/>
              </w:rPr>
            </w:pPr>
            <w:r w:rsidRPr="00D80999">
              <w:rPr>
                <w:b/>
                <w:bCs/>
              </w:rPr>
              <w:t>People &amp; Culture</w:t>
            </w:r>
          </w:p>
        </w:tc>
        <w:tc>
          <w:tcPr>
            <w:tcW w:w="6803" w:type="dxa"/>
          </w:tcPr>
          <w:p w14:paraId="3C5BEF5F" w14:textId="3E084EAB" w:rsidR="000420FA" w:rsidRDefault="00F278B0" w:rsidP="000420FA">
            <w:pPr>
              <w:pStyle w:val="TableText"/>
            </w:pPr>
            <w:r>
              <w:t xml:space="preserve">It is not </w:t>
            </w:r>
            <w:r w:rsidR="000E1D69">
              <w:t>uncommon</w:t>
            </w:r>
            <w:r>
              <w:t xml:space="preserve"> that a workforce that is growing rapidly with changing responsibilities</w:t>
            </w:r>
            <w:r w:rsidR="007A147A">
              <w:t>,</w:t>
            </w:r>
            <w:r>
              <w:t xml:space="preserve"> experience</w:t>
            </w:r>
            <w:r w:rsidR="000E1D69">
              <w:t>s</w:t>
            </w:r>
            <w:r>
              <w:t xml:space="preserve"> some </w:t>
            </w:r>
            <w:r w:rsidR="0005295F">
              <w:t>workforce unrest</w:t>
            </w:r>
            <w:r>
              <w:t xml:space="preserve"> </w:t>
            </w:r>
            <w:r w:rsidR="00F30C06">
              <w:t>and attrition</w:t>
            </w:r>
            <w:r>
              <w:t xml:space="preserve"> during this period. The people and culture function </w:t>
            </w:r>
            <w:proofErr w:type="gramStart"/>
            <w:r>
              <w:t>h</w:t>
            </w:r>
            <w:r w:rsidR="000420FA">
              <w:t>as</w:t>
            </w:r>
            <w:proofErr w:type="gramEnd"/>
            <w:r w:rsidR="000420FA">
              <w:t xml:space="preserve"> very recently been scaled to better reflect the expansion of Housing Australia and is in the process of developing a suite of policies, procedures and plans that align with the Housing Australia agenda, resourcing requirements and capabilities. </w:t>
            </w:r>
            <w:r w:rsidR="00B66637">
              <w:t xml:space="preserve">It is also leaning in to support change, boost capability, and improve workplace culture. </w:t>
            </w:r>
            <w:r w:rsidR="000420FA">
              <w:t xml:space="preserve">Plans have been progressed to access surge capacity to support short term resourcing pressures related to evaluation and contracting of HAFF FR03. </w:t>
            </w:r>
          </w:p>
        </w:tc>
      </w:tr>
      <w:tr w:rsidR="000420FA" w14:paraId="443F8145" w14:textId="77777777" w:rsidTr="007A4D1B">
        <w:tc>
          <w:tcPr>
            <w:tcW w:w="2835" w:type="dxa"/>
            <w:shd w:val="clear" w:color="auto" w:fill="D9E5D2" w:themeFill="accent2" w:themeFillTint="33"/>
          </w:tcPr>
          <w:p w14:paraId="0F1BC4C2" w14:textId="29ECA792" w:rsidR="000420FA" w:rsidRPr="00E52A67" w:rsidRDefault="000420FA">
            <w:pPr>
              <w:pStyle w:val="TableText"/>
              <w:rPr>
                <w:b/>
                <w:bCs/>
              </w:rPr>
            </w:pPr>
            <w:r w:rsidRPr="00D80999">
              <w:rPr>
                <w:b/>
                <w:bCs/>
              </w:rPr>
              <w:t>Finance &amp; Treasury</w:t>
            </w:r>
          </w:p>
        </w:tc>
        <w:tc>
          <w:tcPr>
            <w:tcW w:w="6803" w:type="dxa"/>
          </w:tcPr>
          <w:p w14:paraId="3757F42F" w14:textId="79626452" w:rsidR="000420FA" w:rsidRDefault="001A3B3A" w:rsidP="000420FA">
            <w:pPr>
              <w:pStyle w:val="TableText"/>
            </w:pPr>
            <w:r>
              <w:t>T</w:t>
            </w:r>
            <w:r w:rsidR="000420FA">
              <w:t>his team delivers traditional finance team activities and operates loan administration, settlements processing and treasury functions (e.g. bond issuance for the AHBA). Systems for this team have progressively been brought in-house and designed to better align to Housing Australia needs and this is planned for continuation.</w:t>
            </w:r>
          </w:p>
        </w:tc>
      </w:tr>
      <w:tr w:rsidR="000420FA" w14:paraId="4ED7C37D" w14:textId="77777777" w:rsidTr="007A4D1B">
        <w:tc>
          <w:tcPr>
            <w:tcW w:w="2835" w:type="dxa"/>
            <w:shd w:val="clear" w:color="auto" w:fill="D9E5D2" w:themeFill="accent2" w:themeFillTint="33"/>
          </w:tcPr>
          <w:p w14:paraId="534F17DF" w14:textId="6E57ECF5" w:rsidR="000420FA" w:rsidRPr="00E52A67" w:rsidRDefault="000420FA">
            <w:pPr>
              <w:pStyle w:val="TableText"/>
              <w:rPr>
                <w:b/>
                <w:bCs/>
              </w:rPr>
            </w:pPr>
            <w:r>
              <w:rPr>
                <w:b/>
                <w:bCs/>
              </w:rPr>
              <w:t>Information technology, systems and data</w:t>
            </w:r>
          </w:p>
        </w:tc>
        <w:tc>
          <w:tcPr>
            <w:tcW w:w="6803" w:type="dxa"/>
          </w:tcPr>
          <w:p w14:paraId="1C539DC1" w14:textId="3A75CA88" w:rsidR="000420FA" w:rsidRDefault="000420FA" w:rsidP="000420FA">
            <w:pPr>
              <w:pStyle w:val="TableText"/>
            </w:pPr>
            <w:r>
              <w:t>Many of Housing Australia’s systems have historically been provided b</w:t>
            </w:r>
            <w:r w:rsidR="005F77A4">
              <w:t>y</w:t>
            </w:r>
            <w:r>
              <w:t xml:space="preserve"> another government entity. While this strategy has been effective to support program establishment, it has necessitated additional activities to support operational requirements. Consequently, significant effort has been invested to progressively develop and commission in-house systems that are more aligned to Housing Australia’s specific needs. There is an ongoing focus on systematising Housing Australia’s requirements where it is feasible to do so. </w:t>
            </w:r>
          </w:p>
        </w:tc>
      </w:tr>
    </w:tbl>
    <w:p w14:paraId="117C5065" w14:textId="7B95389C" w:rsidR="006D5D88" w:rsidRDefault="00C61CDB" w:rsidP="00E07CDB">
      <w:pPr>
        <w:pStyle w:val="BodyText"/>
      </w:pPr>
      <w:r>
        <w:t xml:space="preserve">The above recent and planned initiatives provide a stronger foundation for Housing Australia’s next phase of development. As Government priorities and program responsibilities continue to evolve, Housing Australia will need to adopt a continuous improvement approach to ensure governance arrangements, decision-making processes, performance reporting and organisational capability are aligned with the </w:t>
      </w:r>
      <w:r w:rsidR="00412653">
        <w:t xml:space="preserve">outcomes, risks and stakeholder expectations </w:t>
      </w:r>
      <w:r>
        <w:t>of its program portfolio.</w:t>
      </w:r>
      <w:r w:rsidR="006D5D88">
        <w:br w:type="page"/>
      </w:r>
    </w:p>
    <w:p w14:paraId="299085FA" w14:textId="7C91A8B6" w:rsidR="005A1E58" w:rsidRPr="00192B74" w:rsidRDefault="005A1E58" w:rsidP="006F0C53">
      <w:pPr>
        <w:pStyle w:val="Heading1"/>
        <w:rPr>
          <w:color w:val="auto"/>
        </w:rPr>
      </w:pPr>
      <w:bookmarkStart w:id="30" w:name="_Toc238805487"/>
      <w:r w:rsidRPr="00192B74">
        <w:rPr>
          <w:color w:val="auto"/>
        </w:rPr>
        <w:lastRenderedPageBreak/>
        <w:t>Opportunities for capability uplift</w:t>
      </w:r>
      <w:bookmarkEnd w:id="30"/>
    </w:p>
    <w:p w14:paraId="094B67F7" w14:textId="5FBEDA39" w:rsidR="006F0C53" w:rsidRPr="0066372A" w:rsidRDefault="006F0C53" w:rsidP="005A1E58">
      <w:pPr>
        <w:pStyle w:val="Heading2"/>
      </w:pPr>
      <w:bookmarkStart w:id="31" w:name="_Toc238805488"/>
      <w:r w:rsidRPr="0066372A">
        <w:t xml:space="preserve">Program and </w:t>
      </w:r>
      <w:r w:rsidR="005F3E90">
        <w:t>p</w:t>
      </w:r>
      <w:r w:rsidRPr="0066372A">
        <w:t>roject management</w:t>
      </w:r>
      <w:bookmarkEnd w:id="31"/>
    </w:p>
    <w:p w14:paraId="2CE026A1" w14:textId="77777777" w:rsidR="006F0C53" w:rsidRDefault="006F0C53" w:rsidP="005A1E58">
      <w:pPr>
        <w:pStyle w:val="Subheading"/>
      </w:pPr>
      <w:r>
        <w:t xml:space="preserve">Current program and project oversight </w:t>
      </w:r>
    </w:p>
    <w:p w14:paraId="2E36B54C" w14:textId="37C6B052" w:rsidR="006F0C53" w:rsidRPr="00AF6D6C" w:rsidRDefault="00495241" w:rsidP="00E07CDB">
      <w:pPr>
        <w:pStyle w:val="BodyText"/>
      </w:pPr>
      <w:r>
        <w:t xml:space="preserve">As </w:t>
      </w:r>
      <w:r w:rsidR="008D663F">
        <w:t>highlighted</w:t>
      </w:r>
      <w:r>
        <w:t xml:space="preserve"> in </w:t>
      </w:r>
      <w:r w:rsidR="000E1FC1">
        <w:t xml:space="preserve">section </w:t>
      </w:r>
      <w:r>
        <w:t>6.1</w:t>
      </w:r>
      <w:r w:rsidR="006F0C53">
        <w:t xml:space="preserve">, Housing Australia established </w:t>
      </w:r>
      <w:r w:rsidR="00965745">
        <w:t xml:space="preserve">the </w:t>
      </w:r>
      <w:r w:rsidR="006F0C53">
        <w:t>Program Delivery Unit (</w:t>
      </w:r>
      <w:r w:rsidR="0005031E">
        <w:t>P</w:t>
      </w:r>
      <w:r w:rsidR="006F0C53">
        <w:t xml:space="preserve">DU) in </w:t>
      </w:r>
      <w:r w:rsidR="002C2ED6">
        <w:t>June</w:t>
      </w:r>
      <w:r w:rsidR="006F0C53">
        <w:t xml:space="preserve"> 2026. The PDU is designed to </w:t>
      </w:r>
      <w:r w:rsidR="006F0C53" w:rsidRPr="004A3C32">
        <w:t xml:space="preserve">provide independent delivery assurance across Housing Australia’s </w:t>
      </w:r>
      <w:r w:rsidR="006F0C53" w:rsidRPr="00743D87">
        <w:t>HAFF</w:t>
      </w:r>
      <w:r w:rsidR="00E92763" w:rsidRPr="00743D87">
        <w:t>F and NHAF</w:t>
      </w:r>
      <w:r w:rsidR="006F0C53" w:rsidRPr="00743D87">
        <w:t xml:space="preserve"> funded housing portfolio</w:t>
      </w:r>
      <w:r w:rsidR="006F0C53" w:rsidRPr="004A3C32">
        <w:t xml:space="preserve"> by monitoring project progress, validating project data, forecasting delivery outcomes, managing construction-related risks, and supporting intervention where time, cost or safety risks emerg</w:t>
      </w:r>
      <w:r w:rsidR="006F0C53">
        <w:t xml:space="preserve">e. This is an important development in Housing Australia </w:t>
      </w:r>
      <w:r w:rsidR="00B05C61">
        <w:t>as it strives</w:t>
      </w:r>
      <w:r w:rsidR="006F0C53">
        <w:t xml:space="preserve"> to meet its delivery obligations. </w:t>
      </w:r>
    </w:p>
    <w:p w14:paraId="03D5F10A" w14:textId="2810585A" w:rsidR="006F0C53" w:rsidRDefault="00F35C98" w:rsidP="006F0C53">
      <w:pPr>
        <w:pStyle w:val="BodyText"/>
      </w:pPr>
      <w:r>
        <w:t>T</w:t>
      </w:r>
      <w:r w:rsidR="00234EC2">
        <w:t>he SRT</w:t>
      </w:r>
      <w:r w:rsidR="00A93816">
        <w:t xml:space="preserve"> was revised</w:t>
      </w:r>
      <w:r>
        <w:t xml:space="preserve"> in </w:t>
      </w:r>
      <w:r w:rsidR="005678A0">
        <w:t>May 2026</w:t>
      </w:r>
      <w:r w:rsidR="00A93816">
        <w:t xml:space="preserve"> and introduced</w:t>
      </w:r>
      <w:r w:rsidR="00FC1B7E">
        <w:t xml:space="preserve"> </w:t>
      </w:r>
      <w:r w:rsidR="006F0C53">
        <w:t>a structured framework to monitor project delivery</w:t>
      </w:r>
      <w:r w:rsidR="00C92329">
        <w:t xml:space="preserve"> for HAFFF and NHAF projects</w:t>
      </w:r>
      <w:r w:rsidR="006F0C53">
        <w:t xml:space="preserve">, using information reported by delivery partners. </w:t>
      </w:r>
      <w:r w:rsidR="005E39C9">
        <w:t>The PDU</w:t>
      </w:r>
      <w:r w:rsidR="006F0C53">
        <w:t xml:space="preserve"> independently review</w:t>
      </w:r>
      <w:r w:rsidR="005E39C9">
        <w:t>s</w:t>
      </w:r>
      <w:r w:rsidR="006F0C53">
        <w:t xml:space="preserve"> and validate</w:t>
      </w:r>
      <w:r w:rsidR="005E39C9">
        <w:t>s</w:t>
      </w:r>
      <w:r w:rsidR="006F0C53">
        <w:t xml:space="preserve"> this information where possible, noting that the accuracy of reporting relies heavily on data </w:t>
      </w:r>
      <w:r w:rsidR="001D45DB">
        <w:t xml:space="preserve">quality and </w:t>
      </w:r>
      <w:r w:rsidR="006F0C53">
        <w:t xml:space="preserve">submission (91% submitted data in July 2026). Data reported through the SRT is critical to informing delivery progress, risks, performance forecasts and program decision making. </w:t>
      </w:r>
      <w:r w:rsidR="00AD2807">
        <w:t xml:space="preserve">To </w:t>
      </w:r>
      <w:r w:rsidR="00167606">
        <w:t xml:space="preserve">get accurate intelligence from self-reported data, </w:t>
      </w:r>
      <w:r w:rsidR="008F6195">
        <w:t>e</w:t>
      </w:r>
      <w:r w:rsidR="00A31922">
        <w:t xml:space="preserve">ffective project and program delivery management </w:t>
      </w:r>
      <w:r w:rsidR="008F6195">
        <w:t xml:space="preserve">is </w:t>
      </w:r>
      <w:r w:rsidR="00AF713A">
        <w:t>require</w:t>
      </w:r>
      <w:r w:rsidR="008F6195">
        <w:t xml:space="preserve">d, meaning </w:t>
      </w:r>
      <w:r w:rsidR="00A31922">
        <w:t xml:space="preserve">data </w:t>
      </w:r>
      <w:r w:rsidR="008F6195">
        <w:t xml:space="preserve">should be </w:t>
      </w:r>
      <w:r w:rsidR="00A31922">
        <w:t xml:space="preserve">checked, monitored, </w:t>
      </w:r>
      <w:r w:rsidR="006B400D">
        <w:t>and risk</w:t>
      </w:r>
      <w:r w:rsidR="008F6195">
        <w:t>s should be identified and</w:t>
      </w:r>
      <w:r w:rsidR="006B400D">
        <w:t xml:space="preserve"> managed </w:t>
      </w:r>
      <w:r w:rsidR="008F6195">
        <w:t>to maximise data confi</w:t>
      </w:r>
      <w:r w:rsidR="00CF29E8">
        <w:t>d</w:t>
      </w:r>
      <w:r w:rsidR="008F6195">
        <w:t>ence</w:t>
      </w:r>
      <w:r w:rsidR="006B400D">
        <w:t xml:space="preserve">. Monthly </w:t>
      </w:r>
      <w:r w:rsidR="00461221">
        <w:t xml:space="preserve">SRT </w:t>
      </w:r>
      <w:r w:rsidR="006B400D">
        <w:t>reporting has commenced with further work planned to improve data definitions and SRT user understanding of the tool, which is only in its second month of use.</w:t>
      </w:r>
    </w:p>
    <w:p w14:paraId="5E381E09" w14:textId="4BF3FB40" w:rsidR="00B87471" w:rsidRDefault="00B87471" w:rsidP="009E57E3">
      <w:pPr>
        <w:pStyle w:val="BodyText"/>
      </w:pPr>
      <w:r w:rsidRPr="00511CAB">
        <w:rPr>
          <w:rFonts w:asciiTheme="minorHAnsi" w:hAnsiTheme="minorHAnsi"/>
          <w:color w:val="auto"/>
        </w:rPr>
        <w:t>Given</w:t>
      </w:r>
      <w:r w:rsidRPr="00C0173F">
        <w:t xml:space="preserve"> the </w:t>
      </w:r>
      <w:r>
        <w:t xml:space="preserve">increasing focus </w:t>
      </w:r>
      <w:r w:rsidR="00FF7EC5">
        <w:t>on</w:t>
      </w:r>
      <w:r>
        <w:t xml:space="preserve"> Housing Australia’s</w:t>
      </w:r>
      <w:r w:rsidRPr="00511CAB">
        <w:rPr>
          <w:rFonts w:asciiTheme="minorHAnsi" w:hAnsiTheme="minorHAnsi"/>
          <w:color w:val="auto"/>
        </w:rPr>
        <w:t xml:space="preserve"> </w:t>
      </w:r>
      <w:r>
        <w:t xml:space="preserve">HAFFF </w:t>
      </w:r>
      <w:r w:rsidR="00FF7EC5">
        <w:t>and NHAF programs</w:t>
      </w:r>
      <w:r w:rsidRPr="00C0173F">
        <w:t xml:space="preserve">, the </w:t>
      </w:r>
      <w:r w:rsidR="00C0173F" w:rsidRPr="00C0173F">
        <w:t xml:space="preserve">Board’s </w:t>
      </w:r>
      <w:r w:rsidRPr="00C0173F">
        <w:t xml:space="preserve">agenda </w:t>
      </w:r>
      <w:r>
        <w:t xml:space="preserve">has </w:t>
      </w:r>
      <w:r w:rsidR="006E27A0">
        <w:t>tended to focus on</w:t>
      </w:r>
      <w:r w:rsidRPr="00511CAB">
        <w:rPr>
          <w:rFonts w:asciiTheme="minorHAnsi" w:hAnsiTheme="minorHAnsi"/>
          <w:color w:val="auto"/>
        </w:rPr>
        <w:t xml:space="preserve"> </w:t>
      </w:r>
      <w:r w:rsidR="00C0173F" w:rsidRPr="00C0173F">
        <w:t>approving</w:t>
      </w:r>
      <w:r w:rsidRPr="00C0173F">
        <w:t xml:space="preserve"> individual transactions </w:t>
      </w:r>
      <w:r w:rsidR="00C0173F" w:rsidRPr="00C0173F">
        <w:t xml:space="preserve">rather than </w:t>
      </w:r>
      <w:r w:rsidR="006332AE">
        <w:t>a</w:t>
      </w:r>
      <w:r>
        <w:t>dopting a</w:t>
      </w:r>
      <w:r w:rsidRPr="00C0173F">
        <w:t xml:space="preserve"> whole</w:t>
      </w:r>
      <w:r w:rsidR="00C0173F" w:rsidRPr="00C0173F">
        <w:t>-</w:t>
      </w:r>
      <w:r w:rsidRPr="00C0173F">
        <w:t>of</w:t>
      </w:r>
      <w:r w:rsidR="00C0173F" w:rsidRPr="00C0173F">
        <w:t>-</w:t>
      </w:r>
      <w:r w:rsidRPr="00C0173F">
        <w:t>program view</w:t>
      </w:r>
      <w:r>
        <w:t xml:space="preserve">. This </w:t>
      </w:r>
      <w:r w:rsidR="002677FB">
        <w:t xml:space="preserve">limits </w:t>
      </w:r>
      <w:r>
        <w:t>oversight</w:t>
      </w:r>
      <w:r w:rsidR="006332AE">
        <w:t xml:space="preserve"> </w:t>
      </w:r>
      <w:r>
        <w:t xml:space="preserve">of </w:t>
      </w:r>
      <w:r w:rsidRPr="00C0173F">
        <w:t>program</w:t>
      </w:r>
      <w:r w:rsidR="00C0173F" w:rsidRPr="00C0173F">
        <w:t>-wide</w:t>
      </w:r>
      <w:r w:rsidRPr="00C0173F">
        <w:t xml:space="preserve"> risks, </w:t>
      </w:r>
      <w:r w:rsidR="00C0173F" w:rsidRPr="00C0173F">
        <w:t xml:space="preserve">confidence in </w:t>
      </w:r>
      <w:r w:rsidR="002677FB" w:rsidRPr="00C0173F">
        <w:t>achieving</w:t>
      </w:r>
      <w:r w:rsidR="00C0173F" w:rsidRPr="00C0173F">
        <w:t xml:space="preserve"> delivery targets</w:t>
      </w:r>
      <w:r w:rsidR="002677FB">
        <w:t>,</w:t>
      </w:r>
      <w:r w:rsidRPr="00C0173F">
        <w:t xml:space="preserve"> and the need for contingency </w:t>
      </w:r>
      <w:r w:rsidR="00C0173F" w:rsidRPr="00C0173F">
        <w:t>measures</w:t>
      </w:r>
      <w:r w:rsidRPr="00C0173F">
        <w:t xml:space="preserve"> or risk </w:t>
      </w:r>
      <w:r w:rsidR="00C0173F" w:rsidRPr="00C0173F">
        <w:t>remediation. Housing Australia has recently commenced developing</w:t>
      </w:r>
      <w:r w:rsidRPr="00511CAB">
        <w:rPr>
          <w:rFonts w:asciiTheme="minorHAnsi" w:hAnsiTheme="minorHAnsi"/>
          <w:color w:val="auto"/>
        </w:rPr>
        <w:t xml:space="preserve"> a</w:t>
      </w:r>
      <w:r w:rsidR="00327BE8">
        <w:t xml:space="preserve"> </w:t>
      </w:r>
      <w:r w:rsidRPr="00C0173F">
        <w:t xml:space="preserve">delivery </w:t>
      </w:r>
      <w:r w:rsidR="00C0173F" w:rsidRPr="00C0173F">
        <w:t xml:space="preserve">forecast </w:t>
      </w:r>
      <w:r w:rsidRPr="00511CAB">
        <w:rPr>
          <w:rFonts w:asciiTheme="minorHAnsi" w:hAnsiTheme="minorHAnsi"/>
          <w:color w:val="auto"/>
        </w:rPr>
        <w:t xml:space="preserve">covering all three </w:t>
      </w:r>
      <w:r w:rsidR="00C0173F" w:rsidRPr="00C0173F">
        <w:t xml:space="preserve">HAFFF funding </w:t>
      </w:r>
      <w:r w:rsidRPr="00511CAB">
        <w:rPr>
          <w:rFonts w:asciiTheme="minorHAnsi" w:hAnsiTheme="minorHAnsi"/>
          <w:color w:val="auto"/>
        </w:rPr>
        <w:t>rounds</w:t>
      </w:r>
      <w:r w:rsidR="00C0173F" w:rsidRPr="00C0173F">
        <w:t xml:space="preserve">, including </w:t>
      </w:r>
      <w:r w:rsidRPr="00511CAB">
        <w:rPr>
          <w:rFonts w:asciiTheme="minorHAnsi" w:hAnsiTheme="minorHAnsi"/>
          <w:color w:val="auto"/>
        </w:rPr>
        <w:t xml:space="preserve">the full forward pipeline and anticipated project </w:t>
      </w:r>
      <w:r w:rsidR="00C0173F" w:rsidRPr="00C0173F">
        <w:t>risks</w:t>
      </w:r>
      <w:r w:rsidRPr="00511CAB">
        <w:rPr>
          <w:rFonts w:asciiTheme="minorHAnsi" w:hAnsiTheme="minorHAnsi"/>
          <w:color w:val="auto"/>
        </w:rPr>
        <w:t xml:space="preserve"> and attrition</w:t>
      </w:r>
      <w:r w:rsidR="00C0173F" w:rsidRPr="00C0173F">
        <w:t xml:space="preserve">. This work </w:t>
      </w:r>
      <w:r>
        <w:t xml:space="preserve">should be prioritised for reporting to the </w:t>
      </w:r>
      <w:r w:rsidR="00C0173F" w:rsidRPr="00C0173F">
        <w:t>Board as</w:t>
      </w:r>
      <w:r w:rsidRPr="00C0173F">
        <w:t xml:space="preserve"> </w:t>
      </w:r>
      <w:r w:rsidRPr="00511CAB">
        <w:rPr>
          <w:rFonts w:asciiTheme="minorHAnsi" w:hAnsiTheme="minorHAnsi"/>
          <w:color w:val="auto"/>
        </w:rPr>
        <w:t xml:space="preserve">a matter of urgency, </w:t>
      </w:r>
      <w:r w:rsidR="00C0173F" w:rsidRPr="00C0173F">
        <w:t xml:space="preserve">with clear disclosure of </w:t>
      </w:r>
      <w:r w:rsidRPr="00511CAB">
        <w:rPr>
          <w:rFonts w:asciiTheme="minorHAnsi" w:hAnsiTheme="minorHAnsi"/>
          <w:color w:val="auto"/>
        </w:rPr>
        <w:t xml:space="preserve">the assumptions </w:t>
      </w:r>
      <w:r w:rsidR="00C0173F" w:rsidRPr="00C0173F">
        <w:t>underpinning</w:t>
      </w:r>
      <w:r w:rsidRPr="00511CAB">
        <w:rPr>
          <w:rFonts w:asciiTheme="minorHAnsi" w:hAnsiTheme="minorHAnsi"/>
          <w:color w:val="auto"/>
        </w:rPr>
        <w:t xml:space="preserve"> the forecast.</w:t>
      </w:r>
    </w:p>
    <w:p w14:paraId="514531BD" w14:textId="23C5C62B" w:rsidR="006F0C53" w:rsidRDefault="00381DE4" w:rsidP="00CE474E">
      <w:pPr>
        <w:pStyle w:val="Subheading"/>
      </w:pPr>
      <w:r>
        <w:t>Adopting p</w:t>
      </w:r>
      <w:r w:rsidR="006F0C53">
        <w:t>rogram and project management disciplines</w:t>
      </w:r>
    </w:p>
    <w:p w14:paraId="02F81844" w14:textId="5A1AD60E" w:rsidR="007105B5" w:rsidRDefault="00E0359E" w:rsidP="00B2616A">
      <w:pPr>
        <w:pStyle w:val="BodyText"/>
      </w:pPr>
      <w:r>
        <w:t xml:space="preserve">The establishment of the PDU, introduction of the SRT and commencement of program forecasting provide a basis for stronger </w:t>
      </w:r>
      <w:r w:rsidR="00501B17">
        <w:t xml:space="preserve">program </w:t>
      </w:r>
      <w:r w:rsidR="001E36FC">
        <w:t>and project</w:t>
      </w:r>
      <w:r w:rsidR="00501B17">
        <w:t xml:space="preserve"> </w:t>
      </w:r>
      <w:r>
        <w:t>delivery oversight.</w:t>
      </w:r>
      <w:r w:rsidDel="009E2370">
        <w:t xml:space="preserve"> </w:t>
      </w:r>
      <w:r w:rsidR="007105B5">
        <w:t>However, e</w:t>
      </w:r>
      <w:r w:rsidR="00B2616A">
        <w:t>ffective delivery of a construction project portfolio such as Housing Australia’s requires disciplined portfolio, program and project management.</w:t>
      </w:r>
    </w:p>
    <w:p w14:paraId="3F470A57" w14:textId="5292B2F2" w:rsidR="00B2616A" w:rsidRDefault="00B2616A" w:rsidP="00B2616A">
      <w:pPr>
        <w:pStyle w:val="BodyText"/>
        <w:rPr>
          <w:kern w:val="2"/>
          <w:lang w:eastAsia="en-AU"/>
          <w14:ligatures w14:val="standardContextual"/>
        </w:rPr>
      </w:pPr>
      <w:r>
        <w:t xml:space="preserve"> As currently occurs, each project should have an agreed baseline covering scope, key approvals, contract and financial close, construction commencement, practical completion, dwelling outcomes and budget. </w:t>
      </w:r>
      <w:r w:rsidR="00947873">
        <w:t>Additionally, a</w:t>
      </w:r>
      <w:r>
        <w:t>ctual program performance should be tracked</w:t>
      </w:r>
      <w:r w:rsidR="005814A7">
        <w:t xml:space="preserve"> and reported</w:t>
      </w:r>
      <w:r>
        <w:t xml:space="preserve"> monthly, with material movements analysed. Project schedules, risks, issues and dependencies should also be aggregated to inform bottom-up risk adjusted program and portfolio forecasts, delivery-confidence assessments, and early warning of systemic constraints or off-track performance that may trigger contingency plans or options.</w:t>
      </w:r>
    </w:p>
    <w:p w14:paraId="236487FE" w14:textId="3573855B" w:rsidR="00B2616A" w:rsidRDefault="00B2616A" w:rsidP="00B2616A">
      <w:pPr>
        <w:pStyle w:val="BodyText"/>
        <w:rPr>
          <w:kern w:val="2"/>
          <w:lang w:eastAsia="en-AU"/>
          <w14:ligatures w14:val="standardContextual"/>
        </w:rPr>
      </w:pPr>
      <w:r>
        <w:t xml:space="preserve">The above attributes are consistent with the practices recommended by the </w:t>
      </w:r>
      <w:hyperlink r:id="rId13" w:tgtFrame="_blank" w:history="1">
        <w:r>
          <w:rPr>
            <w:rStyle w:val="Hyperlink"/>
          </w:rPr>
          <w:t>APS Program and Project Management Framework</w:t>
        </w:r>
      </w:hyperlink>
      <w:r>
        <w:t>,</w:t>
      </w:r>
      <w:r w:rsidR="00D60878">
        <w:rPr>
          <w:rStyle w:val="FootnoteReference"/>
        </w:rPr>
        <w:footnoteReference w:id="5"/>
      </w:r>
      <w:r>
        <w:t xml:space="preserve"> which emphasises lifecycle planning, governance, risk, evidence-based decision-making and benefits realisation, and the </w:t>
      </w:r>
      <w:hyperlink r:id="rId14" w:tgtFrame="_blank" w:history="1">
        <w:r>
          <w:rPr>
            <w:rStyle w:val="Hyperlink"/>
          </w:rPr>
          <w:t>Australian Government Assurance Reviews guidance</w:t>
        </w:r>
      </w:hyperlink>
      <w:r>
        <w:t>.</w:t>
      </w:r>
      <w:r w:rsidR="00E24D27">
        <w:rPr>
          <w:rStyle w:val="FootnoteReference"/>
        </w:rPr>
        <w:footnoteReference w:id="6"/>
      </w:r>
      <w:r>
        <w:t xml:space="preserve"> They are also consistent with the </w:t>
      </w:r>
      <w:hyperlink r:id="rId15" w:tgtFrame="_blank" w:history="1">
        <w:r>
          <w:rPr>
            <w:rStyle w:val="Hyperlink"/>
          </w:rPr>
          <w:t>UK Government Project Delivery Functional Standard</w:t>
        </w:r>
      </w:hyperlink>
      <w:r>
        <w:t>,</w:t>
      </w:r>
      <w:r w:rsidR="00B45720">
        <w:rPr>
          <w:rStyle w:val="FootnoteReference"/>
        </w:rPr>
        <w:footnoteReference w:id="7"/>
      </w:r>
      <w:r>
        <w:t xml:space="preserve"> which integrates governance, portfolio management, planning, control and assurance.</w:t>
      </w:r>
    </w:p>
    <w:p w14:paraId="35E6B02F" w14:textId="3B5EC17D" w:rsidR="00334E97" w:rsidRDefault="00334E97" w:rsidP="00334E97">
      <w:pPr>
        <w:pStyle w:val="Subheading"/>
        <w:rPr>
          <w:lang w:eastAsia="en-AU"/>
        </w:rPr>
      </w:pPr>
      <w:r>
        <w:rPr>
          <w:lang w:eastAsia="en-AU"/>
        </w:rPr>
        <w:lastRenderedPageBreak/>
        <w:t xml:space="preserve">Housing Delivery Unit </w:t>
      </w:r>
    </w:p>
    <w:p w14:paraId="46D282A0" w14:textId="77777777" w:rsidR="00F0724B" w:rsidRDefault="00F0724B" w:rsidP="00F0724B">
      <w:pPr>
        <w:pStyle w:val="BodyText"/>
      </w:pPr>
      <w:r>
        <w:t xml:space="preserve">While Housing Australia works through partnerships to build dwellings, it will be held accountable for housing delivery and therefore requires the dedication and skills of a housing delivery unit. At present responsibility </w:t>
      </w:r>
      <w:r w:rsidRPr="00092466">
        <w:t>for</w:t>
      </w:r>
      <w:r>
        <w:t xml:space="preserve"> program and project management, governance and reporting, ongoing delivery forecasting, risk management</w:t>
      </w:r>
      <w:r w:rsidRPr="00092466">
        <w:t>,</w:t>
      </w:r>
      <w:r w:rsidRPr="00024F42">
        <w:t xml:space="preserve"> contingency</w:t>
      </w:r>
      <w:r>
        <w:t xml:space="preserve"> planning, state and territory relationships, CHP capability support, and targeted interventions to support delivery, remains dispersed throughout the business. However, as the HAFFF and NHAF progress to be large-scale delivery programs, these functions should be consolidated within a dedicated Housing Delivery Unit that incorporates the existing PDU. </w:t>
      </w:r>
    </w:p>
    <w:p w14:paraId="556596A3" w14:textId="216CFDD8" w:rsidR="00D05DF8" w:rsidRDefault="00F0724B" w:rsidP="00511CAB">
      <w:pPr>
        <w:pStyle w:val="BodyText"/>
      </w:pPr>
      <w:r>
        <w:t>A</w:t>
      </w:r>
      <w:r w:rsidR="00D05DF8" w:rsidRPr="002276D2">
        <w:t xml:space="preserve"> Housing Delivery Unit would embed consistent portfolio, program and project management disciplines and provide a portfolio-wide view of performance. It would be accountable for portfolio and program reporting, delivery forecasting and risk assessment, contingency planning, strategic relationships with state and territory housing entities, CHP capability support</w:t>
      </w:r>
      <w:r w:rsidR="00D6155E">
        <w:t>,</w:t>
      </w:r>
      <w:r w:rsidR="00D05DF8" w:rsidRPr="002276D2">
        <w:t xml:space="preserve"> </w:t>
      </w:r>
      <w:r w:rsidR="00D6155E">
        <w:rPr>
          <w:kern w:val="2"/>
          <w:lang w:eastAsia="en-AU"/>
          <w14:ligatures w14:val="standardContextual"/>
        </w:rPr>
        <w:t>management and reporting of delivery safety</w:t>
      </w:r>
      <w:r w:rsidR="00D05DF8" w:rsidRPr="002276D2">
        <w:t xml:space="preserve"> and targeted delivery interventions. This would enable Housing Australia to move beyond oversight of individual projects, identify emerging risks and opportunities, and track and support progress towards Government housing objectives at program and portfolio level.</w:t>
      </w:r>
    </w:p>
    <w:p w14:paraId="2A6BA94E" w14:textId="09DED360" w:rsidR="00927A36" w:rsidRDefault="00846D94" w:rsidP="00FA2748">
      <w:pPr>
        <w:pStyle w:val="BodyText"/>
      </w:pPr>
      <w:r>
        <w:t xml:space="preserve">The Housing Delivery Unit </w:t>
      </w:r>
      <w:r w:rsidR="00DB50BA">
        <w:t xml:space="preserve">should </w:t>
      </w:r>
      <w:r>
        <w:t xml:space="preserve">operate alongside Housing Australia’s established financial and commercial functions, providing a complementary but distinct capability. Building on the existing financial acumen, the unit </w:t>
      </w:r>
      <w:r w:rsidR="00045C69">
        <w:t>would work</w:t>
      </w:r>
      <w:r w:rsidR="00DB50BA">
        <w:t xml:space="preserve"> to </w:t>
      </w:r>
      <w:r>
        <w:t xml:space="preserve">strengthen the organisation’s ability to deliver complex programs and projects, enhancing end-to-end housing delivery outcomes. </w:t>
      </w:r>
    </w:p>
    <w:p w14:paraId="1B7139F7" w14:textId="77D3723C" w:rsidR="00DF19C3" w:rsidRDefault="003C68A0" w:rsidP="00511CAB">
      <w:pPr>
        <w:pStyle w:val="Subheading"/>
        <w:rPr>
          <w:lang w:eastAsia="en-AU"/>
        </w:rPr>
      </w:pPr>
      <w:r>
        <w:rPr>
          <w:lang w:eastAsia="en-AU"/>
        </w:rPr>
        <w:t>Deputy CEO</w:t>
      </w:r>
    </w:p>
    <w:p w14:paraId="4B3C6256" w14:textId="51A7BD94" w:rsidR="00C95DFB" w:rsidRPr="009538AB" w:rsidRDefault="00D54F26" w:rsidP="004E446B">
      <w:pPr>
        <w:pStyle w:val="BodyText"/>
      </w:pPr>
      <w:r w:rsidRPr="00475B90">
        <w:t>The Housing Delivery unit should be led by a new Deputy CEO or equivalent</w:t>
      </w:r>
      <w:r w:rsidR="00F725E9" w:rsidRPr="00475B90">
        <w:t xml:space="preserve"> senior </w:t>
      </w:r>
      <w:r w:rsidR="002D6F9C" w:rsidRPr="00475B90">
        <w:t>leader</w:t>
      </w:r>
      <w:r w:rsidR="00F725E9" w:rsidRPr="00475B90">
        <w:t xml:space="preserve">, with experience delivering complex construction or infrastructure programs </w:t>
      </w:r>
      <w:r w:rsidR="00805BE0" w:rsidRPr="00475B90">
        <w:t xml:space="preserve">in a public sector context. </w:t>
      </w:r>
      <w:r w:rsidR="00542A05" w:rsidRPr="00475B90">
        <w:t>Th</w:t>
      </w:r>
      <w:r w:rsidR="002B2946">
        <w:t>is</w:t>
      </w:r>
      <w:r w:rsidR="00542A05" w:rsidRPr="00475B90">
        <w:t xml:space="preserve"> role would strengthen the executive leadership team</w:t>
      </w:r>
      <w:r w:rsidR="002D6F9C" w:rsidRPr="00475B90">
        <w:t xml:space="preserve">, increase organisational resilience and capability, </w:t>
      </w:r>
      <w:r w:rsidR="00861BCF">
        <w:t xml:space="preserve">support </w:t>
      </w:r>
      <w:r w:rsidR="005A3B37">
        <w:t>establishm</w:t>
      </w:r>
      <w:r w:rsidR="00AF24C3">
        <w:t>ent and maintenance of strong stakeholder relationships</w:t>
      </w:r>
      <w:r w:rsidR="002D6F9C" w:rsidRPr="00475B90">
        <w:t xml:space="preserve"> and provide sustained executive focus on Housing Australia’s delivery responsibilities as a public sector entity with significant</w:t>
      </w:r>
      <w:r w:rsidR="00475B90" w:rsidRPr="00475B90">
        <w:t xml:space="preserve"> </w:t>
      </w:r>
      <w:r w:rsidR="002D6F9C" w:rsidRPr="00475B90">
        <w:t xml:space="preserve">reporting obligations. </w:t>
      </w:r>
      <w:r w:rsidR="00613887">
        <w:t>It</w:t>
      </w:r>
      <w:r w:rsidR="00C95DFB" w:rsidRPr="009538AB">
        <w:t xml:space="preserve"> would also </w:t>
      </w:r>
      <w:r w:rsidR="00FE6A55">
        <w:t>support</w:t>
      </w:r>
      <w:r w:rsidR="00C95DFB" w:rsidRPr="009538AB">
        <w:t xml:space="preserve"> executive continuity and CEO succession planning. </w:t>
      </w:r>
    </w:p>
    <w:p w14:paraId="110CD0BF" w14:textId="0E8183F2" w:rsidR="00542A05" w:rsidRPr="0020500C" w:rsidRDefault="00542A05" w:rsidP="004E446B">
      <w:pPr>
        <w:pStyle w:val="BodyText"/>
      </w:pPr>
      <w:r w:rsidRPr="0020500C">
        <w:t xml:space="preserve">The Deputy CEO </w:t>
      </w:r>
      <w:r w:rsidR="008E262C" w:rsidRPr="0020500C">
        <w:t xml:space="preserve">as lead of the Housing Delivery Unit </w:t>
      </w:r>
      <w:r w:rsidRPr="0020500C">
        <w:t xml:space="preserve">should have </w:t>
      </w:r>
      <w:r w:rsidR="00FC7535" w:rsidRPr="0020500C">
        <w:t xml:space="preserve">a broad, </w:t>
      </w:r>
      <w:r w:rsidR="003B315A" w:rsidRPr="0020500C">
        <w:t>enterprise</w:t>
      </w:r>
      <w:r w:rsidRPr="0020500C">
        <w:t>-wide remit</w:t>
      </w:r>
      <w:r w:rsidR="00FC7535" w:rsidRPr="0020500C">
        <w:t xml:space="preserve">. In addition to </w:t>
      </w:r>
      <w:r w:rsidR="0047054D" w:rsidRPr="0020500C">
        <w:t xml:space="preserve">overseeing the </w:t>
      </w:r>
      <w:r w:rsidR="00BD39D4" w:rsidRPr="0020500C">
        <w:t xml:space="preserve">existing </w:t>
      </w:r>
      <w:r w:rsidR="0047054D" w:rsidRPr="0020500C">
        <w:t xml:space="preserve">PDU, the role </w:t>
      </w:r>
      <w:r w:rsidR="003A21EC" w:rsidRPr="0020500C">
        <w:t xml:space="preserve">and </w:t>
      </w:r>
      <w:r w:rsidR="00716B08" w:rsidRPr="0020500C">
        <w:t>Housing Delivery Unit</w:t>
      </w:r>
      <w:r w:rsidR="0047054D" w:rsidRPr="0020500C">
        <w:t xml:space="preserve"> should work </w:t>
      </w:r>
      <w:r w:rsidR="008058CC" w:rsidRPr="0020500C">
        <w:t>with</w:t>
      </w:r>
      <w:r w:rsidR="0047054D" w:rsidRPr="0020500C">
        <w:t xml:space="preserve"> existing </w:t>
      </w:r>
      <w:r w:rsidR="008058CC" w:rsidRPr="0020500C">
        <w:t>program</w:t>
      </w:r>
      <w:r w:rsidR="0047054D" w:rsidRPr="0020500C">
        <w:t xml:space="preserve"> </w:t>
      </w:r>
      <w:r w:rsidR="00140F7A" w:rsidRPr="0020500C">
        <w:t>focused teams</w:t>
      </w:r>
      <w:r w:rsidR="0047054D" w:rsidRPr="0020500C">
        <w:t xml:space="preserve"> to embed delivery capability, governance</w:t>
      </w:r>
      <w:r w:rsidR="0020500C" w:rsidRPr="0020500C">
        <w:t>.</w:t>
      </w:r>
      <w:r w:rsidR="00CB34E3" w:rsidRPr="0020500C">
        <w:t xml:space="preserve"> This should include appropriate oversight of </w:t>
      </w:r>
      <w:r w:rsidR="0020500C" w:rsidRPr="0020500C">
        <w:t xml:space="preserve">program related </w:t>
      </w:r>
      <w:r w:rsidR="00CB34E3" w:rsidRPr="0020500C">
        <w:t xml:space="preserve">safety risks and performance across all Housing Australia supported project delivery. </w:t>
      </w:r>
    </w:p>
    <w:p w14:paraId="01DC3CF1" w14:textId="4E665C8B" w:rsidR="00CB34E3" w:rsidRDefault="00844B51" w:rsidP="004E446B">
      <w:pPr>
        <w:pStyle w:val="BodyText"/>
      </w:pPr>
      <w:r w:rsidRPr="007D42A8">
        <w:t xml:space="preserve">Establishing the position would require careful definition of responsibilities, reporting lines and relationships across the </w:t>
      </w:r>
      <w:r w:rsidR="00752AC6" w:rsidRPr="007D42A8">
        <w:t>e</w:t>
      </w:r>
      <w:r w:rsidRPr="007D42A8">
        <w:t xml:space="preserve">xecutive </w:t>
      </w:r>
      <w:r w:rsidR="00752AC6" w:rsidRPr="007D42A8">
        <w:t>l</w:t>
      </w:r>
      <w:r w:rsidRPr="007D42A8">
        <w:t xml:space="preserve">eadership </w:t>
      </w:r>
      <w:r w:rsidR="00752AC6" w:rsidRPr="007D42A8">
        <w:t>t</w:t>
      </w:r>
      <w:r w:rsidRPr="007D42A8">
        <w:t>eam. Clear interfaces with existing functions would be important to ensure the Deputy CEO strengthens organisation-wide decision-making and accountability without duplicating established financial, commercial, risk</w:t>
      </w:r>
      <w:r w:rsidR="00427FDB" w:rsidRPr="007D42A8">
        <w:t>,</w:t>
      </w:r>
      <w:r w:rsidRPr="007D42A8">
        <w:t xml:space="preserve"> or operational responsibilities.</w:t>
      </w:r>
    </w:p>
    <w:p w14:paraId="08E690A3" w14:textId="01E60952" w:rsidR="006F0C53" w:rsidRPr="005E379D" w:rsidRDefault="00280FD5" w:rsidP="003473FB">
      <w:pPr>
        <w:pStyle w:val="Heading2"/>
      </w:pPr>
      <w:bookmarkStart w:id="32" w:name="_Toc238194650"/>
      <w:bookmarkStart w:id="33" w:name="_Toc238195042"/>
      <w:bookmarkStart w:id="34" w:name="_Toc238194651"/>
      <w:bookmarkStart w:id="35" w:name="_Toc238195043"/>
      <w:bookmarkStart w:id="36" w:name="_Toc238194652"/>
      <w:bookmarkStart w:id="37" w:name="_Toc238195044"/>
      <w:bookmarkStart w:id="38" w:name="_Toc238805489"/>
      <w:bookmarkEnd w:id="32"/>
      <w:bookmarkEnd w:id="33"/>
      <w:bookmarkEnd w:id="34"/>
      <w:bookmarkEnd w:id="35"/>
      <w:bookmarkEnd w:id="36"/>
      <w:bookmarkEnd w:id="37"/>
      <w:r>
        <w:t>Program delivery risk and contingency planning</w:t>
      </w:r>
      <w:bookmarkEnd w:id="38"/>
      <w:r>
        <w:t xml:space="preserve"> </w:t>
      </w:r>
    </w:p>
    <w:p w14:paraId="0919F344" w14:textId="06E2BCDA" w:rsidR="002B49FE" w:rsidRDefault="002B49FE" w:rsidP="009B7D41">
      <w:pPr>
        <w:pStyle w:val="BodyText"/>
        <w:rPr>
          <w:kern w:val="2"/>
          <w:lang w:eastAsia="en-AU"/>
          <w14:ligatures w14:val="standardContextual"/>
        </w:rPr>
      </w:pPr>
      <w:r>
        <w:t>As HAFF</w:t>
      </w:r>
      <w:r w:rsidR="00A0398C">
        <w:t>F</w:t>
      </w:r>
      <w:r>
        <w:t xml:space="preserve"> and NHAF projects move from </w:t>
      </w:r>
      <w:r w:rsidR="00877279">
        <w:t xml:space="preserve">the </w:t>
      </w:r>
      <w:r>
        <w:t>assessment and contracting</w:t>
      </w:r>
      <w:r w:rsidR="00877279">
        <w:t xml:space="preserve"> phase</w:t>
      </w:r>
      <w:r>
        <w:t xml:space="preserve"> into delivery, the Board and management require a consolidated view of program delivery risk in addition to oversight of individual projects. Current </w:t>
      </w:r>
      <w:r w:rsidR="00130145">
        <w:t>Board and management</w:t>
      </w:r>
      <w:r>
        <w:t xml:space="preserve"> reporting provides visibility by funding round and program, but does not yet provide a regularly updated, whole-of-program assessment of delivery confidence, risks, emerging trends</w:t>
      </w:r>
      <w:r w:rsidR="00B67364">
        <w:t>, actual progress and updated forecasts across detailed delivery stages against bas</w:t>
      </w:r>
      <w:r w:rsidR="0061717E">
        <w:t xml:space="preserve">eline forecasts to achieve </w:t>
      </w:r>
      <w:r>
        <w:t>Government housing targets</w:t>
      </w:r>
      <w:r w:rsidDel="002D1AEA">
        <w:t xml:space="preserve">. </w:t>
      </w:r>
      <w:r w:rsidR="00856384">
        <w:t xml:space="preserve"> </w:t>
      </w:r>
      <w:r>
        <w:t xml:space="preserve">Committed funding </w:t>
      </w:r>
      <w:r w:rsidR="00F24121">
        <w:t xml:space="preserve">progress is reported </w:t>
      </w:r>
      <w:r w:rsidR="00A15789">
        <w:t>through</w:t>
      </w:r>
      <w:r w:rsidR="000D1272">
        <w:t xml:space="preserve"> to the</w:t>
      </w:r>
      <w:r w:rsidR="00A15789">
        <w:t xml:space="preserve"> Board and management, </w:t>
      </w:r>
      <w:r w:rsidR="00F24121">
        <w:t>b</w:t>
      </w:r>
      <w:r w:rsidR="00A15789">
        <w:t>ut</w:t>
      </w:r>
      <w:r w:rsidR="00F24121">
        <w:t xml:space="preserve"> not</w:t>
      </w:r>
      <w:r>
        <w:t xml:space="preserve"> against annual </w:t>
      </w:r>
      <w:r w:rsidR="007F3FA2">
        <w:t xml:space="preserve">or </w:t>
      </w:r>
      <w:r>
        <w:t>total program budgets.</w:t>
      </w:r>
    </w:p>
    <w:p w14:paraId="66DFDE95" w14:textId="3EF53815" w:rsidR="00B37BCD" w:rsidRDefault="002B49FE" w:rsidP="009B7D41">
      <w:pPr>
        <w:pStyle w:val="BodyText"/>
        <w:rPr>
          <w:kern w:val="2"/>
          <w:lang w:eastAsia="en-AU"/>
          <w14:ligatures w14:val="standardContextual"/>
        </w:rPr>
      </w:pPr>
      <w:r w:rsidRPr="000159D3">
        <w:t>Management</w:t>
      </w:r>
      <w:r w:rsidR="004E1679" w:rsidRPr="000159D3">
        <w:t xml:space="preserve">’s </w:t>
      </w:r>
      <w:r w:rsidRPr="000159D3">
        <w:t>program delivery performance and risk report</w:t>
      </w:r>
      <w:r w:rsidR="002A690A" w:rsidRPr="000159D3">
        <w:t>ing to the Board</w:t>
      </w:r>
      <w:r>
        <w:t xml:space="preserve"> should draw on project-level information </w:t>
      </w:r>
      <w:r w:rsidR="001A2E1F">
        <w:t xml:space="preserve">(including dwellings) </w:t>
      </w:r>
      <w:r>
        <w:t xml:space="preserve">and </w:t>
      </w:r>
      <w:r w:rsidR="008A761D">
        <w:t xml:space="preserve">risk </w:t>
      </w:r>
      <w:r w:rsidR="001E22B9">
        <w:t xml:space="preserve">adjusted </w:t>
      </w:r>
      <w:r>
        <w:t xml:space="preserve">forecasts described in section 7.1 and </w:t>
      </w:r>
      <w:r w:rsidR="00846032">
        <w:t xml:space="preserve">outline </w:t>
      </w:r>
      <w:r>
        <w:t xml:space="preserve">delivery confidence, material schedule movements, common constraints, budget position, emerging risks, proposed </w:t>
      </w:r>
      <w:r>
        <w:lastRenderedPageBreak/>
        <w:t>interventions and implications for achievement of program objectives.</w:t>
      </w:r>
      <w:r w:rsidR="00724556">
        <w:t xml:space="preserve"> Program delivery performance and risk reporting should be a standing item on the Board agenda.</w:t>
      </w:r>
    </w:p>
    <w:p w14:paraId="0656342A" w14:textId="46EB847B" w:rsidR="002B49FE" w:rsidRDefault="002B49FE" w:rsidP="009B7D41">
      <w:pPr>
        <w:pStyle w:val="BodyText"/>
      </w:pPr>
      <w:r>
        <w:t xml:space="preserve">Defined </w:t>
      </w:r>
      <w:r w:rsidR="00901E92">
        <w:t xml:space="preserve">risk or issue </w:t>
      </w:r>
      <w:r>
        <w:t xml:space="preserve">thresholds should trigger escalation, management intervention and consideration of contingency options. Housing Australia should also formalise engagement with </w:t>
      </w:r>
      <w:r w:rsidR="001A2E1F">
        <w:t>s</w:t>
      </w:r>
      <w:r>
        <w:t xml:space="preserve">tate and </w:t>
      </w:r>
      <w:r w:rsidR="001A2E1F">
        <w:t>t</w:t>
      </w:r>
      <w:r>
        <w:t>erritory delivery agencies to identify, escalate and resolve delivery risks, drawing on their project-level information and delivery capability where appropriate.</w:t>
      </w:r>
    </w:p>
    <w:p w14:paraId="03A00896" w14:textId="481BBA37" w:rsidR="002B49FE" w:rsidRDefault="00EA3309" w:rsidP="009B7D41">
      <w:pPr>
        <w:pStyle w:val="BodyText"/>
      </w:pPr>
      <w:r>
        <w:rPr>
          <w:kern w:val="2"/>
          <w:lang w:eastAsia="en-AU"/>
          <w14:ligatures w14:val="standardContextual"/>
        </w:rPr>
        <w:t xml:space="preserve">While </w:t>
      </w:r>
      <w:r w:rsidR="0069265A">
        <w:rPr>
          <w:kern w:val="2"/>
          <w:lang w:eastAsia="en-AU"/>
          <w14:ligatures w14:val="standardContextual"/>
        </w:rPr>
        <w:t xml:space="preserve">there are plans in </w:t>
      </w:r>
      <w:r w:rsidR="00823379">
        <w:rPr>
          <w:kern w:val="2"/>
          <w:lang w:eastAsia="en-AU"/>
          <w14:ligatures w14:val="standardContextual"/>
        </w:rPr>
        <w:t xml:space="preserve">progress to ensure achievement of the program target, </w:t>
      </w:r>
      <w:r w:rsidR="003F7473">
        <w:rPr>
          <w:kern w:val="2"/>
          <w:lang w:eastAsia="en-AU"/>
          <w14:ligatures w14:val="standardContextual"/>
        </w:rPr>
        <w:t xml:space="preserve">more comprehensive </w:t>
      </w:r>
      <w:r w:rsidR="00823379">
        <w:rPr>
          <w:kern w:val="2"/>
          <w:lang w:eastAsia="en-AU"/>
          <w14:ligatures w14:val="standardContextual"/>
        </w:rPr>
        <w:t>c</w:t>
      </w:r>
      <w:r w:rsidR="002B49FE">
        <w:t>ontingency planning should</w:t>
      </w:r>
      <w:r w:rsidR="003F7473">
        <w:t xml:space="preserve"> be prepared to</w:t>
      </w:r>
      <w:r w:rsidR="002B49FE">
        <w:t xml:space="preserve"> identify practical options, trigger points, decision requirements and implementation lead times before </w:t>
      </w:r>
      <w:r w:rsidR="00045B2E">
        <w:t xml:space="preserve">any </w:t>
      </w:r>
      <w:r w:rsidR="002B49FE">
        <w:t>delays or project attrition materially reduce</w:t>
      </w:r>
      <w:r w:rsidR="00B31B01">
        <w:t>s</w:t>
      </w:r>
      <w:r w:rsidR="002B49FE">
        <w:t xml:space="preserve"> </w:t>
      </w:r>
      <w:r w:rsidR="003473FB">
        <w:t>time available to</w:t>
      </w:r>
      <w:r w:rsidR="00B31B01">
        <w:t xml:space="preserve"> achieve program targets</w:t>
      </w:r>
      <w:r w:rsidR="002B49FE">
        <w:t xml:space="preserve">. </w:t>
      </w:r>
    </w:p>
    <w:p w14:paraId="7CB60251" w14:textId="7DC74F09" w:rsidR="00933387" w:rsidRPr="00EF31B1" w:rsidRDefault="00362B12" w:rsidP="00933387">
      <w:pPr>
        <w:pStyle w:val="Heading2"/>
      </w:pPr>
      <w:bookmarkStart w:id="39" w:name="_Toc237880617"/>
      <w:bookmarkStart w:id="40" w:name="_Toc237932767"/>
      <w:bookmarkStart w:id="41" w:name="_Toc237941036"/>
      <w:bookmarkStart w:id="42" w:name="_Toc238805490"/>
      <w:bookmarkEnd w:id="39"/>
      <w:bookmarkEnd w:id="40"/>
      <w:bookmarkEnd w:id="41"/>
      <w:r>
        <w:t>T</w:t>
      </w:r>
      <w:r w:rsidRPr="00EF31B1">
        <w:t xml:space="preserve">imeframes </w:t>
      </w:r>
      <w:r>
        <w:t>from project a</w:t>
      </w:r>
      <w:r w:rsidR="00037FF4" w:rsidRPr="00EF31B1">
        <w:t>pplication to c</w:t>
      </w:r>
      <w:r w:rsidR="00821383" w:rsidRPr="00EF31B1">
        <w:t>ontract closure</w:t>
      </w:r>
      <w:bookmarkEnd w:id="42"/>
      <w:r w:rsidR="00821383" w:rsidRPr="00EF31B1">
        <w:t xml:space="preserve"> </w:t>
      </w:r>
    </w:p>
    <w:p w14:paraId="37E14437" w14:textId="7AB1284B" w:rsidR="0064755F" w:rsidRDefault="0064755F" w:rsidP="00E07CDB">
      <w:pPr>
        <w:pStyle w:val="BodyText"/>
      </w:pPr>
      <w:r>
        <w:t xml:space="preserve">The time taken from project application to contract close must be reduced to preserve the </w:t>
      </w:r>
      <w:r w:rsidR="00C661CC">
        <w:t xml:space="preserve">HAFF </w:t>
      </w:r>
      <w:r w:rsidR="00946F11">
        <w:t xml:space="preserve">project </w:t>
      </w:r>
      <w:r>
        <w:t xml:space="preserve">delivery period available before 30 June 2029. Housing Australia expects </w:t>
      </w:r>
      <w:r w:rsidR="00DA5D83">
        <w:t>more than</w:t>
      </w:r>
      <w:r>
        <w:t xml:space="preserve"> 1</w:t>
      </w:r>
      <w:r w:rsidR="00C6532D">
        <w:t>0</w:t>
      </w:r>
      <w:r w:rsidR="00DA5D83">
        <w:t>0</w:t>
      </w:r>
      <w:r>
        <w:t xml:space="preserve"> </w:t>
      </w:r>
      <w:r w:rsidR="00415580">
        <w:t>FR03</w:t>
      </w:r>
      <w:r>
        <w:t xml:space="preserve"> projects to require approval by early 2027, </w:t>
      </w:r>
      <w:r w:rsidR="00916E3C">
        <w:t xml:space="preserve">which increases the risk of </w:t>
      </w:r>
      <w:r>
        <w:t>a material processing and governance peak</w:t>
      </w:r>
      <w:r w:rsidR="00916E3C">
        <w:t xml:space="preserve"> and backlog</w:t>
      </w:r>
      <w:r>
        <w:t xml:space="preserve">. </w:t>
      </w:r>
    </w:p>
    <w:p w14:paraId="5802CAD8" w14:textId="2249630D" w:rsidR="0064755F" w:rsidRDefault="004C19E6" w:rsidP="00E07CDB">
      <w:pPr>
        <w:pStyle w:val="BodyText"/>
      </w:pPr>
      <w:r>
        <w:t xml:space="preserve">While the adoption of standardised </w:t>
      </w:r>
      <w:r w:rsidR="00FD0754">
        <w:t>FR0</w:t>
      </w:r>
      <w:r>
        <w:t xml:space="preserve">3 contracts </w:t>
      </w:r>
      <w:r w:rsidR="00ED0548">
        <w:t>is</w:t>
      </w:r>
      <w:r>
        <w:t xml:space="preserve"> expected to reduce</w:t>
      </w:r>
      <w:r w:rsidR="00B54126">
        <w:t xml:space="preserve"> the time to cont</w:t>
      </w:r>
      <w:r>
        <w:t>ract close by two to four weeks</w:t>
      </w:r>
      <w:r w:rsidR="00B54126">
        <w:t xml:space="preserve">, stakeholder feedback suggests there are other contributing factors that may be </w:t>
      </w:r>
      <w:r w:rsidR="00CE070F">
        <w:t>addressed</w:t>
      </w:r>
      <w:r>
        <w:t>.</w:t>
      </w:r>
      <w:r w:rsidR="00CE070F">
        <w:t xml:space="preserve"> </w:t>
      </w:r>
      <w:r w:rsidR="00ED396A">
        <w:t xml:space="preserve">Some stakeholders </w:t>
      </w:r>
      <w:r w:rsidR="004D68A4">
        <w:t xml:space="preserve">observed that there may be opportunities to streamline project contractual requirements and associated documentation. </w:t>
      </w:r>
      <w:r w:rsidR="0064755F">
        <w:t>Stakeholder</w:t>
      </w:r>
      <w:r w:rsidR="00CE070F">
        <w:t>s</w:t>
      </w:r>
      <w:r w:rsidR="0064755F">
        <w:t xml:space="preserve"> </w:t>
      </w:r>
      <w:r w:rsidR="006E0193">
        <w:t>indicated</w:t>
      </w:r>
      <w:r w:rsidR="0064755F">
        <w:t xml:space="preserve"> that delays arise from repeated</w:t>
      </w:r>
      <w:r w:rsidR="00CE070F">
        <w:t xml:space="preserve"> application</w:t>
      </w:r>
      <w:r w:rsidR="0064755F">
        <w:t xml:space="preserve"> information requests and clarifications, sequential review</w:t>
      </w:r>
      <w:r w:rsidR="006E0193">
        <w:t xml:space="preserve"> processes</w:t>
      </w:r>
      <w:r w:rsidR="0064755F">
        <w:t xml:space="preserve">, limited delegations, </w:t>
      </w:r>
      <w:r w:rsidR="00092FBA">
        <w:t xml:space="preserve">and </w:t>
      </w:r>
      <w:r w:rsidR="00686F9C">
        <w:t>capability of some CHPs during contract negotiation</w:t>
      </w:r>
      <w:r w:rsidR="00C6532D">
        <w:t>s and valuation processes</w:t>
      </w:r>
      <w:r w:rsidR="0064755F">
        <w:t xml:space="preserve">. </w:t>
      </w:r>
      <w:r w:rsidR="00686F9C">
        <w:t>For example, v</w:t>
      </w:r>
      <w:r w:rsidR="0064755F">
        <w:t xml:space="preserve">aluation discussions can add three to four weeks </w:t>
      </w:r>
      <w:r w:rsidR="00F65D3B">
        <w:t xml:space="preserve">to the timeframe </w:t>
      </w:r>
      <w:r w:rsidR="0064755F">
        <w:t xml:space="preserve">and may trigger further approval </w:t>
      </w:r>
      <w:r w:rsidR="007B03C7">
        <w:t>requirements</w:t>
      </w:r>
      <w:r w:rsidR="0064755F">
        <w:t xml:space="preserve">. </w:t>
      </w:r>
      <w:r w:rsidR="0064755F" w:rsidRPr="009A1730">
        <w:t xml:space="preserve">Board approval </w:t>
      </w:r>
      <w:r w:rsidR="00F176C7">
        <w:t>of individual transactions</w:t>
      </w:r>
      <w:r w:rsidR="0064755F" w:rsidRPr="009A1730" w:rsidDel="00F176C7">
        <w:t xml:space="preserve"> </w:t>
      </w:r>
      <w:r w:rsidR="0064755F" w:rsidRPr="009A1730">
        <w:t>add</w:t>
      </w:r>
      <w:r w:rsidR="00F176C7">
        <w:t xml:space="preserve">s </w:t>
      </w:r>
      <w:r w:rsidR="009A1730" w:rsidRPr="009B7D41">
        <w:t>a minimum 14</w:t>
      </w:r>
      <w:r w:rsidR="0064755F" w:rsidRPr="00D27EFB">
        <w:t xml:space="preserve"> </w:t>
      </w:r>
      <w:r w:rsidR="0064755F" w:rsidRPr="009A1730">
        <w:t>days to relevant senior-debt transactions</w:t>
      </w:r>
      <w:r w:rsidR="007B03C7" w:rsidRPr="009A1730">
        <w:t>.</w:t>
      </w:r>
      <w:r w:rsidR="007B03C7">
        <w:t xml:space="preserve"> </w:t>
      </w:r>
    </w:p>
    <w:p w14:paraId="7E2CAAA3" w14:textId="57BDC295" w:rsidR="0064755F" w:rsidRDefault="0064755F" w:rsidP="00E07CDB">
      <w:pPr>
        <w:pStyle w:val="BodyText"/>
      </w:pPr>
      <w:r>
        <w:t xml:space="preserve">Protracted approvals and negotiations expose proponents to construction-cost escalation, interest-rate and valuation movements, increased legal and transaction costs, changes in project circumstances and potential </w:t>
      </w:r>
      <w:r w:rsidR="00F65D3B">
        <w:t xml:space="preserve">project </w:t>
      </w:r>
      <w:r>
        <w:t xml:space="preserve">withdrawal. They also compress the period available for planning, financial close and construction, increase pressure on </w:t>
      </w:r>
      <w:r w:rsidR="00F65D3B">
        <w:t>CHP</w:t>
      </w:r>
      <w:r>
        <w:t xml:space="preserve"> capacity and reduce confidence that approved projects will translate into completed homes by the target date.</w:t>
      </w:r>
    </w:p>
    <w:p w14:paraId="787CBEBC" w14:textId="2A781699" w:rsidR="00BE5605" w:rsidRDefault="0064755F" w:rsidP="009B7D41">
      <w:pPr>
        <w:pStyle w:val="BodyText"/>
      </w:pPr>
      <w:r>
        <w:t xml:space="preserve">Housing Australia should urgently streamline </w:t>
      </w:r>
      <w:r w:rsidR="00415580">
        <w:t>FR03</w:t>
      </w:r>
      <w:r>
        <w:t xml:space="preserve"> assessment and contracting by removing duplicative or immaterial </w:t>
      </w:r>
      <w:r w:rsidR="00D4511C">
        <w:t xml:space="preserve">process </w:t>
      </w:r>
      <w:r>
        <w:t xml:space="preserve">requirements, </w:t>
      </w:r>
      <w:r w:rsidR="00C02284">
        <w:t>leveraging</w:t>
      </w:r>
      <w:r>
        <w:t xml:space="preserve"> existing information</w:t>
      </w:r>
      <w:r w:rsidR="00C02284">
        <w:t xml:space="preserve"> for recurrent applicants</w:t>
      </w:r>
      <w:r>
        <w:t xml:space="preserve">, and adopting a stratified, risk-based </w:t>
      </w:r>
      <w:r w:rsidR="00786E98">
        <w:t xml:space="preserve">assessment </w:t>
      </w:r>
      <w:r>
        <w:t xml:space="preserve">approach. </w:t>
      </w:r>
      <w:r w:rsidR="00E66FA9">
        <w:t>To support streamlined timeframes, a</w:t>
      </w:r>
      <w:r>
        <w:t xml:space="preserve">pproval delegations should be </w:t>
      </w:r>
      <w:r w:rsidR="00EB0D3B">
        <w:t xml:space="preserve">reconsidered </w:t>
      </w:r>
      <w:r w:rsidR="00FD364A">
        <w:t>to support</w:t>
      </w:r>
      <w:r w:rsidR="00236E53">
        <w:t xml:space="preserve"> the Board focus on managing the broader portfolio</w:t>
      </w:r>
      <w:r w:rsidR="005502D6">
        <w:t xml:space="preserve">, </w:t>
      </w:r>
      <w:r w:rsidR="00D111EE">
        <w:t>discussed further in section 8.3.</w:t>
      </w:r>
    </w:p>
    <w:p w14:paraId="612A72AF" w14:textId="2DC516EE" w:rsidR="00F90B18" w:rsidRPr="00AE3C83" w:rsidRDefault="00A400F8" w:rsidP="006806AB">
      <w:pPr>
        <w:pStyle w:val="Heading2"/>
      </w:pPr>
      <w:bookmarkStart w:id="43" w:name="_Toc238805491"/>
      <w:r w:rsidRPr="00AE3C83">
        <w:t>Sector capability</w:t>
      </w:r>
      <w:bookmarkEnd w:id="43"/>
    </w:p>
    <w:p w14:paraId="2F836B77" w14:textId="57EFCBC6" w:rsidR="004D3AEF" w:rsidRDefault="004D3AEF" w:rsidP="00F90B18">
      <w:pPr>
        <w:pStyle w:val="BodyText"/>
      </w:pPr>
      <w:r w:rsidRPr="004D3AEF">
        <w:t xml:space="preserve">The </w:t>
      </w:r>
      <w:r>
        <w:t>community housing sector</w:t>
      </w:r>
      <w:r w:rsidR="008A5196">
        <w:t xml:space="preserve"> </w:t>
      </w:r>
      <w:r w:rsidR="0067483F">
        <w:t xml:space="preserve">has an essential role </w:t>
      </w:r>
      <w:r w:rsidR="008A5196">
        <w:t xml:space="preserve">in the successful delivery of Housing Australia’s programs. </w:t>
      </w:r>
      <w:r w:rsidR="00F94663">
        <w:t>There is a need within the sector for targeted capability uplift to strengthen capacity to deliver an increasing pipeline of housing projects</w:t>
      </w:r>
      <w:r w:rsidR="00F22662">
        <w:t>. S</w:t>
      </w:r>
      <w:r w:rsidR="00F22662" w:rsidRPr="00F22662">
        <w:t>ome</w:t>
      </w:r>
      <w:r w:rsidR="006053DA">
        <w:t xml:space="preserve"> CHPs have well-developed </w:t>
      </w:r>
      <w:r w:rsidR="00F22662" w:rsidRPr="00F22662">
        <w:t>skills in</w:t>
      </w:r>
      <w:r w:rsidR="006053DA">
        <w:t xml:space="preserve"> project delivery, financing, procurement, and stakeholder management, </w:t>
      </w:r>
      <w:r w:rsidR="00F22662" w:rsidRPr="00F22662">
        <w:t xml:space="preserve">while others have </w:t>
      </w:r>
      <w:r w:rsidR="00920106">
        <w:t xml:space="preserve">limited experience delivering </w:t>
      </w:r>
      <w:r w:rsidR="002676BF">
        <w:t>housing projects in partnership with Government</w:t>
      </w:r>
      <w:r w:rsidR="009C713D">
        <w:t>.</w:t>
      </w:r>
      <w:r w:rsidR="00AD1D6B">
        <w:t xml:space="preserve"> Under the Investment Mandate, part of Housing Australia’s role </w:t>
      </w:r>
      <w:r w:rsidR="008066BC">
        <w:t xml:space="preserve">is </w:t>
      </w:r>
      <w:r w:rsidR="00AD1D6B">
        <w:t xml:space="preserve">to provide business advisory services and other assistance </w:t>
      </w:r>
      <w:r w:rsidR="008066BC">
        <w:t>to build</w:t>
      </w:r>
      <w:r w:rsidR="00AD1D6B">
        <w:t xml:space="preserve"> the capacity of CHPs, including to further develop their financial and management capabilities.</w:t>
      </w:r>
    </w:p>
    <w:p w14:paraId="5C729CFF" w14:textId="66248F12" w:rsidR="00D84F91" w:rsidRPr="004D3AEF" w:rsidRDefault="00D84F91" w:rsidP="00F90B18">
      <w:pPr>
        <w:pStyle w:val="BodyText"/>
      </w:pPr>
      <w:r w:rsidRPr="00D84F91">
        <w:t>In February 2026, Housing Australia established a concierge service to provide advice and other assistance to First Nations housing organisations</w:t>
      </w:r>
      <w:r w:rsidR="001C01D3">
        <w:t>, supporting</w:t>
      </w:r>
      <w:r w:rsidR="00F85523">
        <w:t xml:space="preserve"> </w:t>
      </w:r>
      <w:r w:rsidRPr="00D84F91">
        <w:t xml:space="preserve">access </w:t>
      </w:r>
      <w:r w:rsidR="001C01D3">
        <w:t>to</w:t>
      </w:r>
      <w:r w:rsidRPr="00D84F91">
        <w:t xml:space="preserve"> financing for the purpose of improving housing outcomes for First Nations people</w:t>
      </w:r>
      <w:r w:rsidR="00EF5F93">
        <w:t>.</w:t>
      </w:r>
      <w:r w:rsidR="008E6DA7">
        <w:t xml:space="preserve"> While </w:t>
      </w:r>
      <w:r w:rsidR="00F85523">
        <w:t>a positive</w:t>
      </w:r>
      <w:r w:rsidR="008E6DA7">
        <w:t xml:space="preserve"> initiative, engagement with</w:t>
      </w:r>
      <w:r w:rsidR="00D56C5C">
        <w:t xml:space="preserve"> some of Housing Australia’s</w:t>
      </w:r>
      <w:r w:rsidR="008E6DA7">
        <w:t xml:space="preserve"> key stakeholders suggests that access</w:t>
      </w:r>
      <w:r w:rsidR="00151A17">
        <w:t xml:space="preserve"> </w:t>
      </w:r>
      <w:r w:rsidR="00BD3D3D">
        <w:t>remains</w:t>
      </w:r>
      <w:r w:rsidR="008E6DA7">
        <w:t xml:space="preserve"> </w:t>
      </w:r>
      <w:r w:rsidR="00151A17">
        <w:t>limited</w:t>
      </w:r>
      <w:r w:rsidR="008E6DA7">
        <w:t xml:space="preserve"> </w:t>
      </w:r>
      <w:r w:rsidR="00211ACC">
        <w:t>by</w:t>
      </w:r>
      <w:r w:rsidR="008E6DA7">
        <w:t xml:space="preserve"> a lack of visibility and </w:t>
      </w:r>
      <w:r w:rsidR="006140AD" w:rsidRPr="006140AD">
        <w:t xml:space="preserve">awareness of how to </w:t>
      </w:r>
      <w:r w:rsidR="00EC072D">
        <w:t>engage with</w:t>
      </w:r>
      <w:r w:rsidR="006140AD" w:rsidRPr="006140AD">
        <w:t xml:space="preserve"> the service and what it offers</w:t>
      </w:r>
      <w:r w:rsidR="008E6DA7">
        <w:t xml:space="preserve">. </w:t>
      </w:r>
      <w:r w:rsidR="00AD5315">
        <w:t>Strengthening</w:t>
      </w:r>
      <w:r w:rsidR="005F7B06">
        <w:t xml:space="preserve"> engagement with CHPs and key bodies</w:t>
      </w:r>
      <w:r w:rsidR="00DE123C">
        <w:t xml:space="preserve"> would improve</w:t>
      </w:r>
      <w:r w:rsidR="005F7B06">
        <w:t xml:space="preserve"> accessibility </w:t>
      </w:r>
      <w:r w:rsidR="004F3879">
        <w:t>of</w:t>
      </w:r>
      <w:r w:rsidR="005F7B06">
        <w:t xml:space="preserve"> these </w:t>
      </w:r>
      <w:r w:rsidR="00582A6E">
        <w:t xml:space="preserve">valuable </w:t>
      </w:r>
      <w:r w:rsidR="005F7B06">
        <w:t>programs</w:t>
      </w:r>
      <w:r w:rsidR="00EB34C5">
        <w:t xml:space="preserve"> and</w:t>
      </w:r>
      <w:r w:rsidR="00DE123C">
        <w:t xml:space="preserve"> provid</w:t>
      </w:r>
      <w:r w:rsidR="00EB34C5">
        <w:t>e</w:t>
      </w:r>
      <w:r w:rsidR="00DE123C">
        <w:t xml:space="preserve"> </w:t>
      </w:r>
      <w:r w:rsidR="006F36CE">
        <w:t xml:space="preserve">greater support and </w:t>
      </w:r>
      <w:r w:rsidR="00DE123C">
        <w:t>building</w:t>
      </w:r>
      <w:r w:rsidR="005F7B06">
        <w:t xml:space="preserve"> sector capability</w:t>
      </w:r>
      <w:r w:rsidR="006F36CE">
        <w:t xml:space="preserve"> as intended</w:t>
      </w:r>
      <w:r w:rsidR="005F7B06">
        <w:t xml:space="preserve">. </w:t>
      </w:r>
    </w:p>
    <w:p w14:paraId="30AEE2FA" w14:textId="3BE21C04" w:rsidR="003241F6" w:rsidRDefault="00F90B18" w:rsidP="00F90B18">
      <w:pPr>
        <w:pStyle w:val="BodyText"/>
      </w:pPr>
      <w:bookmarkStart w:id="44" w:name="_Toc237532573"/>
      <w:bookmarkStart w:id="45" w:name="_Toc237536605"/>
      <w:bookmarkEnd w:id="44"/>
      <w:bookmarkEnd w:id="45"/>
      <w:r w:rsidRPr="003241F6">
        <w:lastRenderedPageBreak/>
        <w:t xml:space="preserve">In March 2026, Housing Australia introduced the Investment Manager Model as part of its broader operating model reforms. Under this model, </w:t>
      </w:r>
      <w:r w:rsidR="00C30588">
        <w:t>each</w:t>
      </w:r>
      <w:r w:rsidRPr="003241F6">
        <w:t xml:space="preserve"> funding recipient </w:t>
      </w:r>
      <w:r w:rsidR="00C30588">
        <w:t>is assigned</w:t>
      </w:r>
      <w:r w:rsidRPr="003241F6">
        <w:t xml:space="preserve"> a Relationship Manager </w:t>
      </w:r>
      <w:r w:rsidR="000226AA">
        <w:t>as</w:t>
      </w:r>
      <w:r w:rsidRPr="003241F6">
        <w:t xml:space="preserve"> their single point of contact, </w:t>
      </w:r>
      <w:r w:rsidR="000226AA">
        <w:t>providing</w:t>
      </w:r>
      <w:r w:rsidRPr="003241F6">
        <w:t xml:space="preserve"> seamless support across all new and ongoing needs. Th</w:t>
      </w:r>
      <w:r w:rsidR="00543A33">
        <w:t xml:space="preserve">is </w:t>
      </w:r>
      <w:r w:rsidRPr="003241F6">
        <w:t>model is</w:t>
      </w:r>
      <w:r w:rsidRPr="003241F6" w:rsidDel="00FB708B">
        <w:t xml:space="preserve"> </w:t>
      </w:r>
      <w:r w:rsidR="00FB708B">
        <w:t>designed</w:t>
      </w:r>
      <w:r w:rsidR="00FB708B" w:rsidRPr="003241F6">
        <w:t xml:space="preserve"> </w:t>
      </w:r>
      <w:r w:rsidRPr="003241F6">
        <w:t xml:space="preserve">to </w:t>
      </w:r>
      <w:r w:rsidR="00374C26">
        <w:t>strengthen</w:t>
      </w:r>
      <w:r w:rsidRPr="003241F6">
        <w:t xml:space="preserve"> relationships with funding recipients, simplify the </w:t>
      </w:r>
      <w:r w:rsidR="00543A33">
        <w:t xml:space="preserve">funding </w:t>
      </w:r>
      <w:r w:rsidRPr="003241F6">
        <w:t>process, and provide additional capability support to CHPs.</w:t>
      </w:r>
      <w:r>
        <w:t xml:space="preserve"> </w:t>
      </w:r>
      <w:r w:rsidR="003241F6" w:rsidRPr="00BB6E05">
        <w:t xml:space="preserve">Feedback from </w:t>
      </w:r>
      <w:r w:rsidR="001E2E3A" w:rsidRPr="00BB6E05">
        <w:t>the CHP sector</w:t>
      </w:r>
      <w:r w:rsidR="003241F6" w:rsidRPr="00BB6E05">
        <w:t xml:space="preserve"> </w:t>
      </w:r>
      <w:r w:rsidR="00543A33" w:rsidRPr="00BB6E05">
        <w:t xml:space="preserve">indicates this </w:t>
      </w:r>
      <w:r w:rsidR="001F07D7">
        <w:t xml:space="preserve">is an improvement </w:t>
      </w:r>
      <w:r w:rsidR="00FA6374">
        <w:t xml:space="preserve">on the previous engagement structure, </w:t>
      </w:r>
      <w:r w:rsidR="00FA6374" w:rsidRPr="00FA6374">
        <w:t>with funding recipients now supported by a single, longer-term point of contact rather than multiple separate teams.</w:t>
      </w:r>
    </w:p>
    <w:p w14:paraId="5E067DBB" w14:textId="2BB62D9F" w:rsidR="00F730F2" w:rsidRDefault="00810F66" w:rsidP="00F90B18">
      <w:pPr>
        <w:pStyle w:val="BodyText"/>
      </w:pPr>
      <w:r w:rsidRPr="00810F66">
        <w:t xml:space="preserve">To </w:t>
      </w:r>
      <w:r w:rsidR="00765820">
        <w:t xml:space="preserve">further build </w:t>
      </w:r>
      <w:r w:rsidR="00B80DA2">
        <w:t xml:space="preserve">CHP </w:t>
      </w:r>
      <w:r w:rsidR="006C374B">
        <w:t xml:space="preserve">capability </w:t>
      </w:r>
      <w:r w:rsidR="00765820">
        <w:t xml:space="preserve">and accelerate </w:t>
      </w:r>
      <w:r w:rsidR="00B918E4">
        <w:t xml:space="preserve">contract and financial close of FR03 projects, </w:t>
      </w:r>
      <w:r w:rsidR="00953102">
        <w:t>it is recommended that additional support</w:t>
      </w:r>
      <w:r w:rsidR="00FE5981">
        <w:t>s</w:t>
      </w:r>
      <w:r w:rsidR="00953102">
        <w:t xml:space="preserve"> be provided.</w:t>
      </w:r>
      <w:r w:rsidR="00D45783">
        <w:t xml:space="preserve"> One of the </w:t>
      </w:r>
      <w:r w:rsidR="00D47BE0">
        <w:t>clearest</w:t>
      </w:r>
      <w:r w:rsidR="00D45783">
        <w:t xml:space="preserve"> methods</w:t>
      </w:r>
      <w:r w:rsidR="00D47BE0">
        <w:t xml:space="preserve"> for Housing Australia to provide additional support to build CHP capability </w:t>
      </w:r>
      <w:r w:rsidR="00D45783">
        <w:t xml:space="preserve">develop </w:t>
      </w:r>
      <w:r w:rsidR="00A62C1C">
        <w:t xml:space="preserve">and implement </w:t>
      </w:r>
      <w:r w:rsidR="00D45783">
        <w:t xml:space="preserve">strategies to increase accessibility to </w:t>
      </w:r>
      <w:r w:rsidR="003768DE">
        <w:t xml:space="preserve">programs and support </w:t>
      </w:r>
      <w:r w:rsidR="00A62C1C">
        <w:t xml:space="preserve">and capacity building services </w:t>
      </w:r>
      <w:r w:rsidR="003768DE">
        <w:t xml:space="preserve">that </w:t>
      </w:r>
      <w:r w:rsidR="00A62C1C">
        <w:t xml:space="preserve">are </w:t>
      </w:r>
      <w:r w:rsidR="003768DE">
        <w:t>already</w:t>
      </w:r>
      <w:r w:rsidR="00A62C1C">
        <w:t xml:space="preserve"> provided but are </w:t>
      </w:r>
      <w:r w:rsidR="00B51B1A">
        <w:t>lesser known or difficult to access</w:t>
      </w:r>
      <w:r w:rsidR="003768DE">
        <w:t xml:space="preserve">. </w:t>
      </w:r>
      <w:r w:rsidR="00953102">
        <w:t xml:space="preserve"> </w:t>
      </w:r>
      <w:r w:rsidR="00F730F2" w:rsidRPr="00F730F2">
        <w:t>By building capability and reducing barriers during project development, this approach may assist projects to progress more efficiently through contracting and financial close, supporting the timely delivery of housing outcomes.</w:t>
      </w:r>
    </w:p>
    <w:p w14:paraId="6A2CFAC0" w14:textId="56839D26" w:rsidR="00362B12" w:rsidRPr="00BF10F2" w:rsidRDefault="00362B12" w:rsidP="00362B12">
      <w:pPr>
        <w:pStyle w:val="Heading2"/>
      </w:pPr>
      <w:bookmarkStart w:id="46" w:name="_Toc238805492"/>
      <w:r w:rsidRPr="00BF10F2">
        <w:t>Resourcing</w:t>
      </w:r>
      <w:bookmarkEnd w:id="46"/>
    </w:p>
    <w:p w14:paraId="4FC1F405" w14:textId="77777777" w:rsidR="006E5F2A" w:rsidRPr="009B7D41" w:rsidRDefault="006E5F2A" w:rsidP="006E5F2A">
      <w:pPr>
        <w:pStyle w:val="Subheading"/>
        <w:rPr>
          <w:lang w:eastAsia="en-AU"/>
        </w:rPr>
      </w:pPr>
      <w:r w:rsidRPr="009B7D41">
        <w:rPr>
          <w:lang w:eastAsia="en-AU"/>
        </w:rPr>
        <w:t>Financial</w:t>
      </w:r>
    </w:p>
    <w:p w14:paraId="5F5CC21D" w14:textId="105EC7A5" w:rsidR="00697498" w:rsidRPr="009B7D41" w:rsidRDefault="00696252" w:rsidP="00ED280F">
      <w:pPr>
        <w:pStyle w:val="BodyText"/>
        <w:rPr>
          <w:lang w:eastAsia="en-AU"/>
        </w:rPr>
      </w:pPr>
      <w:r w:rsidRPr="009B7D41">
        <w:rPr>
          <w:lang w:eastAsia="en-AU"/>
        </w:rPr>
        <w:t xml:space="preserve">Housing Australia’s ability to achieve housing delivery targets is influenced by a range of </w:t>
      </w:r>
      <w:r w:rsidRPr="00511D39">
        <w:rPr>
          <w:lang w:eastAsia="en-AU"/>
        </w:rPr>
        <w:t xml:space="preserve">external </w:t>
      </w:r>
      <w:r w:rsidRPr="003350CA">
        <w:rPr>
          <w:lang w:eastAsia="en-AU"/>
        </w:rPr>
        <w:t>market factors</w:t>
      </w:r>
      <w:r w:rsidR="003350CA" w:rsidRPr="00511CAB">
        <w:rPr>
          <w:lang w:eastAsia="en-AU"/>
        </w:rPr>
        <w:t xml:space="preserve"> that can arise</w:t>
      </w:r>
      <w:r w:rsidRPr="003350CA">
        <w:rPr>
          <w:lang w:eastAsia="en-AU"/>
        </w:rPr>
        <w:t xml:space="preserve">, </w:t>
      </w:r>
      <w:r w:rsidR="00ED280F" w:rsidRPr="003350CA">
        <w:rPr>
          <w:lang w:eastAsia="en-AU"/>
        </w:rPr>
        <w:t>including c</w:t>
      </w:r>
      <w:r w:rsidR="001A7AA1" w:rsidRPr="003350CA">
        <w:rPr>
          <w:lang w:eastAsia="en-AU"/>
        </w:rPr>
        <w:t xml:space="preserve">onstruction-cost escalation, </w:t>
      </w:r>
      <w:r w:rsidR="00ED280F" w:rsidRPr="003350CA">
        <w:rPr>
          <w:lang w:eastAsia="en-AU"/>
        </w:rPr>
        <w:t xml:space="preserve">labour shortages, </w:t>
      </w:r>
      <w:r w:rsidR="003350CA" w:rsidRPr="00511CAB">
        <w:rPr>
          <w:lang w:eastAsia="en-AU"/>
        </w:rPr>
        <w:t xml:space="preserve">higher financing costs, </w:t>
      </w:r>
      <w:r w:rsidR="001A7AA1" w:rsidRPr="003350CA">
        <w:rPr>
          <w:lang w:eastAsia="en-AU"/>
        </w:rPr>
        <w:t xml:space="preserve">valuation movements and supply-chain </w:t>
      </w:r>
      <w:r w:rsidR="00B532C2">
        <w:rPr>
          <w:lang w:eastAsia="en-AU"/>
        </w:rPr>
        <w:t>challenges</w:t>
      </w:r>
      <w:r w:rsidR="00ED280F" w:rsidRPr="009B7D41">
        <w:rPr>
          <w:lang w:eastAsia="en-AU"/>
        </w:rPr>
        <w:t>.</w:t>
      </w:r>
      <w:r w:rsidR="00C96CD5">
        <w:rPr>
          <w:rStyle w:val="FootnoteReference"/>
          <w:lang w:eastAsia="en-AU"/>
        </w:rPr>
        <w:footnoteReference w:id="8"/>
      </w:r>
      <w:r w:rsidR="00ED280F" w:rsidRPr="009B7D41">
        <w:rPr>
          <w:lang w:eastAsia="en-AU"/>
        </w:rPr>
        <w:t xml:space="preserve"> These pressures</w:t>
      </w:r>
      <w:r w:rsidR="001A7AA1" w:rsidRPr="009B7D41">
        <w:rPr>
          <w:lang w:eastAsia="en-AU"/>
        </w:rPr>
        <w:t xml:space="preserve"> can increase project funding gaps after application</w:t>
      </w:r>
      <w:r w:rsidR="00ED2978" w:rsidRPr="009B7D41">
        <w:rPr>
          <w:lang w:eastAsia="en-AU"/>
        </w:rPr>
        <w:t>s have been submitted</w:t>
      </w:r>
      <w:r w:rsidR="001A7AA1" w:rsidRPr="009B7D41">
        <w:rPr>
          <w:lang w:eastAsia="en-AU"/>
        </w:rPr>
        <w:t xml:space="preserve"> or </w:t>
      </w:r>
      <w:r w:rsidR="00022E9B" w:rsidRPr="009B7D41">
        <w:rPr>
          <w:lang w:eastAsia="en-AU"/>
        </w:rPr>
        <w:t xml:space="preserve">funding has been </w:t>
      </w:r>
      <w:r w:rsidR="001A7AA1" w:rsidRPr="009B7D41">
        <w:rPr>
          <w:lang w:eastAsia="en-AU"/>
        </w:rPr>
        <w:t>approv</w:t>
      </w:r>
      <w:r w:rsidR="00022E9B" w:rsidRPr="009B7D41">
        <w:rPr>
          <w:lang w:eastAsia="en-AU"/>
        </w:rPr>
        <w:t>ed</w:t>
      </w:r>
      <w:r w:rsidR="009B2B74" w:rsidRPr="009B7D41">
        <w:rPr>
          <w:lang w:eastAsia="en-AU"/>
        </w:rPr>
        <w:t xml:space="preserve">, requiring </w:t>
      </w:r>
      <w:r w:rsidR="001A7AA1" w:rsidRPr="009B7D41">
        <w:rPr>
          <w:lang w:eastAsia="en-AU"/>
        </w:rPr>
        <w:t xml:space="preserve">projects to be restructured and </w:t>
      </w:r>
      <w:r w:rsidR="00BF1AE9" w:rsidRPr="009B7D41">
        <w:rPr>
          <w:lang w:eastAsia="en-AU"/>
        </w:rPr>
        <w:t xml:space="preserve">increasing the risk of </w:t>
      </w:r>
      <w:r w:rsidR="001A7AA1" w:rsidRPr="009B7D41">
        <w:rPr>
          <w:lang w:eastAsia="en-AU"/>
        </w:rPr>
        <w:t xml:space="preserve">default, delay and builder-solvency risks. </w:t>
      </w:r>
    </w:p>
    <w:p w14:paraId="3DB9EC2E" w14:textId="7F4C982B" w:rsidR="00746C77" w:rsidRDefault="001A7AA1" w:rsidP="00FC5C98">
      <w:pPr>
        <w:pStyle w:val="BodyText"/>
        <w:rPr>
          <w:lang w:eastAsia="en-AU"/>
        </w:rPr>
      </w:pPr>
      <w:r w:rsidRPr="009B7D41">
        <w:rPr>
          <w:lang w:eastAsia="en-AU"/>
        </w:rPr>
        <w:t>The existing funding model combines concessional loans and availability payments, with Commonwealth appropriations and HAFF disbursements providing the principal funding sources.</w:t>
      </w:r>
      <w:bookmarkStart w:id="47" w:name="_Toc237536611"/>
      <w:bookmarkStart w:id="48" w:name="_Toc237536612"/>
      <w:bookmarkStart w:id="49" w:name="_Toc237536613"/>
      <w:bookmarkStart w:id="50" w:name="_Toc237536616"/>
      <w:bookmarkStart w:id="51" w:name="_Toc237536617"/>
      <w:bookmarkEnd w:id="47"/>
      <w:bookmarkEnd w:id="48"/>
      <w:bookmarkEnd w:id="49"/>
      <w:bookmarkEnd w:id="50"/>
      <w:bookmarkEnd w:id="51"/>
      <w:r w:rsidR="00C7330C" w:rsidRPr="009B7D41">
        <w:rPr>
          <w:lang w:eastAsia="en-AU"/>
        </w:rPr>
        <w:t xml:space="preserve"> </w:t>
      </w:r>
      <w:r w:rsidR="00B6292E">
        <w:rPr>
          <w:lang w:eastAsia="en-AU"/>
        </w:rPr>
        <w:t>T</w:t>
      </w:r>
      <w:r w:rsidR="006A1030">
        <w:rPr>
          <w:lang w:eastAsia="en-AU"/>
        </w:rPr>
        <w:t>here are maximum prices for availability payments for Round 3 to strengthen the focus on value for money</w:t>
      </w:r>
      <w:r w:rsidR="00AF04BF" w:rsidRPr="009B7D41">
        <w:rPr>
          <w:lang w:eastAsia="en-AU"/>
        </w:rPr>
        <w:t xml:space="preserve">. Existing program settings may not fund every project if costs move materially beyond the </w:t>
      </w:r>
      <w:r w:rsidR="00130B63">
        <w:rPr>
          <w:lang w:eastAsia="en-AU"/>
        </w:rPr>
        <w:t xml:space="preserve">limits established </w:t>
      </w:r>
      <w:r w:rsidR="00AF04BF" w:rsidRPr="009B7D41">
        <w:rPr>
          <w:lang w:eastAsia="en-AU"/>
        </w:rPr>
        <w:t xml:space="preserve">in round design. </w:t>
      </w:r>
    </w:p>
    <w:p w14:paraId="382DB28F" w14:textId="6CD52FF5" w:rsidR="00AF04BF" w:rsidRPr="00BF7FBC" w:rsidRDefault="00970066" w:rsidP="00AF04BF">
      <w:pPr>
        <w:pStyle w:val="BodyText"/>
        <w:rPr>
          <w:lang w:eastAsia="en-AU"/>
        </w:rPr>
      </w:pPr>
      <w:r>
        <w:rPr>
          <w:lang w:eastAsia="en-AU"/>
        </w:rPr>
        <w:t>Consistent with</w:t>
      </w:r>
      <w:r w:rsidR="00AA00F1">
        <w:rPr>
          <w:lang w:eastAsia="en-AU"/>
        </w:rPr>
        <w:t xml:space="preserve"> </w:t>
      </w:r>
      <w:r w:rsidR="002B38E6">
        <w:rPr>
          <w:lang w:eastAsia="en-AU"/>
        </w:rPr>
        <w:t xml:space="preserve">the </w:t>
      </w:r>
      <w:r w:rsidR="00AA00F1">
        <w:rPr>
          <w:lang w:eastAsia="en-AU"/>
        </w:rPr>
        <w:t>program</w:t>
      </w:r>
      <w:r w:rsidR="002B38E6">
        <w:rPr>
          <w:lang w:eastAsia="en-AU"/>
        </w:rPr>
        <w:t>’s</w:t>
      </w:r>
      <w:r>
        <w:rPr>
          <w:lang w:eastAsia="en-AU"/>
        </w:rPr>
        <w:t xml:space="preserve"> </w:t>
      </w:r>
      <w:r w:rsidR="005A7ABA">
        <w:rPr>
          <w:lang w:eastAsia="en-AU"/>
        </w:rPr>
        <w:t>project level cost controls</w:t>
      </w:r>
      <w:r w:rsidR="00AA00F1">
        <w:rPr>
          <w:lang w:eastAsia="en-AU"/>
        </w:rPr>
        <w:t xml:space="preserve">, </w:t>
      </w:r>
      <w:r w:rsidR="00246EBA" w:rsidRPr="00511CAB">
        <w:rPr>
          <w:lang w:eastAsia="en-AU"/>
        </w:rPr>
        <w:t>Housing Australia should maintain a forecast of</w:t>
      </w:r>
      <w:r w:rsidR="00B07A42" w:rsidRPr="00511CAB">
        <w:rPr>
          <w:lang w:eastAsia="en-AU"/>
        </w:rPr>
        <w:t>,</w:t>
      </w:r>
      <w:r w:rsidR="00246EBA" w:rsidRPr="00511CAB">
        <w:rPr>
          <w:lang w:eastAsia="en-AU"/>
        </w:rPr>
        <w:t xml:space="preserve"> and report on the mean and median availability payment for the Round 3 portfolio, including actual costs for projects which have received a funding decision and an estimate for the remaining dwellings. </w:t>
      </w:r>
      <w:r w:rsidR="00A9003B" w:rsidRPr="00511CAB">
        <w:rPr>
          <w:lang w:eastAsia="en-AU"/>
        </w:rPr>
        <w:t xml:space="preserve">Reporting should be </w:t>
      </w:r>
      <w:r w:rsidR="00E361F6" w:rsidRPr="00511CAB">
        <w:rPr>
          <w:lang w:eastAsia="en-AU"/>
        </w:rPr>
        <w:t xml:space="preserve">provided </w:t>
      </w:r>
      <w:r w:rsidR="0024227F" w:rsidRPr="00511CAB">
        <w:rPr>
          <w:lang w:eastAsia="en-AU"/>
        </w:rPr>
        <w:t>to</w:t>
      </w:r>
      <w:r w:rsidR="00A9003B" w:rsidRPr="00511CAB">
        <w:rPr>
          <w:lang w:eastAsia="en-AU"/>
        </w:rPr>
        <w:t xml:space="preserve"> the executive leadership team</w:t>
      </w:r>
      <w:r w:rsidR="00246EBA" w:rsidRPr="00511CAB">
        <w:rPr>
          <w:lang w:eastAsia="en-AU"/>
        </w:rPr>
        <w:t>,</w:t>
      </w:r>
      <w:r w:rsidR="00A9003B" w:rsidRPr="00511CAB">
        <w:rPr>
          <w:lang w:eastAsia="en-AU"/>
        </w:rPr>
        <w:t xml:space="preserve"> the Board</w:t>
      </w:r>
      <w:r w:rsidR="00246EBA" w:rsidRPr="00511CAB">
        <w:rPr>
          <w:lang w:eastAsia="en-AU"/>
        </w:rPr>
        <w:t>, and Treasury</w:t>
      </w:r>
      <w:r w:rsidR="00A9003B" w:rsidRPr="00511CAB">
        <w:rPr>
          <w:lang w:eastAsia="en-AU"/>
        </w:rPr>
        <w:t xml:space="preserve"> to </w:t>
      </w:r>
      <w:r w:rsidR="0024227F" w:rsidRPr="00511CAB">
        <w:rPr>
          <w:lang w:eastAsia="en-AU"/>
        </w:rPr>
        <w:t xml:space="preserve">support </w:t>
      </w:r>
      <w:r w:rsidR="00A9003B" w:rsidRPr="00511CAB">
        <w:rPr>
          <w:lang w:eastAsia="en-AU"/>
        </w:rPr>
        <w:t>portfolio management</w:t>
      </w:r>
      <w:r w:rsidR="00246EBA" w:rsidRPr="00511CAB">
        <w:rPr>
          <w:lang w:eastAsia="en-AU"/>
        </w:rPr>
        <w:t xml:space="preserve"> and monitor</w:t>
      </w:r>
      <w:r w:rsidR="000F2AA7" w:rsidRPr="00511CAB">
        <w:rPr>
          <w:lang w:eastAsia="en-AU"/>
        </w:rPr>
        <w:t>ing of</w:t>
      </w:r>
      <w:r w:rsidR="00246EBA" w:rsidRPr="00511CAB">
        <w:rPr>
          <w:lang w:eastAsia="en-AU"/>
        </w:rPr>
        <w:t xml:space="preserve"> delivery </w:t>
      </w:r>
      <w:r w:rsidR="001635AC" w:rsidRPr="00511CAB">
        <w:rPr>
          <w:lang w:eastAsia="en-AU"/>
        </w:rPr>
        <w:t xml:space="preserve">alignment </w:t>
      </w:r>
      <w:r w:rsidR="00246EBA" w:rsidRPr="00511CAB">
        <w:rPr>
          <w:lang w:eastAsia="en-AU"/>
        </w:rPr>
        <w:t xml:space="preserve">to </w:t>
      </w:r>
      <w:r w:rsidR="001635AC" w:rsidRPr="00511CAB">
        <w:rPr>
          <w:lang w:eastAsia="en-AU"/>
        </w:rPr>
        <w:t xml:space="preserve">the </w:t>
      </w:r>
      <w:r w:rsidR="00246EBA" w:rsidRPr="00511CAB">
        <w:rPr>
          <w:lang w:eastAsia="en-AU"/>
        </w:rPr>
        <w:t>Commonwealth investment</w:t>
      </w:r>
      <w:r w:rsidR="00A9003B" w:rsidRPr="00511CAB">
        <w:rPr>
          <w:lang w:eastAsia="en-AU"/>
        </w:rPr>
        <w:t xml:space="preserve">. </w:t>
      </w:r>
      <w:r w:rsidR="00D1092E" w:rsidRPr="00511CAB">
        <w:rPr>
          <w:lang w:eastAsia="en-AU"/>
        </w:rPr>
        <w:t xml:space="preserve">When considering changing market conditions, </w:t>
      </w:r>
      <w:r w:rsidR="00246EBA" w:rsidRPr="00511CAB">
        <w:rPr>
          <w:lang w:eastAsia="en-AU"/>
        </w:rPr>
        <w:t xml:space="preserve">Housing Australia should </w:t>
      </w:r>
      <w:r w:rsidR="00DE3779" w:rsidRPr="00511CAB">
        <w:rPr>
          <w:lang w:eastAsia="en-AU"/>
        </w:rPr>
        <w:t>periodically</w:t>
      </w:r>
      <w:r w:rsidR="001635AC" w:rsidRPr="00511CAB">
        <w:rPr>
          <w:lang w:eastAsia="en-AU"/>
        </w:rPr>
        <w:t xml:space="preserve"> </w:t>
      </w:r>
      <w:r w:rsidR="00246EBA" w:rsidRPr="00511CAB">
        <w:rPr>
          <w:lang w:eastAsia="en-AU"/>
        </w:rPr>
        <w:t xml:space="preserve">assess </w:t>
      </w:r>
      <w:r w:rsidR="00027A24" w:rsidRPr="00511CAB">
        <w:rPr>
          <w:lang w:eastAsia="en-AU"/>
        </w:rPr>
        <w:t>whether</w:t>
      </w:r>
      <w:r w:rsidR="00246EBA" w:rsidRPr="00511CAB">
        <w:rPr>
          <w:lang w:eastAsia="en-AU"/>
        </w:rPr>
        <w:t xml:space="preserve"> the maximum availability payments will support delivery of the full FR03 dwelling allocation. </w:t>
      </w:r>
    </w:p>
    <w:p w14:paraId="537DA212" w14:textId="439C7822" w:rsidR="006E5F2A" w:rsidRPr="00BF7FBC" w:rsidRDefault="006E5F2A" w:rsidP="006E5F2A">
      <w:pPr>
        <w:pStyle w:val="Subheading"/>
        <w:rPr>
          <w:lang w:eastAsia="en-AU"/>
        </w:rPr>
      </w:pPr>
      <w:r w:rsidRPr="00BF7FBC">
        <w:rPr>
          <w:lang w:eastAsia="en-AU"/>
        </w:rPr>
        <w:t>Workforce</w:t>
      </w:r>
    </w:p>
    <w:p w14:paraId="681B2E67" w14:textId="499DC08A" w:rsidR="00BF10F2" w:rsidRPr="009B7D41" w:rsidRDefault="00BF10F2" w:rsidP="00BF10F2">
      <w:pPr>
        <w:pStyle w:val="BodyText"/>
        <w:rPr>
          <w:lang w:eastAsia="en-AU"/>
        </w:rPr>
      </w:pPr>
      <w:r w:rsidRPr="009B7D41">
        <w:rPr>
          <w:lang w:eastAsia="en-AU"/>
        </w:rPr>
        <w:t xml:space="preserve">Housing Australia </w:t>
      </w:r>
      <w:r w:rsidR="009B4979" w:rsidRPr="009B7D41">
        <w:rPr>
          <w:lang w:eastAsia="en-AU"/>
        </w:rPr>
        <w:t>is managing a temporary increase in workload as it</w:t>
      </w:r>
      <w:r w:rsidRPr="009B7D41">
        <w:rPr>
          <w:lang w:eastAsia="en-AU"/>
        </w:rPr>
        <w:t xml:space="preserve"> assess</w:t>
      </w:r>
      <w:r w:rsidR="009B4979" w:rsidRPr="009B7D41">
        <w:rPr>
          <w:lang w:eastAsia="en-AU"/>
        </w:rPr>
        <w:t>es</w:t>
      </w:r>
      <w:r w:rsidRPr="009B7D41">
        <w:rPr>
          <w:lang w:eastAsia="en-AU"/>
        </w:rPr>
        <w:t xml:space="preserve"> </w:t>
      </w:r>
      <w:r w:rsidR="0032704F" w:rsidRPr="00BF7FBC">
        <w:rPr>
          <w:lang w:eastAsia="en-AU"/>
        </w:rPr>
        <w:t>FR03</w:t>
      </w:r>
      <w:r w:rsidRPr="009B7D41">
        <w:rPr>
          <w:lang w:eastAsia="en-AU"/>
        </w:rPr>
        <w:t xml:space="preserve"> applications and progress approved projects to contract and financial close. Current </w:t>
      </w:r>
      <w:r w:rsidR="009B4979" w:rsidRPr="009B7D41">
        <w:rPr>
          <w:lang w:eastAsia="en-AU"/>
        </w:rPr>
        <w:t xml:space="preserve">forecasts </w:t>
      </w:r>
      <w:r w:rsidR="0071285A" w:rsidRPr="009B7D41">
        <w:rPr>
          <w:lang w:eastAsia="en-AU"/>
        </w:rPr>
        <w:t xml:space="preserve">indicate this increased </w:t>
      </w:r>
      <w:r w:rsidRPr="009B7D41">
        <w:rPr>
          <w:lang w:eastAsia="en-AU"/>
        </w:rPr>
        <w:t xml:space="preserve">demand </w:t>
      </w:r>
      <w:r w:rsidR="0071285A" w:rsidRPr="009B7D41">
        <w:rPr>
          <w:lang w:eastAsia="en-AU"/>
        </w:rPr>
        <w:t xml:space="preserve">will continue </w:t>
      </w:r>
      <w:r w:rsidRPr="009B7D41">
        <w:rPr>
          <w:lang w:eastAsia="en-AU"/>
        </w:rPr>
        <w:t xml:space="preserve">through </w:t>
      </w:r>
      <w:r w:rsidR="00B7176D">
        <w:rPr>
          <w:lang w:eastAsia="en-AU"/>
        </w:rPr>
        <w:t xml:space="preserve">to </w:t>
      </w:r>
      <w:r w:rsidRPr="009B7D41">
        <w:rPr>
          <w:lang w:eastAsia="en-AU"/>
        </w:rPr>
        <w:t xml:space="preserve">December 2027. </w:t>
      </w:r>
      <w:r w:rsidR="0071285A" w:rsidRPr="009B7D41">
        <w:rPr>
          <w:lang w:eastAsia="en-AU"/>
        </w:rPr>
        <w:t>A</w:t>
      </w:r>
      <w:r w:rsidRPr="009B7D41">
        <w:rPr>
          <w:lang w:eastAsia="en-AU"/>
        </w:rPr>
        <w:t>nalysis</w:t>
      </w:r>
      <w:r w:rsidRPr="009B7D41" w:rsidDel="0071285A">
        <w:rPr>
          <w:lang w:eastAsia="en-AU"/>
        </w:rPr>
        <w:t xml:space="preserve"> </w:t>
      </w:r>
      <w:r w:rsidR="0071285A" w:rsidRPr="009B7D41">
        <w:rPr>
          <w:lang w:eastAsia="en-AU"/>
        </w:rPr>
        <w:t>suggests</w:t>
      </w:r>
      <w:r w:rsidRPr="009B7D41">
        <w:rPr>
          <w:lang w:eastAsia="en-AU"/>
        </w:rPr>
        <w:t xml:space="preserve"> that </w:t>
      </w:r>
      <w:r w:rsidR="002506DC">
        <w:rPr>
          <w:lang w:eastAsia="en-AU"/>
        </w:rPr>
        <w:t xml:space="preserve">Housing Australia’s </w:t>
      </w:r>
      <w:r w:rsidRPr="009B7D41">
        <w:rPr>
          <w:lang w:eastAsia="en-AU"/>
        </w:rPr>
        <w:t>contractor budgets can support assessment of the current application volume, and Housing Australia is establishing a consultant and contractor panel to provide surge capacity. This approach avoids creating an ongoing workforce commitment for a workload associated with current Government program commitments</w:t>
      </w:r>
      <w:r w:rsidR="000A2194">
        <w:rPr>
          <w:lang w:eastAsia="en-AU"/>
        </w:rPr>
        <w:t xml:space="preserve"> and supports </w:t>
      </w:r>
      <w:r w:rsidR="005819D0">
        <w:rPr>
          <w:lang w:eastAsia="en-AU"/>
        </w:rPr>
        <w:t xml:space="preserve">scaling </w:t>
      </w:r>
      <w:r w:rsidR="00105BEA">
        <w:rPr>
          <w:lang w:eastAsia="en-AU"/>
        </w:rPr>
        <w:t>of operations at pace</w:t>
      </w:r>
      <w:r w:rsidRPr="009B7D41">
        <w:rPr>
          <w:lang w:eastAsia="en-AU"/>
        </w:rPr>
        <w:t>.</w:t>
      </w:r>
      <w:r w:rsidR="00286112">
        <w:rPr>
          <w:lang w:eastAsia="en-AU"/>
        </w:rPr>
        <w:t xml:space="preserve"> </w:t>
      </w:r>
    </w:p>
    <w:p w14:paraId="1E93A862" w14:textId="74004EAE" w:rsidR="00BF10F2" w:rsidRPr="00AF04BF" w:rsidRDefault="00BF10F2" w:rsidP="00AF04BF">
      <w:pPr>
        <w:pStyle w:val="BodyText"/>
        <w:rPr>
          <w:lang w:eastAsia="en-AU"/>
        </w:rPr>
      </w:pPr>
      <w:r w:rsidRPr="009B7D41">
        <w:rPr>
          <w:lang w:eastAsia="en-AU"/>
        </w:rPr>
        <w:t xml:space="preserve">As </w:t>
      </w:r>
      <w:r w:rsidR="0071285A" w:rsidRPr="009B7D41">
        <w:rPr>
          <w:lang w:eastAsia="en-AU"/>
        </w:rPr>
        <w:t xml:space="preserve">the volume of assessment </w:t>
      </w:r>
      <w:r w:rsidR="00445DA4">
        <w:rPr>
          <w:lang w:eastAsia="en-AU"/>
        </w:rPr>
        <w:t xml:space="preserve">activity </w:t>
      </w:r>
      <w:r w:rsidR="0071285A" w:rsidRPr="009B7D41">
        <w:rPr>
          <w:lang w:eastAsia="en-AU"/>
        </w:rPr>
        <w:t>declines</w:t>
      </w:r>
      <w:r w:rsidRPr="009B7D41">
        <w:rPr>
          <w:lang w:eastAsia="en-AU"/>
        </w:rPr>
        <w:t xml:space="preserve">, </w:t>
      </w:r>
      <w:r w:rsidR="0071285A" w:rsidRPr="009B7D41">
        <w:rPr>
          <w:lang w:eastAsia="en-AU"/>
        </w:rPr>
        <w:t xml:space="preserve">workforce priorities </w:t>
      </w:r>
      <w:r w:rsidRPr="009B7D41">
        <w:rPr>
          <w:lang w:eastAsia="en-AU"/>
        </w:rPr>
        <w:t xml:space="preserve">should shift towards project monitoring, portfolio management, stakeholder engagement and program stewardship. </w:t>
      </w:r>
      <w:r w:rsidR="0071285A" w:rsidRPr="009B7D41">
        <w:rPr>
          <w:lang w:eastAsia="en-AU"/>
        </w:rPr>
        <w:t xml:space="preserve">To support this transition, </w:t>
      </w:r>
      <w:r w:rsidRPr="009B7D41">
        <w:rPr>
          <w:lang w:eastAsia="en-AU"/>
        </w:rPr>
        <w:t xml:space="preserve">Housing Australia should quantify transaction effort and throughput, confirm the required surge capacity, and assess the enduring skills and resources needed for the </w:t>
      </w:r>
      <w:r w:rsidR="002506DC">
        <w:rPr>
          <w:lang w:eastAsia="en-AU"/>
        </w:rPr>
        <w:t>HDU</w:t>
      </w:r>
      <w:r w:rsidRPr="009B7D41">
        <w:rPr>
          <w:lang w:eastAsia="en-AU"/>
        </w:rPr>
        <w:t xml:space="preserve"> proposed in section 7.1</w:t>
      </w:r>
      <w:r w:rsidR="001A2F83">
        <w:rPr>
          <w:lang w:eastAsia="en-AU"/>
        </w:rPr>
        <w:t>.</w:t>
      </w:r>
    </w:p>
    <w:p w14:paraId="7A533FA2" w14:textId="58ADE66A" w:rsidR="0034162F" w:rsidRDefault="00402D06" w:rsidP="009D3D63">
      <w:pPr>
        <w:pStyle w:val="Heading1"/>
      </w:pPr>
      <w:bookmarkStart w:id="52" w:name="_Toc238805493"/>
      <w:r>
        <w:lastRenderedPageBreak/>
        <w:t>Opportunities for governance improvement</w:t>
      </w:r>
      <w:bookmarkEnd w:id="52"/>
    </w:p>
    <w:p w14:paraId="6D7A878B" w14:textId="77777777" w:rsidR="009F1FBA" w:rsidRDefault="009F1FBA" w:rsidP="009F1FBA">
      <w:pPr>
        <w:pStyle w:val="Heading2"/>
      </w:pPr>
      <w:bookmarkStart w:id="53" w:name="_Toc238805494"/>
      <w:r>
        <w:t>Culture</w:t>
      </w:r>
      <w:bookmarkEnd w:id="53"/>
    </w:p>
    <w:p w14:paraId="62D0F98C" w14:textId="3EB29C80" w:rsidR="0059061F" w:rsidRDefault="00C0739E" w:rsidP="00C0739E">
      <w:pPr>
        <w:pStyle w:val="BodyText"/>
      </w:pPr>
      <w:r>
        <w:t xml:space="preserve">A recurring theme during </w:t>
      </w:r>
      <w:r w:rsidR="0030788A">
        <w:t>the Assessment</w:t>
      </w:r>
      <w:r>
        <w:t xml:space="preserve"> was a</w:t>
      </w:r>
      <w:r w:rsidR="00A548B1">
        <w:t xml:space="preserve"> </w:t>
      </w:r>
      <w:r w:rsidR="00680EEC">
        <w:t>somewhat risk averse</w:t>
      </w:r>
      <w:r w:rsidR="005E6675" w:rsidRPr="005E6675">
        <w:t xml:space="preserve"> </w:t>
      </w:r>
      <w:r w:rsidR="005E6675">
        <w:t>board culture</w:t>
      </w:r>
      <w:r w:rsidR="00680EEC">
        <w:t xml:space="preserve">, </w:t>
      </w:r>
      <w:r w:rsidR="005E6675">
        <w:t xml:space="preserve">evidenced by </w:t>
      </w:r>
      <w:r w:rsidR="00680EEC">
        <w:t xml:space="preserve">a </w:t>
      </w:r>
      <w:r>
        <w:t>heavy focus on governance</w:t>
      </w:r>
      <w:r w:rsidR="009D4F93">
        <w:t xml:space="preserve"> and</w:t>
      </w:r>
      <w:r>
        <w:t xml:space="preserve"> </w:t>
      </w:r>
      <w:r w:rsidR="005E6675">
        <w:t xml:space="preserve">individual </w:t>
      </w:r>
      <w:r>
        <w:t>transaction scrutiny</w:t>
      </w:r>
      <w:r w:rsidR="00832AB5">
        <w:t xml:space="preserve">. </w:t>
      </w:r>
      <w:r w:rsidR="00295F02" w:rsidRPr="002D2CE5">
        <w:t>However,</w:t>
      </w:r>
      <w:r w:rsidR="00832AB5" w:rsidRPr="002D2CE5">
        <w:t xml:space="preserve"> this </w:t>
      </w:r>
      <w:r w:rsidR="004F74EE" w:rsidRPr="002D2CE5">
        <w:t>culture</w:t>
      </w:r>
      <w:r w:rsidR="00832AB5" w:rsidRPr="002D2CE5">
        <w:t xml:space="preserve"> is</w:t>
      </w:r>
      <w:r w:rsidR="004F74EE" w:rsidRPr="002D2CE5">
        <w:t xml:space="preserve"> </w:t>
      </w:r>
      <w:r w:rsidR="00F4521F" w:rsidRPr="002D2CE5">
        <w:t>increasing</w:t>
      </w:r>
      <w:r w:rsidR="00832AB5" w:rsidRPr="002D2CE5">
        <w:t xml:space="preserve"> </w:t>
      </w:r>
      <w:r w:rsidR="00D24634" w:rsidRPr="002D2CE5">
        <w:t>organisational</w:t>
      </w:r>
      <w:r w:rsidR="00832AB5" w:rsidRPr="002D2CE5">
        <w:t xml:space="preserve"> pressure as </w:t>
      </w:r>
      <w:r w:rsidR="006A3044" w:rsidRPr="002D2CE5">
        <w:t xml:space="preserve">the HAFFF and NHAF programs enter a time </w:t>
      </w:r>
      <w:r w:rsidRPr="002D2CE5">
        <w:t xml:space="preserve">where program success is dependent on </w:t>
      </w:r>
      <w:r w:rsidR="008E724B" w:rsidRPr="002D2CE5">
        <w:t>timely</w:t>
      </w:r>
      <w:r w:rsidR="00D42603" w:rsidRPr="002D2CE5">
        <w:t xml:space="preserve"> </w:t>
      </w:r>
      <w:r w:rsidR="00A06987" w:rsidRPr="002D2CE5">
        <w:t xml:space="preserve">project </w:t>
      </w:r>
      <w:r w:rsidR="00D42603" w:rsidRPr="002D2CE5">
        <w:t>contract</w:t>
      </w:r>
      <w:r w:rsidR="00977A4E" w:rsidRPr="002D2CE5">
        <w:t xml:space="preserve"> and financial </w:t>
      </w:r>
      <w:r w:rsidR="00D42603" w:rsidRPr="002D2CE5">
        <w:t>closure</w:t>
      </w:r>
      <w:r w:rsidR="00DC2F64" w:rsidRPr="002D2CE5">
        <w:t xml:space="preserve"> </w:t>
      </w:r>
      <w:r w:rsidR="002D2CE5" w:rsidRPr="002D2CE5">
        <w:t xml:space="preserve">to </w:t>
      </w:r>
      <w:r w:rsidR="00DC2F64" w:rsidRPr="002D2CE5">
        <w:t xml:space="preserve">enable projects to </w:t>
      </w:r>
      <w:r w:rsidR="000A1158" w:rsidRPr="002D2CE5">
        <w:t>progress</w:t>
      </w:r>
      <w:r w:rsidR="00DC2F64" w:rsidRPr="002D2CE5">
        <w:t xml:space="preserve"> delivery</w:t>
      </w:r>
      <w:r>
        <w:t xml:space="preserve">. </w:t>
      </w:r>
      <w:r w:rsidR="001D3007">
        <w:t xml:space="preserve">References during the assessment were made to </w:t>
      </w:r>
      <w:r w:rsidR="00F41DE5">
        <w:t xml:space="preserve">the need for acceleration of </w:t>
      </w:r>
      <w:r w:rsidR="001D3007">
        <w:t xml:space="preserve">decision-making, </w:t>
      </w:r>
      <w:r w:rsidR="00F41DE5">
        <w:t>revision of</w:t>
      </w:r>
      <w:r w:rsidR="001D3007">
        <w:t xml:space="preserve"> delegations</w:t>
      </w:r>
      <w:r w:rsidR="00083C5B">
        <w:t xml:space="preserve"> and</w:t>
      </w:r>
      <w:r w:rsidR="001D3007">
        <w:t xml:space="preserve"> </w:t>
      </w:r>
      <w:r w:rsidR="00F41DE5">
        <w:t>refined</w:t>
      </w:r>
      <w:r w:rsidR="001D3007">
        <w:t xml:space="preserve"> approval processes</w:t>
      </w:r>
      <w:r w:rsidR="00083C5B">
        <w:t xml:space="preserve"> to accelerate the achievement of </w:t>
      </w:r>
      <w:r w:rsidR="001975B1">
        <w:t xml:space="preserve">project </w:t>
      </w:r>
      <w:r w:rsidR="00083C5B">
        <w:t>milestones.</w:t>
      </w:r>
      <w:r w:rsidR="00EF5F65">
        <w:t xml:space="preserve"> </w:t>
      </w:r>
      <w:r w:rsidR="004216EA">
        <w:t>Notwithstanding, t</w:t>
      </w:r>
      <w:r w:rsidR="000B2D4B">
        <w:t xml:space="preserve">here was clear evidence of the </w:t>
      </w:r>
      <w:r w:rsidR="00047EE4">
        <w:t xml:space="preserve">focus and effort of the operational teams </w:t>
      </w:r>
      <w:r w:rsidR="005B72A6">
        <w:t xml:space="preserve">to </w:t>
      </w:r>
      <w:r w:rsidR="00A94E04">
        <w:t xml:space="preserve">progress assessments </w:t>
      </w:r>
      <w:r w:rsidR="009351BE">
        <w:t>for</w:t>
      </w:r>
      <w:r w:rsidR="00A94E04">
        <w:t xml:space="preserve"> </w:t>
      </w:r>
      <w:r w:rsidR="002F6B8A">
        <w:t>approval.</w:t>
      </w:r>
      <w:r w:rsidR="00182832">
        <w:t xml:space="preserve"> </w:t>
      </w:r>
    </w:p>
    <w:p w14:paraId="05BBFB26" w14:textId="309B8114" w:rsidR="006B1614" w:rsidRDefault="00194FAB" w:rsidP="00C0739E">
      <w:pPr>
        <w:pStyle w:val="BodyText"/>
      </w:pPr>
      <w:r>
        <w:t xml:space="preserve">With the </w:t>
      </w:r>
      <w:r w:rsidR="00E70AD8">
        <w:t>Housing Accord</w:t>
      </w:r>
      <w:r>
        <w:t xml:space="preserve"> in </w:t>
      </w:r>
      <w:r w:rsidR="00E70AD8">
        <w:t>its</w:t>
      </w:r>
      <w:r>
        <w:t xml:space="preserve"> final </w:t>
      </w:r>
      <w:r w:rsidR="006069A3">
        <w:t xml:space="preserve">three years to 30 June 2029, </w:t>
      </w:r>
      <w:r w:rsidR="0000673A">
        <w:t xml:space="preserve">acceleration of the approval process </w:t>
      </w:r>
      <w:r w:rsidR="00886887">
        <w:t>will help to optimise project delivery timeframes</w:t>
      </w:r>
      <w:r w:rsidR="00B44E6A">
        <w:t>,</w:t>
      </w:r>
      <w:r w:rsidR="006B1614">
        <w:t xml:space="preserve"> improve the ability to manage delivery risks, respond to project attrition</w:t>
      </w:r>
      <w:r w:rsidR="00A81F08">
        <w:t>,</w:t>
      </w:r>
      <w:r w:rsidR="006B1614">
        <w:t xml:space="preserve"> and recover any project schedule slippage.</w:t>
      </w:r>
    </w:p>
    <w:p w14:paraId="3364AED0" w14:textId="0DBE1049" w:rsidR="00A71771" w:rsidRDefault="007F4E4A" w:rsidP="00C0739E">
      <w:pPr>
        <w:pStyle w:val="BodyText"/>
      </w:pPr>
      <w:r>
        <w:t xml:space="preserve">More broadly, there is a need for closer cultural alignment between the Board and </w:t>
      </w:r>
      <w:r w:rsidR="008B1ACB">
        <w:t>m</w:t>
      </w:r>
      <w:r>
        <w:t xml:space="preserve">anagement to ensure a shared understanding of the organisation’s </w:t>
      </w:r>
      <w:r w:rsidR="008A3F33">
        <w:t>priorities</w:t>
      </w:r>
      <w:r>
        <w:t xml:space="preserve">, risk culture, and delivery objectives. </w:t>
      </w:r>
      <w:r w:rsidR="007315E4">
        <w:t xml:space="preserve">Strengthening this alignment </w:t>
      </w:r>
      <w:r w:rsidR="00476A83">
        <w:t>will</w:t>
      </w:r>
      <w:r w:rsidR="007315E4">
        <w:t xml:space="preserve"> help foster a culture that supports both</w:t>
      </w:r>
      <w:r w:rsidR="004F517D">
        <w:t xml:space="preserve"> strong </w:t>
      </w:r>
      <w:r w:rsidR="00DD4EC0">
        <w:t xml:space="preserve">oversight and the efficient progression of projects while delivering on the objectives of the HAFFF and NHAF. </w:t>
      </w:r>
    </w:p>
    <w:p w14:paraId="4212A605" w14:textId="50DE5E2A" w:rsidR="009F60B6" w:rsidRPr="00575DF9" w:rsidRDefault="00321A4A" w:rsidP="00FC400E">
      <w:pPr>
        <w:pStyle w:val="BodyText"/>
        <w:rPr>
          <w:strike/>
        </w:rPr>
      </w:pPr>
      <w:r>
        <w:t>Further discussion of process improvement is in section 7.3 and delegations in section 8.3.</w:t>
      </w:r>
    </w:p>
    <w:p w14:paraId="6FADE8A5" w14:textId="153B949D" w:rsidR="009D3D63" w:rsidRPr="009D3D63" w:rsidRDefault="009D3D63" w:rsidP="009D3D63">
      <w:pPr>
        <w:pStyle w:val="Heading2"/>
      </w:pPr>
      <w:bookmarkStart w:id="54" w:name="_Toc238029896"/>
      <w:bookmarkStart w:id="55" w:name="_Toc238029897"/>
      <w:bookmarkStart w:id="56" w:name="_Toc237932773"/>
      <w:bookmarkStart w:id="57" w:name="_Toc237941042"/>
      <w:bookmarkStart w:id="58" w:name="_Toc238805495"/>
      <w:bookmarkEnd w:id="54"/>
      <w:bookmarkEnd w:id="55"/>
      <w:bookmarkEnd w:id="56"/>
      <w:bookmarkEnd w:id="57"/>
      <w:r>
        <w:t>Board skills mix</w:t>
      </w:r>
      <w:bookmarkEnd w:id="58"/>
    </w:p>
    <w:p w14:paraId="485769CA" w14:textId="43F055C2" w:rsidR="00BD5BF6" w:rsidRPr="00BD5BF6" w:rsidRDefault="00BD5BF6" w:rsidP="007755CD">
      <w:pPr>
        <w:pStyle w:val="BodyText"/>
      </w:pPr>
      <w:r w:rsidRPr="00BD5BF6">
        <w:t>Housing Australia’s Board has strong finance, investment and transaction capability, reflecting the organisation’s origins and the demands of assessing and contracting HAFF</w:t>
      </w:r>
      <w:r w:rsidR="00146A6B">
        <w:t>F</w:t>
      </w:r>
      <w:r w:rsidRPr="00BD5BF6">
        <w:t xml:space="preserve"> and NHAF projects. These skills remain essential to the stewardship of public funds. However, Housing Australia’s role has expanded from specialist financier to delivery agency, and the HAFF is moving from assessment and contracting into, project delivery and long-term portfolio stewardship. Board attention has </w:t>
      </w:r>
      <w:r w:rsidR="00AF7B37">
        <w:t xml:space="preserve">however </w:t>
      </w:r>
      <w:r w:rsidRPr="00BD5BF6">
        <w:t xml:space="preserve">remained concentrated on financial and </w:t>
      </w:r>
      <w:r w:rsidR="009C2E91">
        <w:t xml:space="preserve">individual </w:t>
      </w:r>
      <w:r w:rsidRPr="00BD5BF6">
        <w:t>transaction risk</w:t>
      </w:r>
      <w:r w:rsidR="009C2E91">
        <w:t>s</w:t>
      </w:r>
      <w:r w:rsidRPr="00BD5BF6">
        <w:t>, while program</w:t>
      </w:r>
      <w:r w:rsidR="009C2E91">
        <w:t xml:space="preserve"> </w:t>
      </w:r>
      <w:r w:rsidRPr="00BD5BF6">
        <w:t>forecasting, delivery</w:t>
      </w:r>
      <w:r w:rsidR="009C2E91">
        <w:t xml:space="preserve"> </w:t>
      </w:r>
      <w:r w:rsidRPr="00BD5BF6">
        <w:t>risk assessment and oversight of progress towards the</w:t>
      </w:r>
      <w:r w:rsidR="009C2E91">
        <w:t xml:space="preserve"> program </w:t>
      </w:r>
      <w:r w:rsidRPr="00BD5BF6">
        <w:t>target</w:t>
      </w:r>
      <w:r w:rsidR="009C2E91">
        <w:t>s</w:t>
      </w:r>
      <w:r w:rsidRPr="00BD5BF6">
        <w:t xml:space="preserve"> are </w:t>
      </w:r>
      <w:r w:rsidR="00941CDC">
        <w:t>developing</w:t>
      </w:r>
      <w:r w:rsidRPr="00BD5BF6">
        <w:t xml:space="preserve">. </w:t>
      </w:r>
    </w:p>
    <w:p w14:paraId="51985B66" w14:textId="5CF7728F" w:rsidR="00176E4A" w:rsidRDefault="008A0EF1" w:rsidP="007755CD">
      <w:pPr>
        <w:pStyle w:val="BodyText"/>
      </w:pPr>
      <w:r>
        <w:t xml:space="preserve">Under the Housing Australia Act, Board members </w:t>
      </w:r>
      <w:r w:rsidR="00F801A1">
        <w:t xml:space="preserve">need to </w:t>
      </w:r>
      <w:r>
        <w:t xml:space="preserve">collectively have an appropriate balance of qualifications or experience across multiple fields. </w:t>
      </w:r>
      <w:r w:rsidR="00AA49CA">
        <w:t>Consistent with the Act</w:t>
      </w:r>
      <w:r w:rsidR="00213A5C">
        <w:t>, t</w:t>
      </w:r>
      <w:r w:rsidR="00E85D4B" w:rsidRPr="00E85D4B">
        <w:t xml:space="preserve">he Board skills mix should </w:t>
      </w:r>
      <w:r w:rsidR="006218C6">
        <w:t xml:space="preserve">retain </w:t>
      </w:r>
      <w:r w:rsidR="00B075F3">
        <w:t xml:space="preserve">significant </w:t>
      </w:r>
      <w:r w:rsidR="00B075F3" w:rsidRPr="00E85D4B">
        <w:t>finance</w:t>
      </w:r>
      <w:r w:rsidR="00E85D4B" w:rsidRPr="00E85D4B">
        <w:t xml:space="preserve"> and investment expertise while adding deeper experience in large-scale </w:t>
      </w:r>
      <w:r w:rsidR="00201B36">
        <w:t>housing</w:t>
      </w:r>
      <w:r w:rsidR="00E85D4B" w:rsidRPr="00E85D4B">
        <w:t xml:space="preserve"> development</w:t>
      </w:r>
      <w:r w:rsidR="00917C03">
        <w:t xml:space="preserve"> which incorporates</w:t>
      </w:r>
      <w:r w:rsidR="00E85D4B" w:rsidRPr="00E85D4B">
        <w:t xml:space="preserve"> program and project delivery and portfolio oversight. These capabilities would strengthen challenge and decision-making on schedule risk, construction-market pressures, counterparty capability, delivery confidence, interventions and </w:t>
      </w:r>
      <w:r w:rsidR="002021BE">
        <w:t>therefore</w:t>
      </w:r>
      <w:r w:rsidR="00E85D4B" w:rsidRPr="00E85D4B">
        <w:t xml:space="preserve"> achievement of Government housing outcomes. </w:t>
      </w:r>
    </w:p>
    <w:p w14:paraId="24934DAB" w14:textId="10C58AB9" w:rsidR="00E85D4B" w:rsidRPr="00E85D4B" w:rsidRDefault="00470775" w:rsidP="007755CD">
      <w:pPr>
        <w:pStyle w:val="BodyText"/>
      </w:pPr>
      <w:r>
        <w:t>As recommended by the Department of Finance</w:t>
      </w:r>
      <w:r w:rsidR="00F1615E">
        <w:rPr>
          <w:rStyle w:val="FootnoteReference"/>
        </w:rPr>
        <w:footnoteReference w:id="9"/>
      </w:r>
      <w:r>
        <w:t xml:space="preserve">, SIV boards should maintain and regularly update a </w:t>
      </w:r>
      <w:r w:rsidR="00DE13BC">
        <w:t>B</w:t>
      </w:r>
      <w:r>
        <w:t xml:space="preserve">oard </w:t>
      </w:r>
      <w:r w:rsidR="008C405A">
        <w:t>s</w:t>
      </w:r>
      <w:r>
        <w:t xml:space="preserve">kills </w:t>
      </w:r>
      <w:r w:rsidR="008C405A">
        <w:t>m</w:t>
      </w:r>
      <w:r>
        <w:t xml:space="preserve">atrix and board information pack, which can be leveraged </w:t>
      </w:r>
      <w:r w:rsidR="001A130E">
        <w:t>when addressing</w:t>
      </w:r>
      <w:r>
        <w:t xml:space="preserve"> </w:t>
      </w:r>
      <w:r w:rsidR="000F426C">
        <w:t>b</w:t>
      </w:r>
      <w:r>
        <w:t xml:space="preserve">oard vacancies. The Board skills matrix should be reviewed annually following board performance evaluations. </w:t>
      </w:r>
      <w:r w:rsidR="00320118">
        <w:t xml:space="preserve">The </w:t>
      </w:r>
      <w:r w:rsidR="00247513">
        <w:t xml:space="preserve">Housing Australia </w:t>
      </w:r>
      <w:r w:rsidR="00320118">
        <w:t xml:space="preserve">Board skill mix </w:t>
      </w:r>
      <w:r w:rsidR="00667D5D">
        <w:t xml:space="preserve">should be reviewed during the </w:t>
      </w:r>
      <w:r w:rsidR="00320118">
        <w:t xml:space="preserve">next scheduled Board Evaluation process </w:t>
      </w:r>
      <w:r w:rsidR="00667D5D">
        <w:t>and c</w:t>
      </w:r>
      <w:r w:rsidR="00F16F72">
        <w:t>onsideration given to suitability</w:t>
      </w:r>
      <w:r w:rsidR="00B672DB">
        <w:t xml:space="preserve">, </w:t>
      </w:r>
      <w:r w:rsidR="00A400D1">
        <w:t xml:space="preserve">specifically </w:t>
      </w:r>
      <w:r w:rsidR="00B672DB">
        <w:t xml:space="preserve">regarding the </w:t>
      </w:r>
      <w:r w:rsidR="00A400D1">
        <w:t xml:space="preserve">adequacy of </w:t>
      </w:r>
      <w:r w:rsidR="00E85D4B" w:rsidRPr="00E85D4B">
        <w:t>property development, program delivery and project management experience, whil</w:t>
      </w:r>
      <w:r w:rsidR="00B411A7">
        <w:t>st</w:t>
      </w:r>
      <w:r w:rsidR="00E85D4B" w:rsidRPr="00E85D4B">
        <w:t xml:space="preserve"> preserving the </w:t>
      </w:r>
      <w:r w:rsidR="00F775E9">
        <w:t>approp</w:t>
      </w:r>
      <w:r w:rsidR="00723BB3">
        <w:t xml:space="preserve">riate </w:t>
      </w:r>
      <w:r w:rsidR="00E85D4B" w:rsidRPr="00E85D4B">
        <w:t>finance and investment capability required for sound stewardship of public resources.</w:t>
      </w:r>
      <w:r w:rsidR="00C07D9E">
        <w:t xml:space="preserve"> </w:t>
      </w:r>
    </w:p>
    <w:p w14:paraId="59F8ECFF" w14:textId="4DEC1152" w:rsidR="00134EAB" w:rsidRPr="00CE7416" w:rsidRDefault="00134EAB" w:rsidP="006B0BAC">
      <w:pPr>
        <w:pStyle w:val="Heading2"/>
      </w:pPr>
      <w:bookmarkStart w:id="59" w:name="_Toc238805496"/>
      <w:r w:rsidRPr="00CE7416">
        <w:lastRenderedPageBreak/>
        <w:t>Delegations</w:t>
      </w:r>
      <w:bookmarkEnd w:id="59"/>
    </w:p>
    <w:p w14:paraId="464DD998" w14:textId="15BA4D34" w:rsidR="00AC6E1D" w:rsidRDefault="00AC6E1D" w:rsidP="009B7D41">
      <w:pPr>
        <w:pStyle w:val="BodyText"/>
        <w:rPr>
          <w:kern w:val="2"/>
          <w:lang w:eastAsia="en-AU"/>
          <w14:ligatures w14:val="standardContextual"/>
        </w:rPr>
      </w:pPr>
      <w:r>
        <w:t>Housing Australia has a financial risk approach for its programs and projects</w:t>
      </w:r>
      <w:r w:rsidR="00037E19">
        <w:t xml:space="preserve"> under which, a</w:t>
      </w:r>
      <w:r>
        <w:t>lmost all HAFF</w:t>
      </w:r>
      <w:r w:rsidR="000A3265">
        <w:t>F</w:t>
      </w:r>
      <w:r>
        <w:t xml:space="preserve"> and NHAF </w:t>
      </w:r>
      <w:r w:rsidR="002C2120">
        <w:t xml:space="preserve">contracts to date have been subject to </w:t>
      </w:r>
      <w:r>
        <w:t xml:space="preserve">approval </w:t>
      </w:r>
      <w:r w:rsidR="00C62130">
        <w:t xml:space="preserve">of </w:t>
      </w:r>
      <w:r>
        <w:t xml:space="preserve">the Board Investment Committee and </w:t>
      </w:r>
      <w:r w:rsidR="00D44F78">
        <w:t>the B</w:t>
      </w:r>
      <w:r>
        <w:t>oard.</w:t>
      </w:r>
    </w:p>
    <w:p w14:paraId="11DF17CF" w14:textId="505C1CEC" w:rsidR="00AC6E1D" w:rsidRDefault="00F176BB" w:rsidP="009B7D41">
      <w:pPr>
        <w:pStyle w:val="BodyText"/>
        <w:rPr>
          <w:kern w:val="2"/>
          <w:lang w:eastAsia="en-AU"/>
          <w14:ligatures w14:val="standardContextual"/>
        </w:rPr>
      </w:pPr>
      <w:r>
        <w:t>With respect to HAFF,</w:t>
      </w:r>
      <w:r w:rsidR="00595FDB" w:rsidDel="00F176BB">
        <w:t xml:space="preserve"> </w:t>
      </w:r>
      <w:r w:rsidR="00595FDB">
        <w:t xml:space="preserve">learnings have been incorporated into </w:t>
      </w:r>
      <w:r>
        <w:t xml:space="preserve">the design of </w:t>
      </w:r>
      <w:r w:rsidR="00595FDB">
        <w:t>HAFF</w:t>
      </w:r>
      <w:r w:rsidR="00AC6E1D">
        <w:t xml:space="preserve"> FR03 includ</w:t>
      </w:r>
      <w:r w:rsidR="00595FDB">
        <w:t>ing</w:t>
      </w:r>
      <w:r w:rsidR="00AC6E1D">
        <w:t xml:space="preserve"> standard terms and conditions, more robust evaluation</w:t>
      </w:r>
      <w:r w:rsidR="00595FDB">
        <w:t xml:space="preserve"> such as use of </w:t>
      </w:r>
      <w:r w:rsidR="00AC6E1D">
        <w:t>delivery benchmark</w:t>
      </w:r>
      <w:r w:rsidR="001705C8">
        <w:t xml:space="preserve">s, and </w:t>
      </w:r>
      <w:r w:rsidR="00AC6E1D">
        <w:t>internal processes and practices to mitigate program risk.</w:t>
      </w:r>
    </w:p>
    <w:p w14:paraId="3CA9F134" w14:textId="7616D554" w:rsidR="00AC6E1D" w:rsidRDefault="002A5E01" w:rsidP="009B7D41">
      <w:pPr>
        <w:pStyle w:val="BodyText"/>
        <w:rPr>
          <w:kern w:val="2"/>
          <w:lang w:eastAsia="en-AU"/>
          <w14:ligatures w14:val="standardContextual"/>
        </w:rPr>
      </w:pPr>
      <w:r>
        <w:t xml:space="preserve">Under current practice, </w:t>
      </w:r>
      <w:r w:rsidR="0030258E">
        <w:t>over 10</w:t>
      </w:r>
      <w:r w:rsidR="00AC6E1D">
        <w:t xml:space="preserve">0 FR03 projects are expected to require </w:t>
      </w:r>
      <w:r>
        <w:t xml:space="preserve">Board Investment Committee and </w:t>
      </w:r>
      <w:r w:rsidR="00AC6E1D">
        <w:t xml:space="preserve">Board approval </w:t>
      </w:r>
      <w:r w:rsidR="00222BC6">
        <w:t>over the next six months</w:t>
      </w:r>
      <w:r w:rsidR="00AC6E1D">
        <w:t xml:space="preserve">, more than four times the 2025 </w:t>
      </w:r>
      <w:r>
        <w:t xml:space="preserve">transaction </w:t>
      </w:r>
      <w:r w:rsidR="00AC6E1D">
        <w:t>volume</w:t>
      </w:r>
      <w:r>
        <w:t>,</w:t>
      </w:r>
      <w:r w:rsidR="00AC6E1D">
        <w:t xml:space="preserve"> in half the timeframe. Approval activity is expected to peak between October 2026 and January 2027 at more than 20 projects </w:t>
      </w:r>
      <w:r w:rsidR="0094587D">
        <w:t>per</w:t>
      </w:r>
      <w:r w:rsidR="00AC6E1D">
        <w:t xml:space="preserve"> month. With four to five Board meetings </w:t>
      </w:r>
      <w:r w:rsidR="0094587D">
        <w:t xml:space="preserve">scheduled </w:t>
      </w:r>
      <w:r w:rsidR="00AC6E1D">
        <w:t xml:space="preserve">during this period, approximately 20 projects </w:t>
      </w:r>
      <w:r w:rsidR="0094587D">
        <w:t xml:space="preserve">will likely </w:t>
      </w:r>
      <w:r w:rsidR="00AC6E1D">
        <w:t>require approval at each meeting, placing a substantial burden on both the Board and its Investment Committee.</w:t>
      </w:r>
    </w:p>
    <w:p w14:paraId="3C55CF81" w14:textId="54C3E072" w:rsidR="00AC6E1D" w:rsidRDefault="0094587D" w:rsidP="009B7D41">
      <w:pPr>
        <w:pStyle w:val="BodyText"/>
        <w:rPr>
          <w:kern w:val="2"/>
          <w:lang w:eastAsia="en-AU"/>
          <w14:ligatures w14:val="standardContextual"/>
        </w:rPr>
      </w:pPr>
      <w:r>
        <w:t>Concurrently, a</w:t>
      </w:r>
      <w:r w:rsidR="00AC6E1D">
        <w:t xml:space="preserve">pproval delays reduce the time available for </w:t>
      </w:r>
      <w:r w:rsidR="00131816">
        <w:t xml:space="preserve">project </w:t>
      </w:r>
      <w:r w:rsidR="00AC6E1D">
        <w:t xml:space="preserve">delivery and increase the risk to achieving the </w:t>
      </w:r>
      <w:r w:rsidR="00131816">
        <w:t>HAFF</w:t>
      </w:r>
      <w:r w:rsidR="00991694">
        <w:t>F</w:t>
      </w:r>
      <w:r w:rsidR="00131816">
        <w:t xml:space="preserve"> and NHAF </w:t>
      </w:r>
      <w:r w:rsidR="00AC6E1D">
        <w:t xml:space="preserve">30 June 2029 target, particularly for projects awaiting approval. </w:t>
      </w:r>
    </w:p>
    <w:p w14:paraId="35ACCCE2" w14:textId="0BA8A3A6" w:rsidR="00FF139C" w:rsidRDefault="00FF139C" w:rsidP="009B7D41">
      <w:pPr>
        <w:pStyle w:val="BodyText"/>
        <w:rPr>
          <w:kern w:val="2"/>
          <w:lang w:eastAsia="en-AU"/>
          <w14:ligatures w14:val="standardContextual"/>
        </w:rPr>
      </w:pPr>
      <w:r>
        <w:t xml:space="preserve">Housing Australia should revise its transaction approval delegations using a risk-based approach </w:t>
      </w:r>
      <w:r w:rsidR="00B102D7">
        <w:t xml:space="preserve">to </w:t>
      </w:r>
      <w:r>
        <w:t>reflects the controls embedded in FR03</w:t>
      </w:r>
      <w:r w:rsidR="00B102D7">
        <w:t xml:space="preserve">, the </w:t>
      </w:r>
      <w:r>
        <w:t xml:space="preserve">maturity of its systems and expertise, </w:t>
      </w:r>
      <w:r w:rsidR="00C76F61">
        <w:t xml:space="preserve">and </w:t>
      </w:r>
      <w:r>
        <w:t xml:space="preserve">the Commonwealth’s exposure and portfolio-level risk. </w:t>
      </w:r>
      <w:r w:rsidR="00C76F61">
        <w:t xml:space="preserve">Ideally, </w:t>
      </w:r>
      <w:r>
        <w:t xml:space="preserve">Board approval </w:t>
      </w:r>
      <w:r w:rsidDel="00C76F61">
        <w:t>sh</w:t>
      </w:r>
      <w:r>
        <w:t>ould be reserved for exceptional transactions, with the Board otherwise relying on assurance, exception and performance reporting</w:t>
      </w:r>
      <w:r w:rsidR="005139BE">
        <w:t xml:space="preserve"> for oversight</w:t>
      </w:r>
      <w:r>
        <w:t xml:space="preserve">. If delegations </w:t>
      </w:r>
      <w:r w:rsidR="005139BE">
        <w:t>are not</w:t>
      </w:r>
      <w:r>
        <w:t xml:space="preserve"> changed before the peak approval period, the frequency or duration of Board and Investment Committee meetings should be increased as an interim measure.</w:t>
      </w:r>
    </w:p>
    <w:p w14:paraId="79D3217E" w14:textId="77777777" w:rsidR="006806AB" w:rsidRPr="00EC4A6E" w:rsidRDefault="006806AB" w:rsidP="006806AB">
      <w:pPr>
        <w:pStyle w:val="Heading2"/>
      </w:pPr>
      <w:bookmarkStart w:id="60" w:name="_Toc238144691"/>
      <w:bookmarkStart w:id="61" w:name="_Toc238194661"/>
      <w:bookmarkStart w:id="62" w:name="_Toc238195053"/>
      <w:bookmarkStart w:id="63" w:name="_Toc238144692"/>
      <w:bookmarkStart w:id="64" w:name="_Toc238194662"/>
      <w:bookmarkStart w:id="65" w:name="_Toc238195054"/>
      <w:bookmarkStart w:id="66" w:name="_Toc238144693"/>
      <w:bookmarkStart w:id="67" w:name="_Toc238194663"/>
      <w:bookmarkStart w:id="68" w:name="_Toc238195055"/>
      <w:bookmarkStart w:id="69" w:name="_Toc238144694"/>
      <w:bookmarkStart w:id="70" w:name="_Toc238194664"/>
      <w:bookmarkStart w:id="71" w:name="_Toc238195056"/>
      <w:bookmarkStart w:id="72" w:name="_Toc238144695"/>
      <w:bookmarkStart w:id="73" w:name="_Toc238194665"/>
      <w:bookmarkStart w:id="74" w:name="_Toc238195057"/>
      <w:bookmarkStart w:id="75" w:name="_Toc238144696"/>
      <w:bookmarkStart w:id="76" w:name="_Toc238194666"/>
      <w:bookmarkStart w:id="77" w:name="_Toc238195058"/>
      <w:bookmarkStart w:id="78" w:name="_Toc238144697"/>
      <w:bookmarkStart w:id="79" w:name="_Toc238194667"/>
      <w:bookmarkStart w:id="80" w:name="_Toc238195059"/>
      <w:bookmarkStart w:id="81" w:name="_Toc238144698"/>
      <w:bookmarkStart w:id="82" w:name="_Toc238194668"/>
      <w:bookmarkStart w:id="83" w:name="_Toc238195060"/>
      <w:bookmarkStart w:id="84" w:name="_Toc238144699"/>
      <w:bookmarkStart w:id="85" w:name="_Toc238194669"/>
      <w:bookmarkStart w:id="86" w:name="_Toc238195061"/>
      <w:bookmarkStart w:id="87" w:name="_Toc238805497"/>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EC4A6E">
        <w:t>Data, systems and reporting</w:t>
      </w:r>
      <w:bookmarkEnd w:id="87"/>
    </w:p>
    <w:p w14:paraId="33B8D8D5" w14:textId="77777777" w:rsidR="006806AB" w:rsidRDefault="006806AB" w:rsidP="009B7D41">
      <w:pPr>
        <w:pStyle w:val="BodyText"/>
        <w:rPr>
          <w:kern w:val="2"/>
          <w:lang w:eastAsia="en-AU"/>
          <w14:ligatures w14:val="standardContextual"/>
        </w:rPr>
      </w:pPr>
      <w:r>
        <w:t>Reliable project data is required to support program forecasting, risk assessment, reporting and timely responses to stakeholder enquiries. Since 2024, Housing Australia has pursued initiatives to collect, store and use delivery data, including the SRT. Stakeholders nevertheless identified instances where information was not readily available to respond to enquiries, indicating that the supporting data and systems arrangements require further development.</w:t>
      </w:r>
    </w:p>
    <w:p w14:paraId="5563392C" w14:textId="77777777" w:rsidR="006806AB" w:rsidRDefault="006806AB" w:rsidP="009B7D41">
      <w:pPr>
        <w:pStyle w:val="BodyText"/>
        <w:rPr>
          <w:kern w:val="2"/>
          <w:lang w:eastAsia="en-AU"/>
          <w14:ligatures w14:val="standardContextual"/>
        </w:rPr>
      </w:pPr>
      <w:r>
        <w:t>The SRT has improved access to project information, but its value depends on complete, accurate and consistently defined data. Further development should include:</w:t>
      </w:r>
    </w:p>
    <w:p w14:paraId="5A9525FF" w14:textId="77777777" w:rsidR="006806AB" w:rsidRPr="00511CAB" w:rsidRDefault="006806AB" w:rsidP="005D00A1">
      <w:pPr>
        <w:pStyle w:val="ListBullet1"/>
      </w:pPr>
      <w:r w:rsidRPr="005D00A1">
        <w:t>Validation rules that prevent inconsistent entries, such as a forecast completion date preceding construction commencement.</w:t>
      </w:r>
    </w:p>
    <w:p w14:paraId="26DF9FC0" w14:textId="77777777" w:rsidR="006806AB" w:rsidRPr="00511CAB" w:rsidRDefault="006806AB" w:rsidP="005D00A1">
      <w:pPr>
        <w:pStyle w:val="ListBullet1"/>
      </w:pPr>
      <w:r w:rsidRPr="005D00A1">
        <w:t>Proportionate verification, including periodic checks that reported approvals relate to the project details in the relevant funding agreement.</w:t>
      </w:r>
    </w:p>
    <w:p w14:paraId="6C0042BE" w14:textId="77777777" w:rsidR="006806AB" w:rsidRPr="00511CAB" w:rsidRDefault="006806AB" w:rsidP="005D00A1">
      <w:pPr>
        <w:pStyle w:val="ListBullet1"/>
      </w:pPr>
      <w:r w:rsidRPr="005D00A1">
        <w:t>Clear and consistent recording of project completion.</w:t>
      </w:r>
    </w:p>
    <w:p w14:paraId="610D637D" w14:textId="77777777" w:rsidR="006806AB" w:rsidRDefault="006806AB" w:rsidP="009B7D41">
      <w:pPr>
        <w:pStyle w:val="BodyText"/>
        <w:rPr>
          <w:kern w:val="2"/>
          <w:lang w:eastAsia="en-AU"/>
          <w14:ligatures w14:val="standardContextual"/>
        </w:rPr>
      </w:pPr>
      <w:r>
        <w:t>SRT data should feed a single source of truth for delivery information, supported by clear ownership, definitions and quality controls. This would provide the data foundation for the portfolio forecasting, risk reporting and delivery oversight described elsewhere in this report, while supporting consistent responses to Government and other stakeholders.</w:t>
      </w:r>
    </w:p>
    <w:p w14:paraId="59AEA4F9" w14:textId="77777777" w:rsidR="006806AB" w:rsidRDefault="006806AB" w:rsidP="009B7D41">
      <w:pPr>
        <w:pStyle w:val="BodyText"/>
        <w:rPr>
          <w:kern w:val="2"/>
          <w:lang w:eastAsia="en-AU"/>
          <w14:ligatures w14:val="standardContextual"/>
        </w:rPr>
      </w:pPr>
      <w:r>
        <w:t>Housing Australia should continue its planned systems and data improvements, prioritising changes that support critical delivery decisions and reporting without displacing urgent program activity.</w:t>
      </w:r>
    </w:p>
    <w:p w14:paraId="186213EB" w14:textId="39F53573" w:rsidR="002A2638" w:rsidRDefault="0064748A" w:rsidP="00511CAB">
      <w:pPr>
        <w:pStyle w:val="Heading1"/>
      </w:pPr>
      <w:bookmarkStart w:id="88" w:name="_Toc238144701"/>
      <w:bookmarkStart w:id="89" w:name="_Toc238194671"/>
      <w:bookmarkStart w:id="90" w:name="_Toc238195063"/>
      <w:bookmarkStart w:id="91" w:name="_Toc238144702"/>
      <w:bookmarkStart w:id="92" w:name="_Toc238194672"/>
      <w:bookmarkStart w:id="93" w:name="_Toc238195064"/>
      <w:bookmarkStart w:id="94" w:name="_Toc238144703"/>
      <w:bookmarkStart w:id="95" w:name="_Toc238194673"/>
      <w:bookmarkStart w:id="96" w:name="_Toc238195065"/>
      <w:bookmarkStart w:id="97" w:name="_Toc238144704"/>
      <w:bookmarkStart w:id="98" w:name="_Toc238194674"/>
      <w:bookmarkStart w:id="99" w:name="_Toc238195066"/>
      <w:bookmarkStart w:id="100" w:name="_Toc238144705"/>
      <w:bookmarkStart w:id="101" w:name="_Toc238194675"/>
      <w:bookmarkStart w:id="102" w:name="_Toc238195067"/>
      <w:bookmarkStart w:id="103" w:name="_Toc238144706"/>
      <w:bookmarkStart w:id="104" w:name="_Toc238194676"/>
      <w:bookmarkStart w:id="105" w:name="_Toc238195068"/>
      <w:bookmarkStart w:id="106" w:name="_Toc238805498"/>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lastRenderedPageBreak/>
        <w:t>Strategic relationships</w:t>
      </w:r>
      <w:bookmarkEnd w:id="106"/>
    </w:p>
    <w:p w14:paraId="4DA3EE49" w14:textId="3BBE8E33" w:rsidR="00BA500C" w:rsidRPr="009B7D41" w:rsidRDefault="00BA500C" w:rsidP="00BA500C">
      <w:pPr>
        <w:pStyle w:val="Heading2"/>
      </w:pPr>
      <w:bookmarkStart w:id="107" w:name="_Toc238805499"/>
      <w:r w:rsidRPr="009B7D41">
        <w:t>Housing Australia’s relationship with Treasury</w:t>
      </w:r>
      <w:bookmarkEnd w:id="107"/>
    </w:p>
    <w:p w14:paraId="3356DD08" w14:textId="22AD2108" w:rsidR="00D71F73" w:rsidRPr="009B7D41" w:rsidRDefault="007C1C7F" w:rsidP="009B7D41">
      <w:pPr>
        <w:pStyle w:val="BodyText"/>
      </w:pPr>
      <w:r w:rsidRPr="009B7D41">
        <w:t xml:space="preserve">Treasury and Housing Australia play distinct but complementary roles in delivering the Government’s housing agenda. </w:t>
      </w:r>
      <w:r w:rsidR="00D71F73" w:rsidRPr="009B7D41">
        <w:t xml:space="preserve">Treasury </w:t>
      </w:r>
      <w:r w:rsidRPr="009B7D41">
        <w:t xml:space="preserve">is responsible for </w:t>
      </w:r>
      <w:r w:rsidR="00D71F73" w:rsidRPr="009B7D41">
        <w:t xml:space="preserve">advising Government on </w:t>
      </w:r>
      <w:r w:rsidR="003614C0" w:rsidRPr="009B7D41">
        <w:t xml:space="preserve">housing </w:t>
      </w:r>
      <w:r w:rsidR="00D71F73" w:rsidRPr="009B7D41">
        <w:t>policy, program design, legislation and funding, coordinating whole-of-government and intergovernmental activity, supporting Ministers and Cabinet, overseeing program performance and shared risks</w:t>
      </w:r>
      <w:r w:rsidR="002A7912">
        <w:t xml:space="preserve">, </w:t>
      </w:r>
      <w:r w:rsidR="005E1A16">
        <w:t>and integrating policy feedback and delivery performance across multiple delivery partners</w:t>
      </w:r>
      <w:r w:rsidR="00D71F73" w:rsidRPr="009B7D41">
        <w:t>.</w:t>
      </w:r>
    </w:p>
    <w:p w14:paraId="209272A6" w14:textId="599F67D7" w:rsidR="00D71F73" w:rsidRPr="009B7D41" w:rsidRDefault="005A58C9" w:rsidP="009B7D41">
      <w:pPr>
        <w:pStyle w:val="BodyText"/>
        <w:rPr>
          <w:kern w:val="2"/>
          <w:lang w:eastAsia="en-AU"/>
          <w14:ligatures w14:val="standardContextual"/>
        </w:rPr>
      </w:pPr>
      <w:r w:rsidRPr="009B7D41">
        <w:t>As a C</w:t>
      </w:r>
      <w:r w:rsidR="004F208A">
        <w:t>C</w:t>
      </w:r>
      <w:r w:rsidRPr="009B7D41" w:rsidDel="004F208A">
        <w:t>E</w:t>
      </w:r>
      <w:r w:rsidRPr="009B7D41">
        <w:t xml:space="preserve"> within the Treasury portfolio, </w:t>
      </w:r>
      <w:r w:rsidR="00D71F73" w:rsidRPr="009B7D41">
        <w:t xml:space="preserve">Housing Australia </w:t>
      </w:r>
      <w:r w:rsidRPr="009B7D41">
        <w:t xml:space="preserve">applies </w:t>
      </w:r>
      <w:r w:rsidR="00D71F73" w:rsidRPr="009B7D41">
        <w:t>commercial and housing-sector expertise to financ</w:t>
      </w:r>
      <w:r w:rsidR="00224751">
        <w:t>ing</w:t>
      </w:r>
      <w:r w:rsidR="00D71F73" w:rsidRPr="009B7D41">
        <w:t>, assess</w:t>
      </w:r>
      <w:r w:rsidR="006D749D">
        <w:t>ing</w:t>
      </w:r>
      <w:r w:rsidR="00D71F73" w:rsidRPr="009B7D41">
        <w:t>, contract</w:t>
      </w:r>
      <w:r w:rsidR="006D749D">
        <w:t>ing</w:t>
      </w:r>
      <w:r w:rsidR="00D71F73" w:rsidRPr="009B7D41">
        <w:t xml:space="preserve"> and oversee</w:t>
      </w:r>
      <w:r w:rsidR="006D749D">
        <w:t>ing</w:t>
      </w:r>
      <w:r w:rsidR="00D71F73" w:rsidRPr="009B7D41">
        <w:t xml:space="preserve"> </w:t>
      </w:r>
      <w:r w:rsidR="004F208A">
        <w:t xml:space="preserve">housing </w:t>
      </w:r>
      <w:r w:rsidR="00D71F73" w:rsidRPr="009B7D41">
        <w:t>programs, build sector capability and enabl</w:t>
      </w:r>
      <w:r w:rsidR="00224751">
        <w:t>ing</w:t>
      </w:r>
      <w:r w:rsidR="00D71F73" w:rsidRPr="009B7D41">
        <w:t xml:space="preserve"> delivery through </w:t>
      </w:r>
      <w:r w:rsidR="004C5A03">
        <w:t>s</w:t>
      </w:r>
      <w:r w:rsidR="00D71F73" w:rsidRPr="009B7D41">
        <w:t xml:space="preserve">tates and </w:t>
      </w:r>
      <w:r w:rsidR="004C5A03">
        <w:t>t</w:t>
      </w:r>
      <w:r w:rsidR="00D71F73" w:rsidRPr="009B7D41">
        <w:t xml:space="preserve">erritories, </w:t>
      </w:r>
      <w:r w:rsidR="00224751">
        <w:t xml:space="preserve">CHPs, </w:t>
      </w:r>
      <w:r w:rsidR="00D71F73" w:rsidRPr="009B7D41">
        <w:t xml:space="preserve">and other partners. </w:t>
      </w:r>
    </w:p>
    <w:p w14:paraId="7B17B9F9" w14:textId="2B63E395" w:rsidR="00D71F73" w:rsidRDefault="008D4E72" w:rsidP="009B7D41">
      <w:pPr>
        <w:pStyle w:val="BodyText"/>
      </w:pPr>
      <w:r w:rsidRPr="009B7D41">
        <w:t xml:space="preserve">Given the shared objective of increasing housing supply, strong </w:t>
      </w:r>
      <w:r w:rsidR="00D71F73" w:rsidRPr="009B7D41">
        <w:t xml:space="preserve">collaboration </w:t>
      </w:r>
      <w:r w:rsidRPr="009B7D41">
        <w:t>between Treasury and Housing Australia is critical.</w:t>
      </w:r>
      <w:r w:rsidR="00D71F73" w:rsidRPr="009B7D41">
        <w:t xml:space="preserve"> </w:t>
      </w:r>
      <w:r w:rsidR="00FF07E8" w:rsidRPr="009B7D41">
        <w:t>Existing arrangement</w:t>
      </w:r>
      <w:r w:rsidR="007362F1">
        <w:t>s</w:t>
      </w:r>
      <w:r w:rsidR="00FF07E8" w:rsidRPr="009B7D41">
        <w:t>, including t</w:t>
      </w:r>
      <w:r w:rsidR="00D71F73" w:rsidRPr="009B7D41">
        <w:t xml:space="preserve">he </w:t>
      </w:r>
      <w:r w:rsidR="00224751">
        <w:t>MoU</w:t>
      </w:r>
      <w:r w:rsidR="00F33961">
        <w:t>,</w:t>
      </w:r>
      <w:r w:rsidR="00EF622D" w:rsidRPr="009B7D41">
        <w:t xml:space="preserve"> joint</w:t>
      </w:r>
      <w:r w:rsidR="00D71F73" w:rsidRPr="009B7D41">
        <w:t xml:space="preserve"> Steering Committee</w:t>
      </w:r>
      <w:r w:rsidR="00F33961">
        <w:t xml:space="preserve"> and Treasury</w:t>
      </w:r>
      <w:r w:rsidR="00A867C5">
        <w:t xml:space="preserve"> </w:t>
      </w:r>
      <w:r w:rsidR="00555655">
        <w:t>providing an observer to the Board</w:t>
      </w:r>
      <w:r w:rsidR="007362F1">
        <w:t>,</w:t>
      </w:r>
      <w:r w:rsidR="00D71F73" w:rsidRPr="009B7D41">
        <w:t xml:space="preserve"> provide </w:t>
      </w:r>
      <w:r w:rsidR="00E37E76" w:rsidRPr="009B7D41">
        <w:t>mechanisms</w:t>
      </w:r>
      <w:r w:rsidR="00D71F73" w:rsidRPr="009B7D41">
        <w:t xml:space="preserve"> </w:t>
      </w:r>
      <w:r w:rsidR="00712423">
        <w:t xml:space="preserve">to support </w:t>
      </w:r>
      <w:r w:rsidR="00D71F73" w:rsidRPr="009B7D41">
        <w:t xml:space="preserve">information sharing, shared-risk management, consideration of policy and delivery matters, and issue escalation and resolution. </w:t>
      </w:r>
      <w:r w:rsidR="00A47D88">
        <w:t>Work is underwa</w:t>
      </w:r>
      <w:r w:rsidR="00E37E76" w:rsidRPr="009B7D41">
        <w:t xml:space="preserve">y to further clarify </w:t>
      </w:r>
      <w:r w:rsidR="00D71F73" w:rsidRPr="009B7D41">
        <w:t xml:space="preserve">the Steering Committee’s decision and escalation role, aligning its terms of reference and membership with the </w:t>
      </w:r>
      <w:r w:rsidR="00A47D88">
        <w:t>MoU</w:t>
      </w:r>
      <w:r w:rsidR="00D71F73" w:rsidRPr="009B7D41">
        <w:t>, and completing the agreed review of the terms of reference.</w:t>
      </w:r>
    </w:p>
    <w:p w14:paraId="5A79E662" w14:textId="393DB4C7" w:rsidR="002B375A" w:rsidRPr="009B7D41" w:rsidRDefault="000F32F8" w:rsidP="009B7D41">
      <w:pPr>
        <w:pStyle w:val="BodyText"/>
        <w:rPr>
          <w:kern w:val="2"/>
          <w:lang w:eastAsia="en-AU"/>
          <w14:ligatures w14:val="standardContextual"/>
        </w:rPr>
      </w:pPr>
      <w:r>
        <w:rPr>
          <w:kern w:val="2"/>
          <w:lang w:eastAsia="en-AU"/>
          <w14:ligatures w14:val="standardContextual"/>
        </w:rPr>
        <w:t xml:space="preserve">The </w:t>
      </w:r>
      <w:r w:rsidR="00834256">
        <w:rPr>
          <w:kern w:val="2"/>
          <w:lang w:eastAsia="en-AU"/>
          <w14:ligatures w14:val="standardContextual"/>
        </w:rPr>
        <w:t xml:space="preserve">role of the </w:t>
      </w:r>
      <w:r w:rsidR="00290014" w:rsidRPr="00290014">
        <w:rPr>
          <w:kern w:val="2"/>
          <w:lang w:eastAsia="en-AU"/>
          <w14:ligatures w14:val="standardContextual"/>
        </w:rPr>
        <w:t xml:space="preserve">board observer </w:t>
      </w:r>
      <w:r w:rsidR="00290014">
        <w:rPr>
          <w:kern w:val="2"/>
          <w:lang w:eastAsia="en-AU"/>
          <w14:ligatures w14:val="standardContextual"/>
        </w:rPr>
        <w:t xml:space="preserve">from Treasury, </w:t>
      </w:r>
      <w:r w:rsidR="00290014" w:rsidRPr="00290014">
        <w:rPr>
          <w:kern w:val="2"/>
          <w:lang w:eastAsia="en-AU"/>
          <w14:ligatures w14:val="standardContextual"/>
        </w:rPr>
        <w:t xml:space="preserve">provides a formal mechanism under </w:t>
      </w:r>
      <w:r w:rsidR="00E854D8">
        <w:rPr>
          <w:kern w:val="2"/>
          <w:lang w:eastAsia="en-AU"/>
          <w14:ligatures w14:val="standardContextual"/>
        </w:rPr>
        <w:t>s</w:t>
      </w:r>
      <w:r w:rsidR="00290014" w:rsidRPr="00290014">
        <w:rPr>
          <w:kern w:val="2"/>
          <w:lang w:eastAsia="en-AU"/>
          <w14:ligatures w14:val="standardContextual"/>
        </w:rPr>
        <w:t xml:space="preserve">ection 27 of the </w:t>
      </w:r>
      <w:r w:rsidR="00290014">
        <w:rPr>
          <w:i/>
        </w:rPr>
        <w:t>Housing Australia Act</w:t>
      </w:r>
      <w:r w:rsidR="00B65053">
        <w:rPr>
          <w:i/>
        </w:rPr>
        <w:t xml:space="preserve"> </w:t>
      </w:r>
      <w:r w:rsidR="00C52FC3">
        <w:rPr>
          <w:i/>
          <w:iCs/>
        </w:rPr>
        <w:t xml:space="preserve">2018 </w:t>
      </w:r>
      <w:r w:rsidR="00C52FC3">
        <w:t>(Cth)</w:t>
      </w:r>
      <w:r w:rsidR="00290014" w:rsidRPr="00290014">
        <w:rPr>
          <w:kern w:val="2"/>
          <w:lang w:eastAsia="en-AU"/>
          <w14:ligatures w14:val="standardContextual"/>
        </w:rPr>
        <w:t xml:space="preserve"> for Treasury engagement and information sharing with the Board. The Observer may attend Board meetings and observe deliberations but is not a Board member and has no voting rights.</w:t>
      </w:r>
    </w:p>
    <w:p w14:paraId="0986F5C8" w14:textId="44B87688" w:rsidR="00670E21" w:rsidRDefault="00670E21" w:rsidP="009B7D41">
      <w:pPr>
        <w:pStyle w:val="BodyText"/>
        <w:rPr>
          <w:kern w:val="2"/>
          <w:lang w:eastAsia="en-AU"/>
          <w14:ligatures w14:val="standardContextual"/>
        </w:rPr>
      </w:pPr>
      <w:r w:rsidRPr="00670E21">
        <w:rPr>
          <w:kern w:val="2"/>
          <w:lang w:eastAsia="en-AU"/>
          <w14:ligatures w14:val="standardContextual"/>
        </w:rPr>
        <w:t xml:space="preserve">Practically, this means enhancing Treasury's oversight of Housing Australia by improving visibility of </w:t>
      </w:r>
      <w:r w:rsidR="002C3892">
        <w:rPr>
          <w:kern w:val="2"/>
          <w:lang w:eastAsia="en-AU"/>
          <w14:ligatures w14:val="standardContextual"/>
        </w:rPr>
        <w:t>b</w:t>
      </w:r>
      <w:r w:rsidRPr="00670E21">
        <w:rPr>
          <w:kern w:val="2"/>
          <w:lang w:eastAsia="en-AU"/>
          <w14:ligatures w14:val="standardContextual"/>
        </w:rPr>
        <w:t>oard activities, strengthening communication between the organisations, and supporting continuous improvement in governance, risk management and strategic direction, while maintaining the Board's independence.</w:t>
      </w:r>
    </w:p>
    <w:p w14:paraId="35FBC258" w14:textId="19E49A38" w:rsidR="00D71F73" w:rsidRPr="009B7D41" w:rsidRDefault="00E37E76" w:rsidP="009B7D41">
      <w:pPr>
        <w:pStyle w:val="BodyText"/>
        <w:rPr>
          <w:kern w:val="2"/>
          <w:lang w:eastAsia="en-AU"/>
          <w14:ligatures w14:val="standardContextual"/>
        </w:rPr>
      </w:pPr>
      <w:r w:rsidRPr="009B7D41">
        <w:t>As programs mature and deliver</w:t>
      </w:r>
      <w:r w:rsidR="007362F1">
        <w:t>y</w:t>
      </w:r>
      <w:r w:rsidRPr="009B7D41">
        <w:t xml:space="preserve"> activity increases, s</w:t>
      </w:r>
      <w:r w:rsidR="00D71F73" w:rsidRPr="009B7D41">
        <w:t xml:space="preserve">hared risks should be reviewed </w:t>
      </w:r>
      <w:r w:rsidR="00F30018" w:rsidRPr="009B7D41">
        <w:t xml:space="preserve">at least </w:t>
      </w:r>
      <w:r w:rsidR="00D71F73" w:rsidRPr="009B7D41">
        <w:t xml:space="preserve">quarterly, with actions, accountable owners and reporting arrangements </w:t>
      </w:r>
      <w:r w:rsidR="00731BAB">
        <w:t xml:space="preserve">in place to avoid duplicated or missed </w:t>
      </w:r>
      <w:r w:rsidR="00C65A87">
        <w:t>actions</w:t>
      </w:r>
      <w:r w:rsidR="00D71F73" w:rsidRPr="009B7D41">
        <w:t xml:space="preserve">. Consistent reporting </w:t>
      </w:r>
      <w:r w:rsidR="00246E83" w:rsidRPr="009B7D41">
        <w:t xml:space="preserve">utilising reliable </w:t>
      </w:r>
      <w:r w:rsidR="00D71F73" w:rsidRPr="009B7D41">
        <w:t xml:space="preserve">data should provide Treasury with timely delivery intelligence and help Housing Australia distinguish matters requiring policy, funding or ministerial decisions from those within its operational and investment responsibilities. </w:t>
      </w:r>
    </w:p>
    <w:p w14:paraId="59B2B454" w14:textId="61A2FDCC" w:rsidR="002B726C" w:rsidRDefault="00A1512D" w:rsidP="009B7D41">
      <w:pPr>
        <w:pStyle w:val="BodyText"/>
        <w:rPr>
          <w:kern w:val="2"/>
          <w:lang w:eastAsia="en-AU"/>
          <w14:ligatures w14:val="standardContextual"/>
        </w:rPr>
      </w:pPr>
      <w:r w:rsidRPr="009B7D41">
        <w:t>Refining</w:t>
      </w:r>
      <w:r w:rsidR="00EC469C" w:rsidRPr="009B7D41">
        <w:t xml:space="preserve"> the arrangements</w:t>
      </w:r>
      <w:r w:rsidR="00D71F73" w:rsidRPr="009B7D41">
        <w:t xml:space="preserve"> </w:t>
      </w:r>
      <w:r w:rsidR="00EC469C" w:rsidRPr="009B7D41">
        <w:t>between Treasury and Housing Australia</w:t>
      </w:r>
      <w:r w:rsidR="00D71F73" w:rsidRPr="009B7D41">
        <w:t xml:space="preserve"> would clarify the interface between policy and delivery. Treasury would receive consistent program intelligence </w:t>
      </w:r>
      <w:r w:rsidR="00BD775D">
        <w:t>to inform</w:t>
      </w:r>
      <w:r w:rsidR="00BD775D" w:rsidRPr="009B7D41">
        <w:t xml:space="preserve"> </w:t>
      </w:r>
      <w:r w:rsidR="00D71F73" w:rsidRPr="009B7D41">
        <w:t>portfolio oversight</w:t>
      </w:r>
      <w:r w:rsidR="00F91BFD">
        <w:t>, portfolio reporting,</w:t>
      </w:r>
      <w:r w:rsidR="00D71F73" w:rsidRPr="009B7D41">
        <w:t xml:space="preserve"> and timely advice to Government, while Housing Australia would have clearer direction, escalation pathways and access to decisions needed to administer programs within its statutory and investment responsibilities.</w:t>
      </w:r>
    </w:p>
    <w:p w14:paraId="7E7CB606" w14:textId="19777A6C" w:rsidR="002B726C" w:rsidRDefault="002B726C" w:rsidP="002B726C">
      <w:pPr>
        <w:pStyle w:val="Heading2"/>
        <w:rPr>
          <w:lang w:eastAsia="en-AU"/>
        </w:rPr>
      </w:pPr>
      <w:bookmarkStart w:id="108" w:name="_Toc238805500"/>
      <w:r>
        <w:rPr>
          <w:lang w:eastAsia="en-AU"/>
        </w:rPr>
        <w:t>Working with states and territories</w:t>
      </w:r>
      <w:bookmarkEnd w:id="108"/>
    </w:p>
    <w:p w14:paraId="621C2D88" w14:textId="77777777" w:rsidR="000E2213" w:rsidRDefault="002039EB" w:rsidP="002039EB">
      <w:pPr>
        <w:pStyle w:val="BodyText"/>
        <w:rPr>
          <w:lang w:eastAsia="en-AU"/>
        </w:rPr>
      </w:pPr>
      <w:r w:rsidRPr="00FF25C0">
        <w:rPr>
          <w:lang w:eastAsia="en-AU"/>
        </w:rPr>
        <w:t xml:space="preserve">States and territories are </w:t>
      </w:r>
      <w:r w:rsidR="000850D9">
        <w:rPr>
          <w:lang w:eastAsia="en-AU"/>
        </w:rPr>
        <w:t xml:space="preserve">ideally placed as </w:t>
      </w:r>
      <w:r w:rsidR="00B84FA0">
        <w:rPr>
          <w:lang w:eastAsia="en-AU"/>
        </w:rPr>
        <w:t>key</w:t>
      </w:r>
      <w:r w:rsidRPr="00FF25C0">
        <w:rPr>
          <w:lang w:eastAsia="en-AU"/>
        </w:rPr>
        <w:t xml:space="preserve"> delivery partners for Housing Australia, </w:t>
      </w:r>
      <w:r w:rsidR="005D3118">
        <w:rPr>
          <w:lang w:eastAsia="en-AU"/>
        </w:rPr>
        <w:t xml:space="preserve">given their ongoing </w:t>
      </w:r>
      <w:r w:rsidR="003F78E7">
        <w:rPr>
          <w:lang w:eastAsia="en-AU"/>
        </w:rPr>
        <w:t>mandates in the social and affordable housing delivery agenda. In looking to leverage their skills</w:t>
      </w:r>
      <w:r w:rsidR="005B1096">
        <w:rPr>
          <w:lang w:eastAsia="en-AU"/>
        </w:rPr>
        <w:t xml:space="preserve">, experience and capabilities, the HAFF </w:t>
      </w:r>
      <w:r w:rsidR="000850D9">
        <w:rPr>
          <w:lang w:eastAsia="en-AU"/>
        </w:rPr>
        <w:t xml:space="preserve">program </w:t>
      </w:r>
      <w:r w:rsidR="005B1096">
        <w:rPr>
          <w:lang w:eastAsia="en-AU"/>
        </w:rPr>
        <w:t>includes specific initiatives designed for state and territory participation</w:t>
      </w:r>
      <w:r w:rsidR="00B96DA6">
        <w:rPr>
          <w:lang w:eastAsia="en-AU"/>
        </w:rPr>
        <w:t xml:space="preserve"> (i.e. </w:t>
      </w:r>
      <w:r w:rsidRPr="00FF25C0">
        <w:rPr>
          <w:lang w:eastAsia="en-AU"/>
        </w:rPr>
        <w:t>HAFF F</w:t>
      </w:r>
      <w:r w:rsidR="00FF25C0" w:rsidRPr="009B7D41">
        <w:rPr>
          <w:lang w:eastAsia="en-AU"/>
        </w:rPr>
        <w:t xml:space="preserve">R02 </w:t>
      </w:r>
      <w:r w:rsidRPr="00FF25C0">
        <w:rPr>
          <w:lang w:eastAsia="en-AU"/>
        </w:rPr>
        <w:t>and F</w:t>
      </w:r>
      <w:r w:rsidR="00FF25C0" w:rsidRPr="009B7D41">
        <w:rPr>
          <w:lang w:eastAsia="en-AU"/>
        </w:rPr>
        <w:t>R03</w:t>
      </w:r>
      <w:r w:rsidRPr="00FF25C0">
        <w:rPr>
          <w:lang w:eastAsia="en-AU"/>
        </w:rPr>
        <w:t xml:space="preserve"> Stream 3</w:t>
      </w:r>
      <w:r w:rsidR="00B96DA6">
        <w:rPr>
          <w:lang w:eastAsia="en-AU"/>
        </w:rPr>
        <w:t>)</w:t>
      </w:r>
      <w:r w:rsidRPr="00FF25C0">
        <w:rPr>
          <w:lang w:eastAsia="en-AU"/>
        </w:rPr>
        <w:t xml:space="preserve">. </w:t>
      </w:r>
    </w:p>
    <w:p w14:paraId="526CE679" w14:textId="04B22625" w:rsidR="00794C29" w:rsidRDefault="005F0CDA" w:rsidP="002039EB">
      <w:pPr>
        <w:pStyle w:val="BodyText"/>
        <w:rPr>
          <w:lang w:eastAsia="en-AU"/>
        </w:rPr>
      </w:pPr>
      <w:r>
        <w:rPr>
          <w:lang w:eastAsia="en-AU"/>
        </w:rPr>
        <w:t xml:space="preserve">States and territories </w:t>
      </w:r>
      <w:r w:rsidR="00AD3A99">
        <w:rPr>
          <w:lang w:eastAsia="en-AU"/>
        </w:rPr>
        <w:t xml:space="preserve">operate long established </w:t>
      </w:r>
      <w:r w:rsidR="000E2213">
        <w:rPr>
          <w:lang w:eastAsia="en-AU"/>
        </w:rPr>
        <w:t>social and affordable housing functions</w:t>
      </w:r>
      <w:r w:rsidR="00AD3A99">
        <w:rPr>
          <w:lang w:eastAsia="en-AU"/>
        </w:rPr>
        <w:t xml:space="preserve"> with</w:t>
      </w:r>
      <w:r w:rsidR="00974ACD">
        <w:rPr>
          <w:lang w:eastAsia="en-AU"/>
        </w:rPr>
        <w:t xml:space="preserve"> mature capabilities and strong market relationships in their </w:t>
      </w:r>
      <w:r w:rsidR="00A5618C">
        <w:rPr>
          <w:lang w:eastAsia="en-AU"/>
        </w:rPr>
        <w:t xml:space="preserve">respective </w:t>
      </w:r>
      <w:r w:rsidR="00974ACD">
        <w:rPr>
          <w:lang w:eastAsia="en-AU"/>
        </w:rPr>
        <w:t xml:space="preserve">markets. They </w:t>
      </w:r>
      <w:r w:rsidR="00941CDC">
        <w:rPr>
          <w:lang w:eastAsia="en-AU"/>
        </w:rPr>
        <w:t>understand</w:t>
      </w:r>
      <w:r w:rsidR="00424F05">
        <w:rPr>
          <w:lang w:eastAsia="en-AU"/>
        </w:rPr>
        <w:t xml:space="preserve"> </w:t>
      </w:r>
      <w:r w:rsidR="00A5618C">
        <w:rPr>
          <w:lang w:eastAsia="en-AU"/>
        </w:rPr>
        <w:t xml:space="preserve">housing </w:t>
      </w:r>
      <w:r w:rsidR="00424F05">
        <w:rPr>
          <w:lang w:eastAsia="en-AU"/>
        </w:rPr>
        <w:t>demand</w:t>
      </w:r>
      <w:r w:rsidR="00A5618C">
        <w:rPr>
          <w:lang w:eastAsia="en-AU"/>
        </w:rPr>
        <w:t>s</w:t>
      </w:r>
      <w:r w:rsidR="00424F05">
        <w:rPr>
          <w:lang w:eastAsia="en-AU"/>
        </w:rPr>
        <w:t xml:space="preserve"> within their geographies and appreciate supply </w:t>
      </w:r>
      <w:r w:rsidR="008607A6">
        <w:rPr>
          <w:lang w:eastAsia="en-AU"/>
        </w:rPr>
        <w:t xml:space="preserve">and market </w:t>
      </w:r>
      <w:r w:rsidR="00424F05">
        <w:rPr>
          <w:lang w:eastAsia="en-AU"/>
        </w:rPr>
        <w:t xml:space="preserve">challenges in </w:t>
      </w:r>
      <w:r w:rsidR="008607A6">
        <w:rPr>
          <w:lang w:eastAsia="en-AU"/>
        </w:rPr>
        <w:t>both metropolitan, regional and remo</w:t>
      </w:r>
      <w:r w:rsidR="006060E5">
        <w:rPr>
          <w:lang w:eastAsia="en-AU"/>
        </w:rPr>
        <w:t>t</w:t>
      </w:r>
      <w:r w:rsidR="008607A6">
        <w:rPr>
          <w:lang w:eastAsia="en-AU"/>
        </w:rPr>
        <w:t>e locations</w:t>
      </w:r>
      <w:r w:rsidR="00424F05">
        <w:rPr>
          <w:lang w:eastAsia="en-AU"/>
        </w:rPr>
        <w:t xml:space="preserve">. </w:t>
      </w:r>
      <w:r w:rsidR="001E5E4E">
        <w:rPr>
          <w:lang w:eastAsia="en-AU"/>
        </w:rPr>
        <w:t>This represents an opportunity for Housing Australia beyond the funding rounds</w:t>
      </w:r>
      <w:r w:rsidR="00782193">
        <w:rPr>
          <w:lang w:eastAsia="en-AU"/>
        </w:rPr>
        <w:t xml:space="preserve"> designed for their access. </w:t>
      </w:r>
    </w:p>
    <w:p w14:paraId="15DB5D15" w14:textId="371D5798" w:rsidR="00862FC4" w:rsidRDefault="005F0CDA" w:rsidP="00BD0608">
      <w:pPr>
        <w:pStyle w:val="BodyText"/>
      </w:pPr>
      <w:r>
        <w:rPr>
          <w:lang w:eastAsia="en-AU"/>
        </w:rPr>
        <w:t>The maturity of r</w:t>
      </w:r>
      <w:r w:rsidR="002039EB" w:rsidRPr="00FF25C0">
        <w:rPr>
          <w:lang w:eastAsia="en-AU"/>
        </w:rPr>
        <w:t xml:space="preserve">elationships </w:t>
      </w:r>
      <w:r w:rsidR="00766AB8">
        <w:rPr>
          <w:lang w:eastAsia="en-AU"/>
        </w:rPr>
        <w:t xml:space="preserve">between Housing Australia and </w:t>
      </w:r>
      <w:r w:rsidR="00431924">
        <w:rPr>
          <w:lang w:eastAsia="en-AU"/>
        </w:rPr>
        <w:t xml:space="preserve">states and territories </w:t>
      </w:r>
      <w:r w:rsidR="002039EB" w:rsidRPr="00FF25C0">
        <w:rPr>
          <w:lang w:eastAsia="en-AU"/>
        </w:rPr>
        <w:t xml:space="preserve">vary </w:t>
      </w:r>
      <w:r w:rsidR="00DE0364">
        <w:rPr>
          <w:lang w:eastAsia="en-AU"/>
        </w:rPr>
        <w:t>as does</w:t>
      </w:r>
      <w:r w:rsidR="0062125A">
        <w:rPr>
          <w:lang w:eastAsia="en-AU"/>
        </w:rPr>
        <w:t xml:space="preserve"> </w:t>
      </w:r>
      <w:r w:rsidR="00431924">
        <w:rPr>
          <w:lang w:eastAsia="en-AU"/>
        </w:rPr>
        <w:t xml:space="preserve">the </w:t>
      </w:r>
      <w:r w:rsidR="00245805">
        <w:rPr>
          <w:lang w:eastAsia="en-AU"/>
        </w:rPr>
        <w:t xml:space="preserve">level of participation in the Housing Australia programs. </w:t>
      </w:r>
      <w:r w:rsidR="007F37DB">
        <w:rPr>
          <w:lang w:eastAsia="en-AU"/>
        </w:rPr>
        <w:t>Given</w:t>
      </w:r>
      <w:r w:rsidR="00F93524">
        <w:rPr>
          <w:lang w:eastAsia="en-AU"/>
        </w:rPr>
        <w:t xml:space="preserve"> </w:t>
      </w:r>
      <w:r w:rsidR="00E8521A">
        <w:rPr>
          <w:lang w:eastAsia="en-AU"/>
        </w:rPr>
        <w:t xml:space="preserve">the heavy </w:t>
      </w:r>
      <w:r w:rsidR="00F93524">
        <w:rPr>
          <w:lang w:eastAsia="en-AU"/>
        </w:rPr>
        <w:t xml:space="preserve">alignment on housing outcomes, </w:t>
      </w:r>
      <w:r w:rsidR="00137FE7">
        <w:rPr>
          <w:lang w:eastAsia="en-AU"/>
        </w:rPr>
        <w:t xml:space="preserve">Housing </w:t>
      </w:r>
      <w:r w:rsidR="00137FE7">
        <w:rPr>
          <w:lang w:eastAsia="en-AU"/>
        </w:rPr>
        <w:lastRenderedPageBreak/>
        <w:t xml:space="preserve">Australia should </w:t>
      </w:r>
      <w:r w:rsidR="00BD0608">
        <w:t>develop stronger working relationships</w:t>
      </w:r>
      <w:r w:rsidR="00E8521A">
        <w:t xml:space="preserve"> </w:t>
      </w:r>
      <w:r w:rsidR="00BD0608">
        <w:t xml:space="preserve">with states and territories that extend beyond the funding rounds and create a strategic partnership that supports </w:t>
      </w:r>
      <w:r w:rsidR="00177829">
        <w:t>those</w:t>
      </w:r>
      <w:r w:rsidR="00BD0608">
        <w:t xml:space="preserve"> outcomes.</w:t>
      </w:r>
      <w:r w:rsidR="00177829">
        <w:t xml:space="preserve"> </w:t>
      </w:r>
    </w:p>
    <w:p w14:paraId="2E7F4A0F" w14:textId="74964B41" w:rsidR="00CA7D68" w:rsidRPr="00500F8B" w:rsidRDefault="00177829" w:rsidP="00511CAB">
      <w:pPr>
        <w:pStyle w:val="BodyText"/>
      </w:pPr>
      <w:r>
        <w:t xml:space="preserve">Potential for partnership </w:t>
      </w:r>
      <w:r w:rsidR="0095183B">
        <w:t xml:space="preserve">improvements include </w:t>
      </w:r>
      <w:r w:rsidR="00BF0324" w:rsidRPr="00FF25C0">
        <w:rPr>
          <w:lang w:eastAsia="en-AU"/>
        </w:rPr>
        <w:t>assign</w:t>
      </w:r>
      <w:r w:rsidR="00BF0324">
        <w:rPr>
          <w:lang w:eastAsia="en-AU"/>
        </w:rPr>
        <w:t>ing</w:t>
      </w:r>
      <w:r w:rsidR="00BF0324" w:rsidRPr="00FF25C0">
        <w:rPr>
          <w:lang w:eastAsia="en-AU"/>
        </w:rPr>
        <w:t xml:space="preserve"> accountable relationship owners, establish</w:t>
      </w:r>
      <w:r w:rsidR="003218E0">
        <w:rPr>
          <w:lang w:eastAsia="en-AU"/>
        </w:rPr>
        <w:t>ing</w:t>
      </w:r>
      <w:r w:rsidR="00BF0324" w:rsidRPr="00FF25C0">
        <w:rPr>
          <w:lang w:eastAsia="en-AU"/>
        </w:rPr>
        <w:t xml:space="preserve"> structured strategic and operational forums, implement</w:t>
      </w:r>
      <w:r w:rsidR="003218E0">
        <w:rPr>
          <w:lang w:eastAsia="en-AU"/>
        </w:rPr>
        <w:t>ing</w:t>
      </w:r>
      <w:r w:rsidR="00BF0324" w:rsidRPr="00FF25C0">
        <w:rPr>
          <w:lang w:eastAsia="en-AU"/>
        </w:rPr>
        <w:t xml:space="preserve"> consistent data-sharing, milestone monitoring and escalation protocols to support timely intervention</w:t>
      </w:r>
      <w:r w:rsidR="000F3CF3">
        <w:rPr>
          <w:lang w:eastAsia="en-AU"/>
        </w:rPr>
        <w:t>s</w:t>
      </w:r>
      <w:r w:rsidR="00BF0324" w:rsidRPr="00FF25C0">
        <w:rPr>
          <w:lang w:eastAsia="en-AU"/>
        </w:rPr>
        <w:t xml:space="preserve"> and a reliable </w:t>
      </w:r>
      <w:r w:rsidR="00255C50">
        <w:rPr>
          <w:lang w:eastAsia="en-AU"/>
        </w:rPr>
        <w:t xml:space="preserve">insight into </w:t>
      </w:r>
      <w:r w:rsidR="00BF0324" w:rsidRPr="00FF25C0">
        <w:rPr>
          <w:lang w:eastAsia="en-AU"/>
        </w:rPr>
        <w:t>delivery progress</w:t>
      </w:r>
      <w:r w:rsidR="00456539">
        <w:rPr>
          <w:lang w:eastAsia="en-AU"/>
        </w:rPr>
        <w:t>. This would assist in e</w:t>
      </w:r>
      <w:r w:rsidR="002039EB" w:rsidRPr="00FF25C0">
        <w:rPr>
          <w:lang w:eastAsia="en-AU"/>
        </w:rPr>
        <w:t>arlier identification and joint resolution of delivery barriers</w:t>
      </w:r>
      <w:r w:rsidR="00B30290">
        <w:rPr>
          <w:lang w:eastAsia="en-AU"/>
        </w:rPr>
        <w:t xml:space="preserve"> and ultimately, outcome achievement</w:t>
      </w:r>
      <w:r w:rsidR="002039EB" w:rsidRPr="00FF25C0">
        <w:rPr>
          <w:lang w:eastAsia="en-AU"/>
        </w:rPr>
        <w:t xml:space="preserve">. Housing Australia is seeking to manage these issues, but responsibility for state and territory relationships </w:t>
      </w:r>
      <w:r w:rsidR="00E50E65">
        <w:rPr>
          <w:lang w:eastAsia="en-AU"/>
        </w:rPr>
        <w:t>is presently</w:t>
      </w:r>
      <w:r w:rsidR="002039EB" w:rsidRPr="00FF25C0">
        <w:rPr>
          <w:lang w:eastAsia="en-AU"/>
        </w:rPr>
        <w:t xml:space="preserve"> dispersed and established jurisdictional reporting and delivery arrangements are not </w:t>
      </w:r>
      <w:r w:rsidR="00E50E65">
        <w:rPr>
          <w:lang w:eastAsia="en-AU"/>
        </w:rPr>
        <w:t xml:space="preserve">yet </w:t>
      </w:r>
      <w:r w:rsidR="002039EB" w:rsidRPr="00FF25C0">
        <w:rPr>
          <w:lang w:eastAsia="en-AU"/>
        </w:rPr>
        <w:t xml:space="preserve">fully used. </w:t>
      </w:r>
    </w:p>
    <w:p w14:paraId="6C4C6F84" w14:textId="5E405C01" w:rsidR="00263EC9" w:rsidRDefault="00263EC9" w:rsidP="00263EC9">
      <w:pPr>
        <w:pStyle w:val="Heading2"/>
      </w:pPr>
      <w:bookmarkStart w:id="109" w:name="_Toc237536622"/>
      <w:bookmarkStart w:id="110" w:name="_Toc237536623"/>
      <w:bookmarkStart w:id="111" w:name="_Toc237532593"/>
      <w:bookmarkStart w:id="112" w:name="_Toc237536624"/>
      <w:bookmarkStart w:id="113" w:name="_Toc238805501"/>
      <w:bookmarkEnd w:id="109"/>
      <w:bookmarkEnd w:id="110"/>
      <w:bookmarkEnd w:id="111"/>
      <w:bookmarkEnd w:id="112"/>
      <w:r>
        <w:t>C</w:t>
      </w:r>
      <w:r w:rsidR="00A9693E">
        <w:t>orporate c</w:t>
      </w:r>
      <w:r>
        <w:t>ommunications</w:t>
      </w:r>
      <w:bookmarkEnd w:id="113"/>
      <w:r>
        <w:t xml:space="preserve"> </w:t>
      </w:r>
    </w:p>
    <w:p w14:paraId="4B5F1D2E" w14:textId="3E6DD0DD" w:rsidR="00263EC9" w:rsidRDefault="00263EC9" w:rsidP="00263EC9">
      <w:pPr>
        <w:pStyle w:val="BodyText"/>
        <w:rPr>
          <w:lang w:eastAsia="en-AU"/>
        </w:rPr>
      </w:pPr>
      <w:r w:rsidRPr="002232FA">
        <w:rPr>
          <w:lang w:eastAsia="en-AU"/>
        </w:rPr>
        <w:t xml:space="preserve">Housing Australia has several artefacts and operating arrangements on which to build a more consistent approach to </w:t>
      </w:r>
      <w:r w:rsidR="00F81DBE">
        <w:rPr>
          <w:lang w:eastAsia="en-AU"/>
        </w:rPr>
        <w:t>engagement and communications</w:t>
      </w:r>
      <w:r w:rsidRPr="002232FA">
        <w:rPr>
          <w:lang w:eastAsia="en-AU"/>
        </w:rPr>
        <w:t>. These include its draft 2026 Engagement and Communication Strategy, the Investment Manager Model, the Treasury–Housing Australia Memorandum of Understanding</w:t>
      </w:r>
      <w:r>
        <w:rPr>
          <w:lang w:eastAsia="en-AU"/>
        </w:rPr>
        <w:t xml:space="preserve"> (MoU)</w:t>
      </w:r>
      <w:r w:rsidRPr="002232FA">
        <w:rPr>
          <w:lang w:eastAsia="en-AU"/>
        </w:rPr>
        <w:t xml:space="preserve"> and developing engagement arrangements with State and Territory housing agencies. </w:t>
      </w:r>
    </w:p>
    <w:p w14:paraId="1AEF3BDD" w14:textId="77777777" w:rsidR="00263EC9" w:rsidRDefault="00263EC9" w:rsidP="00263EC9">
      <w:pPr>
        <w:pStyle w:val="BodyText0"/>
      </w:pPr>
      <w:r>
        <w:t>Recent independent advice on the draft strategy is supported by evidence considered in this assessment. The advice identified the need for:</w:t>
      </w:r>
    </w:p>
    <w:p w14:paraId="66D85211" w14:textId="77777777" w:rsidR="00263EC9" w:rsidRPr="00EB3160" w:rsidRDefault="00263EC9" w:rsidP="005D00A1">
      <w:pPr>
        <w:pStyle w:val="ListBullet1"/>
        <w:rPr>
          <w:kern w:val="2"/>
          <w:lang w:eastAsia="en-AU"/>
          <w14:ligatures w14:val="standardContextual"/>
        </w:rPr>
      </w:pPr>
      <w:r>
        <w:t xml:space="preserve">a clearer organisational identity and narrative explaining Housing Australia’s role, mandate and delivery boundaries, </w:t>
      </w:r>
    </w:p>
    <w:p w14:paraId="13D14CA4" w14:textId="77777777" w:rsidR="00263EC9" w:rsidRPr="00EB3160" w:rsidRDefault="00263EC9" w:rsidP="005D00A1">
      <w:pPr>
        <w:pStyle w:val="ListBullet1"/>
        <w:rPr>
          <w:kern w:val="2"/>
          <w:lang w:eastAsia="en-AU"/>
          <w14:ligatures w14:val="standardContextual"/>
        </w:rPr>
      </w:pPr>
      <w:r>
        <w:t xml:space="preserve">explicit prioritisation of Ministers, Parliament, Treasury, states and territories and delivery partners, </w:t>
      </w:r>
    </w:p>
    <w:p w14:paraId="5F75E9B9" w14:textId="77777777" w:rsidR="00263EC9" w:rsidRPr="00EB3160" w:rsidRDefault="00263EC9" w:rsidP="005D00A1">
      <w:pPr>
        <w:pStyle w:val="ListBullet1"/>
        <w:rPr>
          <w:kern w:val="2"/>
          <w:lang w:eastAsia="en-AU"/>
          <w14:ligatures w14:val="standardContextual"/>
        </w:rPr>
      </w:pPr>
      <w:r>
        <w:t xml:space="preserve">clearer message ownership and approval pathways, and </w:t>
      </w:r>
    </w:p>
    <w:p w14:paraId="4994363F" w14:textId="77777777" w:rsidR="00263EC9" w:rsidRPr="00EB3160" w:rsidRDefault="00263EC9" w:rsidP="005D00A1">
      <w:pPr>
        <w:pStyle w:val="ListBullet1"/>
        <w:rPr>
          <w:kern w:val="2"/>
          <w:lang w:eastAsia="en-AU"/>
          <w14:ligatures w14:val="standardContextual"/>
        </w:rPr>
      </w:pPr>
      <w:r>
        <w:t xml:space="preserve">a more planned and sustainable operating model for engagement and communications. </w:t>
      </w:r>
    </w:p>
    <w:p w14:paraId="55F1F922" w14:textId="77777777" w:rsidR="00263EC9" w:rsidRDefault="00263EC9" w:rsidP="00263EC9">
      <w:pPr>
        <w:pStyle w:val="BodyText"/>
      </w:pPr>
      <w:r>
        <w:t>Stakeholder feedback also indicates that information requests, messaging and decision-making are not always coordinated across the organisation, and that greater use could be made of established state and territory reporting and delivery arrangements.</w:t>
      </w:r>
    </w:p>
    <w:p w14:paraId="09C84473" w14:textId="32F556A5" w:rsidR="00A9693E" w:rsidRPr="009B6296" w:rsidRDefault="00F84EA0" w:rsidP="00263EC9">
      <w:pPr>
        <w:pStyle w:val="BodyText"/>
        <w:rPr>
          <w:kern w:val="2"/>
          <w:lang w:eastAsia="en-AU"/>
          <w14:ligatures w14:val="standardContextual"/>
        </w:rPr>
      </w:pPr>
      <w:r w:rsidRPr="009B6296">
        <w:rPr>
          <w:kern w:val="2"/>
          <w:lang w:eastAsia="en-AU"/>
          <w14:ligatures w14:val="standardContextual"/>
        </w:rPr>
        <w:t xml:space="preserve">We understand </w:t>
      </w:r>
      <w:r w:rsidR="009B6296">
        <w:rPr>
          <w:kern w:val="2"/>
          <w:lang w:eastAsia="en-AU"/>
          <w14:ligatures w14:val="standardContextual"/>
        </w:rPr>
        <w:t xml:space="preserve">consideration </w:t>
      </w:r>
      <w:r w:rsidR="00733DC2">
        <w:rPr>
          <w:kern w:val="2"/>
          <w:lang w:eastAsia="en-AU"/>
          <w14:ligatures w14:val="standardContextual"/>
        </w:rPr>
        <w:t xml:space="preserve">is </w:t>
      </w:r>
      <w:r w:rsidR="009B6296">
        <w:rPr>
          <w:kern w:val="2"/>
          <w:lang w:eastAsia="en-AU"/>
          <w14:ligatures w14:val="standardContextual"/>
        </w:rPr>
        <w:t xml:space="preserve">being given to </w:t>
      </w:r>
      <w:r w:rsidR="004358F4" w:rsidRPr="009B6296">
        <w:rPr>
          <w:kern w:val="2"/>
          <w:lang w:eastAsia="en-AU"/>
          <w14:ligatures w14:val="standardContextual"/>
        </w:rPr>
        <w:t>increas</w:t>
      </w:r>
      <w:r w:rsidR="009B6296">
        <w:rPr>
          <w:kern w:val="2"/>
          <w:lang w:eastAsia="en-AU"/>
          <w14:ligatures w14:val="standardContextual"/>
        </w:rPr>
        <w:t>ing</w:t>
      </w:r>
      <w:r w:rsidR="00733DC2" w:rsidRPr="009B6296">
        <w:rPr>
          <w:kern w:val="2"/>
          <w:lang w:eastAsia="en-AU"/>
          <w14:ligatures w14:val="standardContextual"/>
        </w:rPr>
        <w:t xml:space="preserve"> engage</w:t>
      </w:r>
      <w:r w:rsidR="004358F4" w:rsidRPr="009B6296">
        <w:rPr>
          <w:kern w:val="2"/>
          <w:lang w:eastAsia="en-AU"/>
          <w14:ligatures w14:val="standardContextual"/>
        </w:rPr>
        <w:t>ment</w:t>
      </w:r>
      <w:r w:rsidR="00733DC2" w:rsidRPr="009B6296">
        <w:rPr>
          <w:kern w:val="2"/>
          <w:lang w:eastAsia="en-AU"/>
          <w14:ligatures w14:val="standardContextual"/>
        </w:rPr>
        <w:t xml:space="preserve"> with local communities </w:t>
      </w:r>
      <w:r w:rsidR="008A6C76" w:rsidRPr="009B6296">
        <w:rPr>
          <w:kern w:val="2"/>
          <w:lang w:eastAsia="en-AU"/>
          <w14:ligatures w14:val="standardContextual"/>
        </w:rPr>
        <w:t xml:space="preserve">to </w:t>
      </w:r>
      <w:r w:rsidR="00A433A0" w:rsidRPr="009B6296">
        <w:rPr>
          <w:kern w:val="2"/>
          <w:lang w:eastAsia="en-AU"/>
          <w14:ligatures w14:val="standardContextual"/>
        </w:rPr>
        <w:t>promote</w:t>
      </w:r>
      <w:r w:rsidR="008A6C76" w:rsidRPr="009B6296">
        <w:rPr>
          <w:kern w:val="2"/>
          <w:lang w:eastAsia="en-AU"/>
          <w14:ligatures w14:val="standardContextual"/>
        </w:rPr>
        <w:t xml:space="preserve"> the outcomes of its programs and initiatives</w:t>
      </w:r>
      <w:r w:rsidR="00733DC2" w:rsidRPr="009B6296">
        <w:rPr>
          <w:kern w:val="2"/>
          <w:lang w:eastAsia="en-AU"/>
          <w14:ligatures w14:val="standardContextual"/>
        </w:rPr>
        <w:t xml:space="preserve">. </w:t>
      </w:r>
      <w:r w:rsidR="000E03F1" w:rsidRPr="009B6296">
        <w:rPr>
          <w:kern w:val="2"/>
          <w:lang w:eastAsia="en-AU"/>
          <w14:ligatures w14:val="standardContextual"/>
        </w:rPr>
        <w:t xml:space="preserve">Should Housing Australia pursue </w:t>
      </w:r>
      <w:r w:rsidR="00F22D7D" w:rsidRPr="009B6296">
        <w:rPr>
          <w:kern w:val="2"/>
          <w:lang w:eastAsia="en-AU"/>
          <w14:ligatures w14:val="standardContextual"/>
        </w:rPr>
        <w:t>additional</w:t>
      </w:r>
      <w:r w:rsidR="00427FF8" w:rsidRPr="009B6296">
        <w:rPr>
          <w:kern w:val="2"/>
          <w:lang w:eastAsia="en-AU"/>
          <w14:ligatures w14:val="standardContextual"/>
        </w:rPr>
        <w:t xml:space="preserve"> local </w:t>
      </w:r>
      <w:r w:rsidR="00F22D7D" w:rsidRPr="009B6296">
        <w:rPr>
          <w:kern w:val="2"/>
          <w:lang w:eastAsia="en-AU"/>
          <w14:ligatures w14:val="standardContextual"/>
        </w:rPr>
        <w:t>community</w:t>
      </w:r>
      <w:r w:rsidR="000E03F1" w:rsidRPr="009B6296">
        <w:rPr>
          <w:kern w:val="2"/>
          <w:lang w:eastAsia="en-AU"/>
          <w14:ligatures w14:val="standardContextual"/>
        </w:rPr>
        <w:t xml:space="preserve"> </w:t>
      </w:r>
      <w:r w:rsidR="003C7E31" w:rsidRPr="009B6296">
        <w:rPr>
          <w:kern w:val="2"/>
          <w:lang w:eastAsia="en-AU"/>
          <w14:ligatures w14:val="standardContextual"/>
        </w:rPr>
        <w:t>promotion or</w:t>
      </w:r>
      <w:r w:rsidR="000E03F1" w:rsidRPr="009B6296">
        <w:rPr>
          <w:kern w:val="2"/>
          <w:lang w:eastAsia="en-AU"/>
          <w14:ligatures w14:val="standardContextual"/>
        </w:rPr>
        <w:t xml:space="preserve"> engagement, it will require </w:t>
      </w:r>
      <w:r w:rsidR="008D4A6E" w:rsidRPr="009B6296">
        <w:rPr>
          <w:kern w:val="2"/>
          <w:lang w:eastAsia="en-AU"/>
          <w14:ligatures w14:val="standardContextual"/>
        </w:rPr>
        <w:t>the necessary</w:t>
      </w:r>
      <w:r w:rsidR="000E03F1" w:rsidRPr="009B6296">
        <w:rPr>
          <w:kern w:val="2"/>
          <w:lang w:eastAsia="en-AU"/>
          <w14:ligatures w14:val="standardContextual"/>
        </w:rPr>
        <w:t xml:space="preserve"> capability, resources and supporting processes</w:t>
      </w:r>
      <w:r w:rsidR="00D869EA" w:rsidRPr="009B6296">
        <w:rPr>
          <w:kern w:val="2"/>
          <w:lang w:eastAsia="en-AU"/>
          <w14:ligatures w14:val="standardContextual"/>
        </w:rPr>
        <w:t xml:space="preserve"> to be successful. </w:t>
      </w:r>
      <w:r w:rsidR="001C68DD" w:rsidRPr="009B6296">
        <w:rPr>
          <w:kern w:val="2"/>
          <w:lang w:eastAsia="en-AU"/>
          <w14:ligatures w14:val="standardContextual"/>
        </w:rPr>
        <w:t xml:space="preserve">Expertise will be required to </w:t>
      </w:r>
      <w:r w:rsidR="000E03F1" w:rsidRPr="009B6296">
        <w:rPr>
          <w:kern w:val="2"/>
          <w:lang w:eastAsia="en-AU"/>
          <w14:ligatures w14:val="standardContextual"/>
        </w:rPr>
        <w:t>navigat</w:t>
      </w:r>
      <w:r w:rsidR="001C68DD" w:rsidRPr="009B6296">
        <w:rPr>
          <w:kern w:val="2"/>
          <w:lang w:eastAsia="en-AU"/>
          <w14:ligatures w14:val="standardContextual"/>
        </w:rPr>
        <w:t>e</w:t>
      </w:r>
      <w:r w:rsidR="000E03F1" w:rsidRPr="009B6296">
        <w:rPr>
          <w:kern w:val="2"/>
          <w:lang w:eastAsia="en-AU"/>
          <w14:ligatures w14:val="standardContextual"/>
        </w:rPr>
        <w:t xml:space="preserve"> planning approvals, strategic communications, and media management, to ensure communications are coordinated, accurate and aligned with Government objectives</w:t>
      </w:r>
      <w:r w:rsidR="00AA6C7D" w:rsidRPr="009B6296">
        <w:rPr>
          <w:kern w:val="2"/>
          <w:lang w:eastAsia="en-AU"/>
          <w14:ligatures w14:val="standardContextual"/>
        </w:rPr>
        <w:t xml:space="preserve">. </w:t>
      </w:r>
    </w:p>
    <w:p w14:paraId="3EEF7CEC" w14:textId="494C0C26" w:rsidR="00FB3420" w:rsidRDefault="00263EC9" w:rsidP="00263EC9">
      <w:pPr>
        <w:pStyle w:val="BodyText"/>
        <w:rPr>
          <w:lang w:eastAsia="en-AU"/>
        </w:rPr>
      </w:pPr>
      <w:r w:rsidRPr="002232FA">
        <w:rPr>
          <w:lang w:eastAsia="en-AU"/>
        </w:rPr>
        <w:t xml:space="preserve">Housing Australia should therefore build on its existing strategy and relationship mechanisms </w:t>
      </w:r>
      <w:r>
        <w:rPr>
          <w:lang w:eastAsia="en-AU"/>
        </w:rPr>
        <w:t xml:space="preserve">including </w:t>
      </w:r>
      <w:r w:rsidRPr="002232FA">
        <w:rPr>
          <w:lang w:eastAsia="en-AU"/>
        </w:rPr>
        <w:t>confirm</w:t>
      </w:r>
      <w:r>
        <w:rPr>
          <w:lang w:eastAsia="en-AU"/>
        </w:rPr>
        <w:t>ing</w:t>
      </w:r>
      <w:r w:rsidRPr="002232FA">
        <w:rPr>
          <w:lang w:eastAsia="en-AU"/>
        </w:rPr>
        <w:t xml:space="preserve"> the organisational narrative and stakeholder hierarchy, assign</w:t>
      </w:r>
      <w:r>
        <w:rPr>
          <w:lang w:eastAsia="en-AU"/>
        </w:rPr>
        <w:t>ing</w:t>
      </w:r>
      <w:r w:rsidRPr="002232FA">
        <w:rPr>
          <w:lang w:eastAsia="en-AU"/>
        </w:rPr>
        <w:t xml:space="preserve"> accountable relationship owners, align</w:t>
      </w:r>
      <w:r>
        <w:rPr>
          <w:lang w:eastAsia="en-AU"/>
        </w:rPr>
        <w:t>ing</w:t>
      </w:r>
      <w:r w:rsidRPr="002232FA">
        <w:rPr>
          <w:lang w:eastAsia="en-AU"/>
        </w:rPr>
        <w:t xml:space="preserve"> engagement activity to program milestones, and establish</w:t>
      </w:r>
      <w:r>
        <w:rPr>
          <w:lang w:eastAsia="en-AU"/>
        </w:rPr>
        <w:t>ing</w:t>
      </w:r>
      <w:r w:rsidRPr="002232FA">
        <w:rPr>
          <w:lang w:eastAsia="en-AU"/>
        </w:rPr>
        <w:t xml:space="preserve"> consistent communication, data-sharing, escalation and approval protocols. This should include coordinated engagement with Treasury, structured strategic forums with </w:t>
      </w:r>
      <w:r>
        <w:rPr>
          <w:lang w:eastAsia="en-AU"/>
        </w:rPr>
        <w:t>s</w:t>
      </w:r>
      <w:r w:rsidRPr="002232FA">
        <w:rPr>
          <w:lang w:eastAsia="en-AU"/>
        </w:rPr>
        <w:t xml:space="preserve">tates and </w:t>
      </w:r>
      <w:r>
        <w:rPr>
          <w:lang w:eastAsia="en-AU"/>
        </w:rPr>
        <w:t>t</w:t>
      </w:r>
      <w:r w:rsidRPr="002232FA">
        <w:rPr>
          <w:lang w:eastAsia="en-AU"/>
        </w:rPr>
        <w:t>erritories, and continued use of the Investment Manager Model for funding recipients.</w:t>
      </w:r>
      <w:r w:rsidR="00FB3420">
        <w:rPr>
          <w:lang w:eastAsia="en-AU"/>
        </w:rPr>
        <w:br w:type="page"/>
      </w:r>
    </w:p>
    <w:p w14:paraId="44572B83" w14:textId="77777777" w:rsidR="00A228E8" w:rsidRPr="000B08A6" w:rsidRDefault="00A228E8" w:rsidP="00A228E8">
      <w:pPr>
        <w:pStyle w:val="Heading1"/>
      </w:pPr>
      <w:bookmarkStart w:id="114" w:name="_Toc238805502"/>
      <w:r>
        <w:lastRenderedPageBreak/>
        <w:t>Market conditions</w:t>
      </w:r>
      <w:bookmarkEnd w:id="114"/>
    </w:p>
    <w:p w14:paraId="5598787F" w14:textId="0156972E" w:rsidR="00A41D3F" w:rsidRDefault="00A41D3F" w:rsidP="00511CAB">
      <w:pPr>
        <w:pStyle w:val="BodyText"/>
        <w:rPr>
          <w:kern w:val="2"/>
          <w:lang w:eastAsia="en-AU"/>
          <w14:ligatures w14:val="standardContextual"/>
        </w:rPr>
      </w:pPr>
      <w:r>
        <w:t xml:space="preserve">Housing Australia delivers its agenda through external partners </w:t>
      </w:r>
      <w:r w:rsidR="002E38BF">
        <w:t xml:space="preserve">(e.g. CHPs and states and territories) </w:t>
      </w:r>
      <w:r w:rsidR="004B2090">
        <w:t>who</w:t>
      </w:r>
      <w:r w:rsidR="002E38BF">
        <w:t xml:space="preserve"> partner with the property development and construction market to deliver additional social and affordable housing.</w:t>
      </w:r>
      <w:r>
        <w:t xml:space="preserve"> Conditions in that market are therefore directly relevant to </w:t>
      </w:r>
      <w:r w:rsidR="000F368F">
        <w:t>project</w:t>
      </w:r>
      <w:r w:rsidR="00E046C5">
        <w:t xml:space="preserve"> </w:t>
      </w:r>
      <w:r>
        <w:t>feasibility, cost, timing and delivery risk of funded projects, and to Housing Australia’s assessment, contracting, portfolio oversight, forecasting and reporting activities.</w:t>
      </w:r>
      <w:r w:rsidR="00A13332">
        <w:t xml:space="preserve"> </w:t>
      </w:r>
    </w:p>
    <w:p w14:paraId="5F2D25D1" w14:textId="214B0096" w:rsidR="00A228E8" w:rsidRDefault="00A228E8" w:rsidP="00A228E8">
      <w:pPr>
        <w:pStyle w:val="Subheading"/>
      </w:pPr>
      <w:r>
        <w:t>Labour</w:t>
      </w:r>
    </w:p>
    <w:p w14:paraId="6210ABF9" w14:textId="34F4C9D5" w:rsidR="00A228E8" w:rsidRDefault="00A228E8" w:rsidP="00A228E8">
      <w:pPr>
        <w:pStyle w:val="BodyText"/>
      </w:pPr>
      <w:r w:rsidRPr="0050403F">
        <w:t xml:space="preserve">Construction sector capacity remains a significant constraint on housing delivery. Housing Australia's delivery risk assessments note that major infrastructure and energy-transition projects continue to compete for skilled labour and materials, </w:t>
      </w:r>
      <w:r w:rsidR="00665189">
        <w:t xml:space="preserve">which is consistent with </w:t>
      </w:r>
      <w:r w:rsidR="00467FD7">
        <w:t xml:space="preserve">Government reports noting that </w:t>
      </w:r>
      <w:r w:rsidR="00457730">
        <w:t xml:space="preserve">the residential construction industry continues to report </w:t>
      </w:r>
      <w:r w:rsidR="00467FD7">
        <w:t>l</w:t>
      </w:r>
      <w:r w:rsidR="00506EEB">
        <w:t xml:space="preserve">abour shortages </w:t>
      </w:r>
      <w:r w:rsidR="00457730">
        <w:t>as strong construction activity increased the need for skilled workers</w:t>
      </w:r>
      <w:r w:rsidR="00713E8F">
        <w:t>.</w:t>
      </w:r>
      <w:r w:rsidR="00094C1E">
        <w:rPr>
          <w:rStyle w:val="FootnoteReference"/>
        </w:rPr>
        <w:footnoteReference w:id="10"/>
      </w:r>
      <w:r w:rsidR="00713E8F">
        <w:t xml:space="preserve"> </w:t>
      </w:r>
      <w:r w:rsidRPr="0050403F">
        <w:t>These factors contribute to longer construction timeframes and reduce the sector's ability to increase housing supply at pace</w:t>
      </w:r>
      <w:r>
        <w:t>.</w:t>
      </w:r>
      <w:r>
        <w:rPr>
          <w:rStyle w:val="FootnoteReference"/>
        </w:rPr>
        <w:footnoteReference w:id="11"/>
      </w:r>
      <w:r>
        <w:t xml:space="preserve"> </w:t>
      </w:r>
    </w:p>
    <w:p w14:paraId="34A2629F" w14:textId="77777777" w:rsidR="00A228E8" w:rsidRPr="007A37F7" w:rsidRDefault="00A228E8" w:rsidP="00A228E8">
      <w:pPr>
        <w:pStyle w:val="Subheading"/>
      </w:pPr>
      <w:r w:rsidRPr="007A37F7">
        <w:t>Construction costs</w:t>
      </w:r>
    </w:p>
    <w:p w14:paraId="54AE4E91" w14:textId="7F990266" w:rsidR="00A228E8" w:rsidRPr="00A603B3" w:rsidRDefault="00A228E8" w:rsidP="00A228E8">
      <w:pPr>
        <w:pStyle w:val="BodyText"/>
      </w:pPr>
      <w:r w:rsidRPr="00511CAB">
        <w:t xml:space="preserve">Over the twelve months to June 2026, input prices to </w:t>
      </w:r>
      <w:r w:rsidR="006905D3">
        <w:t>house</w:t>
      </w:r>
      <w:r w:rsidR="006905D3" w:rsidRPr="00511CAB">
        <w:t xml:space="preserve"> </w:t>
      </w:r>
      <w:r w:rsidRPr="00511CAB">
        <w:t xml:space="preserve">construction </w:t>
      </w:r>
      <w:r w:rsidR="006905D3">
        <w:t xml:space="preserve">costs </w:t>
      </w:r>
      <w:r w:rsidRPr="00511CAB">
        <w:t>rose 3.8%.</w:t>
      </w:r>
      <w:r w:rsidR="00F808C5" w:rsidRPr="00511CAB">
        <w:rPr>
          <w:rStyle w:val="FootnoteReference"/>
        </w:rPr>
        <w:footnoteReference w:id="12"/>
      </w:r>
      <w:r w:rsidRPr="00511CAB">
        <w:rPr>
          <w:rFonts w:ascii="Arial" w:hAnsi="Arial" w:cs="Arial"/>
        </w:rPr>
        <w:t> </w:t>
      </w:r>
      <w:r w:rsidRPr="00511CAB">
        <w:rPr>
          <w:rFonts w:cs="Aptos"/>
        </w:rPr>
        <w:t> </w:t>
      </w:r>
      <w:r w:rsidR="00362EE3">
        <w:rPr>
          <w:rFonts w:cs="Aptos"/>
        </w:rPr>
        <w:t xml:space="preserve">This followed significant increases in construction costs per square meter in the previous </w:t>
      </w:r>
      <w:r w:rsidR="003D4224">
        <w:rPr>
          <w:rFonts w:cs="Aptos"/>
        </w:rPr>
        <w:t xml:space="preserve">two years for each of apartments, townhouses and </w:t>
      </w:r>
      <w:r w:rsidR="00231F53">
        <w:rPr>
          <w:rFonts w:cs="Aptos"/>
        </w:rPr>
        <w:t xml:space="preserve">detached housing. </w:t>
      </w:r>
      <w:r w:rsidR="00603976">
        <w:rPr>
          <w:rFonts w:cs="Aptos"/>
        </w:rPr>
        <w:t>In per square metre terms, construction costs f</w:t>
      </w:r>
      <w:r w:rsidR="00B61A6A">
        <w:rPr>
          <w:rFonts w:cs="Aptos"/>
        </w:rPr>
        <w:t>or apartments</w:t>
      </w:r>
      <w:r w:rsidR="00603976">
        <w:rPr>
          <w:rFonts w:cs="Aptos"/>
        </w:rPr>
        <w:t xml:space="preserve"> have </w:t>
      </w:r>
      <w:r w:rsidR="00EC6A6B">
        <w:rPr>
          <w:rFonts w:cs="Aptos"/>
        </w:rPr>
        <w:t xml:space="preserve">increased </w:t>
      </w:r>
      <w:r w:rsidR="0015087A">
        <w:rPr>
          <w:rFonts w:cs="Aptos"/>
        </w:rPr>
        <w:t>10.2 per cent in 2024-25 (</w:t>
      </w:r>
      <w:r w:rsidR="002E4CF6">
        <w:rPr>
          <w:rFonts w:cs="Aptos"/>
        </w:rPr>
        <w:t xml:space="preserve">18 per cent </w:t>
      </w:r>
      <w:r w:rsidR="00364D42">
        <w:rPr>
          <w:rFonts w:cs="Aptos"/>
        </w:rPr>
        <w:t>in 2023-24)</w:t>
      </w:r>
      <w:r w:rsidR="00F86767">
        <w:rPr>
          <w:rFonts w:cs="Aptos"/>
        </w:rPr>
        <w:t xml:space="preserve">, for townhouses </w:t>
      </w:r>
      <w:r w:rsidR="00012FD1">
        <w:rPr>
          <w:rFonts w:cs="Aptos"/>
        </w:rPr>
        <w:t>they</w:t>
      </w:r>
      <w:r w:rsidR="00702AAC">
        <w:rPr>
          <w:rFonts w:cs="Aptos"/>
        </w:rPr>
        <w:t xml:space="preserve"> increase</w:t>
      </w:r>
      <w:r w:rsidR="00012FD1">
        <w:rPr>
          <w:rFonts w:cs="Aptos"/>
        </w:rPr>
        <w:t>d</w:t>
      </w:r>
      <w:r w:rsidR="00702AAC">
        <w:rPr>
          <w:rFonts w:cs="Aptos"/>
        </w:rPr>
        <w:t xml:space="preserve"> </w:t>
      </w:r>
      <w:r w:rsidR="00806483">
        <w:rPr>
          <w:rFonts w:cs="Aptos"/>
        </w:rPr>
        <w:t>9.8 per cent</w:t>
      </w:r>
      <w:r w:rsidR="00012FD1">
        <w:rPr>
          <w:rFonts w:cs="Aptos"/>
        </w:rPr>
        <w:t xml:space="preserve"> in 2024-25</w:t>
      </w:r>
      <w:r w:rsidR="00806483">
        <w:rPr>
          <w:rFonts w:cs="Aptos"/>
        </w:rPr>
        <w:t xml:space="preserve"> (</w:t>
      </w:r>
      <w:r w:rsidR="000B1770">
        <w:rPr>
          <w:rFonts w:cs="Aptos"/>
        </w:rPr>
        <w:t xml:space="preserve">12.9 per cent in </w:t>
      </w:r>
      <w:r w:rsidR="00105035">
        <w:rPr>
          <w:rFonts w:cs="Aptos"/>
        </w:rPr>
        <w:t>2023-24)</w:t>
      </w:r>
      <w:r w:rsidR="00012FD1">
        <w:rPr>
          <w:rFonts w:cs="Aptos"/>
        </w:rPr>
        <w:t>,</w:t>
      </w:r>
      <w:r w:rsidR="002B371E">
        <w:rPr>
          <w:rFonts w:cs="Aptos"/>
        </w:rPr>
        <w:t xml:space="preserve"> and </w:t>
      </w:r>
      <w:r>
        <w:rPr>
          <w:rFonts w:cs="Aptos"/>
        </w:rPr>
        <w:t xml:space="preserve">detached </w:t>
      </w:r>
      <w:r w:rsidR="00105035">
        <w:rPr>
          <w:rFonts w:cs="Aptos"/>
        </w:rPr>
        <w:t>housing</w:t>
      </w:r>
      <w:r>
        <w:rPr>
          <w:rFonts w:cs="Aptos"/>
        </w:rPr>
        <w:t xml:space="preserve"> </w:t>
      </w:r>
      <w:r w:rsidRPr="00511CAB">
        <w:t xml:space="preserve">construction costs rose 6.7 per cent </w:t>
      </w:r>
      <w:r w:rsidR="00012FD1">
        <w:t>in 2024-25 (</w:t>
      </w:r>
      <w:r w:rsidRPr="00511CAB">
        <w:t xml:space="preserve">11.0 per cent </w:t>
      </w:r>
      <w:r>
        <w:t xml:space="preserve">in </w:t>
      </w:r>
      <w:r w:rsidRPr="00511CAB">
        <w:t>2023–24</w:t>
      </w:r>
      <w:r w:rsidR="00F97A2D">
        <w:t>).</w:t>
      </w:r>
      <w:r w:rsidR="0010176B" w:rsidRPr="0010176B">
        <w:rPr>
          <w:rStyle w:val="FootnoteReference"/>
        </w:rPr>
        <w:t xml:space="preserve"> </w:t>
      </w:r>
      <w:r w:rsidR="0010176B">
        <w:rPr>
          <w:rStyle w:val="FootnoteReference"/>
        </w:rPr>
        <w:footnoteReference w:id="13"/>
      </w:r>
      <w:r w:rsidR="00F97A2D">
        <w:t xml:space="preserve"> The increase in construction costs ha</w:t>
      </w:r>
      <w:r w:rsidR="000D075B">
        <w:t>ve</w:t>
      </w:r>
      <w:r w:rsidR="00F97A2D">
        <w:t xml:space="preserve"> a direct bearing on the </w:t>
      </w:r>
      <w:r w:rsidR="0022229F">
        <w:t xml:space="preserve">feasibility of projects and </w:t>
      </w:r>
      <w:r w:rsidR="009C66C4">
        <w:t xml:space="preserve">for longer term projects (e.g. high-rise apartments) </w:t>
      </w:r>
      <w:r w:rsidR="007C26E0">
        <w:t>increase</w:t>
      </w:r>
      <w:r w:rsidR="009C66C4">
        <w:t xml:space="preserve"> delivery risk. </w:t>
      </w:r>
    </w:p>
    <w:p w14:paraId="3E090497" w14:textId="77777777" w:rsidR="00A228E8" w:rsidRPr="009B7D41" w:rsidRDefault="00A228E8" w:rsidP="00A228E8">
      <w:pPr>
        <w:pStyle w:val="Subheading"/>
      </w:pPr>
      <w:r w:rsidRPr="009B7D41">
        <w:t>2026 Middle East conflict response</w:t>
      </w:r>
    </w:p>
    <w:p w14:paraId="7B01EE9E" w14:textId="77777777" w:rsidR="00A228E8" w:rsidRDefault="00A228E8" w:rsidP="00A228E8">
      <w:pPr>
        <w:pStyle w:val="BodyText"/>
      </w:pPr>
      <w:r>
        <w:t>Housing Australia has been proactive in identifying and responding to external risks that could affect housing delivery. One example being the assessment of the potential impacts of the 2026 Middle East conflict on housing outcomes. The analysis examined how disruptions in areas such as fuel prices, freight costs, supply chains, construction costs and project viability could affect the delivery of housing projects. It focused on understanding the practical impacts on funded projects, construction schedules, and housing supply outcomes.</w:t>
      </w:r>
    </w:p>
    <w:p w14:paraId="142C1478" w14:textId="13960B51" w:rsidR="00A228E8" w:rsidRDefault="0030788A" w:rsidP="00A228E8">
      <w:pPr>
        <w:pStyle w:val="BodyText"/>
      </w:pPr>
      <w:r>
        <w:t>The Assessment</w:t>
      </w:r>
      <w:r w:rsidR="00A228E8">
        <w:t xml:space="preserve"> drew on a range of information sources, including </w:t>
      </w:r>
      <w:r w:rsidR="00A228E8" w:rsidRPr="00F01E5F">
        <w:t>fuel pricing data, quantity surveyor intelligence, construction market indicators and project delivery risks</w:t>
      </w:r>
      <w:r w:rsidR="00A228E8">
        <w:t xml:space="preserve">. It provided a detailed understanding of how external market conditions could affect the achievement of Government housing objectives and considered potential response options to manage emerging risks. </w:t>
      </w:r>
    </w:p>
    <w:p w14:paraId="0201592F" w14:textId="144EF4CC" w:rsidR="00A228E8" w:rsidRDefault="00A228E8" w:rsidP="00263EC9">
      <w:pPr>
        <w:pStyle w:val="BodyText"/>
      </w:pPr>
      <w:r>
        <w:t>This work demonstrates Housing Australia’s growing capability to identify emerging risks, assess their potential impact on housing delivery and support informed decision-making. It also reflects a broader shift towards a more active role in monitoring and responding to factors that may influence housing supply outcomes.</w:t>
      </w:r>
    </w:p>
    <w:p w14:paraId="6BBF4DCF" w14:textId="15F27B50" w:rsidR="00092BDC" w:rsidRDefault="00B311EA" w:rsidP="000420FA">
      <w:pPr>
        <w:pStyle w:val="AppHeading1"/>
        <w:tabs>
          <w:tab w:val="clear" w:pos="1492"/>
        </w:tabs>
      </w:pPr>
      <w:bookmarkStart w:id="115" w:name="_Toc238218727"/>
      <w:r>
        <w:lastRenderedPageBreak/>
        <w:t>Appendix A</w:t>
      </w:r>
      <w:r w:rsidR="00D73883">
        <w:tab/>
      </w:r>
      <w:r w:rsidR="006F1FEB">
        <w:t xml:space="preserve">Consultation </w:t>
      </w:r>
      <w:r w:rsidR="00557B8E">
        <w:t>l</w:t>
      </w:r>
      <w:r w:rsidR="006F1FEB">
        <w:t>ist</w:t>
      </w:r>
      <w:bookmarkEnd w:id="115"/>
    </w:p>
    <w:p w14:paraId="7D6D2635" w14:textId="356DC39B" w:rsidR="00094D43" w:rsidRDefault="0030788A" w:rsidP="00094D43">
      <w:pPr>
        <w:pStyle w:val="BodyText"/>
      </w:pPr>
      <w:r>
        <w:t>The Assessment</w:t>
      </w:r>
      <w:r w:rsidR="00094D43">
        <w:t xml:space="preserve"> team met with representatives </w:t>
      </w:r>
      <w:r w:rsidR="005730D3">
        <w:t xml:space="preserve">across the following </w:t>
      </w:r>
      <w:r w:rsidR="00D219AC">
        <w:t>organisations</w:t>
      </w:r>
      <w:r w:rsidR="005730D3">
        <w:t>.</w:t>
      </w:r>
      <w:r w:rsidR="00712C18">
        <w:t xml:space="preserve"> </w:t>
      </w:r>
    </w:p>
    <w:tbl>
      <w:tblPr>
        <w:tblStyle w:val="KMTable"/>
        <w:tblW w:w="3529" w:type="pct"/>
        <w:tblLook w:val="04A0" w:firstRow="1" w:lastRow="0" w:firstColumn="1" w:lastColumn="0" w:noHBand="0" w:noVBand="1"/>
      </w:tblPr>
      <w:tblGrid>
        <w:gridCol w:w="6903"/>
      </w:tblGrid>
      <w:tr w:rsidR="00094D43" w:rsidRPr="003959F2" w14:paraId="0DDBB40B" w14:textId="77777777" w:rsidTr="00511CAB">
        <w:trPr>
          <w:cnfStyle w:val="100000000000" w:firstRow="1" w:lastRow="0" w:firstColumn="0" w:lastColumn="0" w:oddVBand="0" w:evenVBand="0" w:oddHBand="0" w:evenHBand="0" w:firstRowFirstColumn="0" w:firstRowLastColumn="0" w:lastRowFirstColumn="0" w:lastRowLastColumn="0"/>
        </w:trPr>
        <w:tc>
          <w:tcPr>
            <w:tcW w:w="5000" w:type="pct"/>
            <w:hideMark/>
          </w:tcPr>
          <w:p w14:paraId="3D8AB8AE" w14:textId="4B7FE11F" w:rsidR="00094D43" w:rsidRPr="003959F2" w:rsidRDefault="00530D9E" w:rsidP="003959F2">
            <w:pPr>
              <w:pStyle w:val="TableHeader"/>
            </w:pPr>
            <w:r>
              <w:t>Consulted parties</w:t>
            </w:r>
          </w:p>
        </w:tc>
      </w:tr>
      <w:tr w:rsidR="00094D43" w:rsidRPr="003959F2" w14:paraId="66761ED3" w14:textId="77777777" w:rsidTr="00511CAB">
        <w:tc>
          <w:tcPr>
            <w:tcW w:w="5000" w:type="pct"/>
            <w:hideMark/>
          </w:tcPr>
          <w:p w14:paraId="751FF7E6" w14:textId="03EC3702" w:rsidR="00094D43" w:rsidRPr="003959F2" w:rsidRDefault="00530D9E" w:rsidP="003959F2">
            <w:pPr>
              <w:pStyle w:val="TableText"/>
            </w:pPr>
            <w:r>
              <w:t>Housing Australia Executive Leadership Team</w:t>
            </w:r>
            <w:r w:rsidR="00D219AC">
              <w:t xml:space="preserve"> and selected members of management</w:t>
            </w:r>
          </w:p>
        </w:tc>
      </w:tr>
      <w:tr w:rsidR="00094D43" w:rsidRPr="003959F2" w14:paraId="1D04DD59" w14:textId="77777777" w:rsidTr="00511CAB">
        <w:tc>
          <w:tcPr>
            <w:tcW w:w="5000" w:type="pct"/>
          </w:tcPr>
          <w:p w14:paraId="1FB27A27" w14:textId="18070BEA" w:rsidR="00094D43" w:rsidRPr="003959F2" w:rsidRDefault="00530D9E" w:rsidP="003959F2">
            <w:pPr>
              <w:pStyle w:val="TableText"/>
            </w:pPr>
            <w:r>
              <w:t xml:space="preserve">Housing Australia Board of Directors </w:t>
            </w:r>
          </w:p>
        </w:tc>
      </w:tr>
      <w:tr w:rsidR="00094D43" w:rsidRPr="003959F2" w14:paraId="67F8888F" w14:textId="77777777" w:rsidTr="00511CAB">
        <w:tc>
          <w:tcPr>
            <w:tcW w:w="5000" w:type="pct"/>
          </w:tcPr>
          <w:p w14:paraId="07086432" w14:textId="78911125" w:rsidR="00094D43" w:rsidRPr="003959F2" w:rsidRDefault="00EB00C2" w:rsidP="003959F2">
            <w:pPr>
              <w:pStyle w:val="TableText"/>
            </w:pPr>
            <w:r>
              <w:t>Homes NSW</w:t>
            </w:r>
          </w:p>
        </w:tc>
      </w:tr>
      <w:tr w:rsidR="00094D43" w:rsidRPr="003959F2" w14:paraId="5D3C2FB6" w14:textId="77777777" w:rsidTr="00511CAB">
        <w:tc>
          <w:tcPr>
            <w:tcW w:w="5000" w:type="pct"/>
          </w:tcPr>
          <w:p w14:paraId="28B5B061" w14:textId="23172DC7" w:rsidR="00094D43" w:rsidRPr="003959F2" w:rsidRDefault="00731871" w:rsidP="003959F2">
            <w:pPr>
              <w:pStyle w:val="TableText"/>
            </w:pPr>
            <w:r>
              <w:t xml:space="preserve">Queensland </w:t>
            </w:r>
            <w:r w:rsidR="00415821">
              <w:t>Department of Housing and Public Works</w:t>
            </w:r>
            <w:r w:rsidR="00EB00C2">
              <w:t xml:space="preserve"> </w:t>
            </w:r>
          </w:p>
        </w:tc>
      </w:tr>
      <w:tr w:rsidR="00A73779" w:rsidRPr="003959F2" w14:paraId="3201E4E6" w14:textId="77777777" w:rsidTr="00530D9E">
        <w:tc>
          <w:tcPr>
            <w:tcW w:w="5000" w:type="pct"/>
          </w:tcPr>
          <w:p w14:paraId="4AF4F258" w14:textId="2153C7D2" w:rsidR="00A73779" w:rsidRPr="003959F2" w:rsidDel="00530D9E" w:rsidRDefault="00415821" w:rsidP="003959F2">
            <w:pPr>
              <w:pStyle w:val="TableText"/>
            </w:pPr>
            <w:r>
              <w:t>Homes Victoria</w:t>
            </w:r>
          </w:p>
        </w:tc>
      </w:tr>
      <w:tr w:rsidR="00094D43" w:rsidRPr="003959F2" w14:paraId="75591C4B" w14:textId="77777777" w:rsidTr="00511CAB">
        <w:tc>
          <w:tcPr>
            <w:tcW w:w="5000" w:type="pct"/>
          </w:tcPr>
          <w:p w14:paraId="0A4432AF" w14:textId="51E08B80" w:rsidR="00094D43" w:rsidRPr="003959F2" w:rsidRDefault="00EB00C2" w:rsidP="003959F2">
            <w:pPr>
              <w:pStyle w:val="TableText"/>
            </w:pPr>
            <w:r>
              <w:t xml:space="preserve">Community Housing Australia </w:t>
            </w:r>
          </w:p>
        </w:tc>
      </w:tr>
      <w:tr w:rsidR="008D1D27" w:rsidRPr="003959F2" w14:paraId="015D10B6" w14:textId="77777777" w:rsidTr="00530D9E">
        <w:tc>
          <w:tcPr>
            <w:tcW w:w="5000" w:type="pct"/>
          </w:tcPr>
          <w:p w14:paraId="5D578383" w14:textId="0656E88F" w:rsidR="008D1D27" w:rsidRPr="003959F2" w:rsidDel="00530D9E" w:rsidRDefault="008D1D27" w:rsidP="003959F2">
            <w:pPr>
              <w:pStyle w:val="TableText"/>
            </w:pPr>
            <w:r>
              <w:t>Assemble</w:t>
            </w:r>
          </w:p>
        </w:tc>
      </w:tr>
      <w:tr w:rsidR="00EB00C2" w:rsidRPr="003959F2" w14:paraId="3B3669C4" w14:textId="77777777" w:rsidTr="00530D9E">
        <w:tc>
          <w:tcPr>
            <w:tcW w:w="5000" w:type="pct"/>
          </w:tcPr>
          <w:p w14:paraId="603A64B5" w14:textId="2E73FAB2" w:rsidR="00EB00C2" w:rsidRPr="003959F2" w:rsidDel="00530D9E" w:rsidRDefault="00EB00C2" w:rsidP="003959F2">
            <w:pPr>
              <w:pStyle w:val="TableText"/>
            </w:pPr>
            <w:r>
              <w:t>Aboriginal and Torres Strait Islander Housing Queensland</w:t>
            </w:r>
          </w:p>
        </w:tc>
      </w:tr>
      <w:tr w:rsidR="008326CA" w:rsidRPr="003959F2" w14:paraId="19F908DC" w14:textId="77777777" w:rsidTr="00530D9E">
        <w:tc>
          <w:tcPr>
            <w:tcW w:w="5000" w:type="pct"/>
          </w:tcPr>
          <w:p w14:paraId="59548181" w14:textId="15B12659" w:rsidR="008326CA" w:rsidRDefault="008326CA" w:rsidP="003959F2">
            <w:pPr>
              <w:pStyle w:val="TableText"/>
            </w:pPr>
            <w:r>
              <w:t>Department of Prime Minister &amp; Cabinet</w:t>
            </w:r>
          </w:p>
        </w:tc>
      </w:tr>
      <w:tr w:rsidR="008326CA" w:rsidRPr="003959F2" w14:paraId="0A8DC5B1" w14:textId="77777777" w:rsidTr="00530D9E">
        <w:tc>
          <w:tcPr>
            <w:tcW w:w="5000" w:type="pct"/>
          </w:tcPr>
          <w:p w14:paraId="3612CEA1" w14:textId="31F731CE" w:rsidR="008326CA" w:rsidRDefault="008326CA" w:rsidP="003959F2">
            <w:pPr>
              <w:pStyle w:val="TableText"/>
            </w:pPr>
            <w:r>
              <w:t>Department of Finance</w:t>
            </w:r>
          </w:p>
        </w:tc>
      </w:tr>
    </w:tbl>
    <w:p w14:paraId="2C17E643" w14:textId="77777777" w:rsidR="00276849" w:rsidRDefault="00276849" w:rsidP="00B410FE">
      <w:pPr>
        <w:pStyle w:val="BodyText"/>
      </w:pPr>
    </w:p>
    <w:p w14:paraId="2BE967B1" w14:textId="4FEC3CF1" w:rsidR="00276849" w:rsidRPr="006F1FEB" w:rsidRDefault="00B311EA" w:rsidP="000420FA">
      <w:pPr>
        <w:pStyle w:val="AppHeading1"/>
        <w:tabs>
          <w:tab w:val="clear" w:pos="1492"/>
        </w:tabs>
      </w:pPr>
      <w:bookmarkStart w:id="116" w:name="_Toc238218728"/>
      <w:r>
        <w:lastRenderedPageBreak/>
        <w:t xml:space="preserve">Appendix </w:t>
      </w:r>
      <w:r w:rsidR="005F3E90">
        <w:t>B</w:t>
      </w:r>
      <w:r w:rsidR="00D73883">
        <w:tab/>
      </w:r>
      <w:r w:rsidR="00B575CF">
        <w:t>Definitions</w:t>
      </w:r>
      <w:bookmarkEnd w:id="116"/>
      <w:r w:rsidR="009601FB">
        <w:t xml:space="preserve"> </w:t>
      </w:r>
    </w:p>
    <w:tbl>
      <w:tblPr>
        <w:tblStyle w:val="KMTable"/>
        <w:tblW w:w="0" w:type="auto"/>
        <w:tblLook w:val="04A0" w:firstRow="1" w:lastRow="0" w:firstColumn="1" w:lastColumn="0" w:noHBand="0" w:noVBand="1"/>
      </w:tblPr>
      <w:tblGrid>
        <w:gridCol w:w="1701"/>
        <w:gridCol w:w="7937"/>
      </w:tblGrid>
      <w:tr w:rsidR="00B575CF" w14:paraId="3EE26A97" w14:textId="77777777" w:rsidTr="00226310">
        <w:trPr>
          <w:cnfStyle w:val="100000000000" w:firstRow="1" w:lastRow="0" w:firstColumn="0" w:lastColumn="0" w:oddVBand="0" w:evenVBand="0" w:oddHBand="0" w:evenHBand="0" w:firstRowFirstColumn="0" w:firstRowLastColumn="0" w:lastRowFirstColumn="0" w:lastRowLastColumn="0"/>
        </w:trPr>
        <w:tc>
          <w:tcPr>
            <w:tcW w:w="1701" w:type="dxa"/>
          </w:tcPr>
          <w:p w14:paraId="1E24923B" w14:textId="69CA14F2" w:rsidR="00B575CF" w:rsidRPr="00117B6A" w:rsidRDefault="00B575CF" w:rsidP="00511CAB">
            <w:pPr>
              <w:pStyle w:val="TableHeader"/>
            </w:pPr>
            <w:r w:rsidRPr="00117B6A">
              <w:t>Term</w:t>
            </w:r>
          </w:p>
        </w:tc>
        <w:tc>
          <w:tcPr>
            <w:tcW w:w="7937" w:type="dxa"/>
          </w:tcPr>
          <w:p w14:paraId="7C0AA17E" w14:textId="75EAF7B6" w:rsidR="00B575CF" w:rsidRPr="00117B6A" w:rsidRDefault="00B575CF" w:rsidP="00511CAB">
            <w:pPr>
              <w:pStyle w:val="TableHeader"/>
            </w:pPr>
            <w:r w:rsidRPr="00117B6A">
              <w:t>Definition</w:t>
            </w:r>
          </w:p>
        </w:tc>
      </w:tr>
      <w:tr w:rsidR="00226310" w:rsidRPr="00226310" w14:paraId="21B8856A" w14:textId="77777777" w:rsidTr="00F347B9">
        <w:trPr>
          <w:trHeight w:val="340"/>
        </w:trPr>
        <w:tc>
          <w:tcPr>
            <w:tcW w:w="1701" w:type="dxa"/>
            <w:noWrap/>
            <w:vAlign w:val="center"/>
            <w:hideMark/>
          </w:tcPr>
          <w:p w14:paraId="656469FE" w14:textId="77777777" w:rsidR="00226310" w:rsidRPr="00226310" w:rsidRDefault="00226310" w:rsidP="00511CAB">
            <w:pPr>
              <w:pStyle w:val="TableText"/>
              <w:rPr>
                <w:lang w:eastAsia="en-AU"/>
              </w:rPr>
            </w:pPr>
            <w:r w:rsidRPr="00226310">
              <w:rPr>
                <w:lang w:eastAsia="en-AU"/>
              </w:rPr>
              <w:t>5DS</w:t>
            </w:r>
          </w:p>
        </w:tc>
        <w:tc>
          <w:tcPr>
            <w:tcW w:w="7937" w:type="dxa"/>
            <w:noWrap/>
            <w:vAlign w:val="center"/>
            <w:hideMark/>
          </w:tcPr>
          <w:p w14:paraId="58431CE6" w14:textId="77777777" w:rsidR="00226310" w:rsidRPr="00226310" w:rsidRDefault="00226310" w:rsidP="00511CAB">
            <w:pPr>
              <w:pStyle w:val="TableText"/>
              <w:rPr>
                <w:lang w:eastAsia="en-AU"/>
              </w:rPr>
            </w:pPr>
            <w:r w:rsidRPr="00226310">
              <w:rPr>
                <w:lang w:eastAsia="en-AU"/>
              </w:rPr>
              <w:t>5% Deposit Scheme</w:t>
            </w:r>
          </w:p>
        </w:tc>
      </w:tr>
      <w:tr w:rsidR="00341833" w:rsidRPr="00226310" w14:paraId="518E991C" w14:textId="77777777" w:rsidTr="00F347B9">
        <w:trPr>
          <w:trHeight w:val="340"/>
        </w:trPr>
        <w:tc>
          <w:tcPr>
            <w:tcW w:w="1701" w:type="dxa"/>
            <w:noWrap/>
            <w:vAlign w:val="center"/>
          </w:tcPr>
          <w:p w14:paraId="273F6A22" w14:textId="1CEB82A7" w:rsidR="00341833" w:rsidRPr="00226310" w:rsidRDefault="00341833" w:rsidP="00511CAB">
            <w:pPr>
              <w:pStyle w:val="TableText"/>
              <w:rPr>
                <w:lang w:eastAsia="en-AU"/>
              </w:rPr>
            </w:pPr>
            <w:r>
              <w:rPr>
                <w:lang w:eastAsia="en-AU"/>
              </w:rPr>
              <w:t>Accord</w:t>
            </w:r>
          </w:p>
        </w:tc>
        <w:tc>
          <w:tcPr>
            <w:tcW w:w="7937" w:type="dxa"/>
            <w:noWrap/>
            <w:vAlign w:val="center"/>
          </w:tcPr>
          <w:p w14:paraId="46D76D72" w14:textId="1DFCEA68" w:rsidR="00341833" w:rsidRPr="00226310" w:rsidRDefault="00341833" w:rsidP="00511CAB">
            <w:pPr>
              <w:pStyle w:val="TableText"/>
              <w:rPr>
                <w:lang w:eastAsia="en-AU"/>
              </w:rPr>
            </w:pPr>
            <w:r w:rsidRPr="00341833">
              <w:rPr>
                <w:lang w:eastAsia="en-AU"/>
              </w:rPr>
              <w:t>National Housing Accord</w:t>
            </w:r>
          </w:p>
        </w:tc>
      </w:tr>
      <w:tr w:rsidR="00226310" w:rsidRPr="00226310" w14:paraId="17E31C46" w14:textId="77777777" w:rsidTr="00F347B9">
        <w:trPr>
          <w:trHeight w:val="340"/>
        </w:trPr>
        <w:tc>
          <w:tcPr>
            <w:tcW w:w="1701" w:type="dxa"/>
            <w:noWrap/>
            <w:vAlign w:val="center"/>
            <w:hideMark/>
          </w:tcPr>
          <w:p w14:paraId="3EE2EF87" w14:textId="77777777" w:rsidR="00226310" w:rsidRPr="00226310" w:rsidRDefault="00226310" w:rsidP="00511CAB">
            <w:pPr>
              <w:pStyle w:val="TableText"/>
              <w:rPr>
                <w:lang w:eastAsia="en-AU"/>
              </w:rPr>
            </w:pPr>
            <w:r w:rsidRPr="00226310">
              <w:rPr>
                <w:lang w:eastAsia="en-AU"/>
              </w:rPr>
              <w:t>AHBA</w:t>
            </w:r>
          </w:p>
        </w:tc>
        <w:tc>
          <w:tcPr>
            <w:tcW w:w="7937" w:type="dxa"/>
            <w:noWrap/>
            <w:vAlign w:val="center"/>
            <w:hideMark/>
          </w:tcPr>
          <w:p w14:paraId="230BD47A" w14:textId="77777777" w:rsidR="00226310" w:rsidRPr="00226310" w:rsidRDefault="00226310" w:rsidP="00511CAB">
            <w:pPr>
              <w:pStyle w:val="TableText"/>
              <w:rPr>
                <w:lang w:eastAsia="en-AU"/>
              </w:rPr>
            </w:pPr>
            <w:r w:rsidRPr="00226310">
              <w:rPr>
                <w:lang w:eastAsia="en-AU"/>
              </w:rPr>
              <w:t>Affordable Housing Bond Aggregator</w:t>
            </w:r>
          </w:p>
        </w:tc>
      </w:tr>
      <w:tr w:rsidR="00226310" w:rsidRPr="00226310" w14:paraId="6FDEA7B5" w14:textId="77777777" w:rsidTr="00F347B9">
        <w:trPr>
          <w:trHeight w:val="340"/>
        </w:trPr>
        <w:tc>
          <w:tcPr>
            <w:tcW w:w="1701" w:type="dxa"/>
            <w:noWrap/>
            <w:vAlign w:val="center"/>
            <w:hideMark/>
          </w:tcPr>
          <w:p w14:paraId="7EC055A2" w14:textId="77777777" w:rsidR="00226310" w:rsidRPr="00226310" w:rsidRDefault="00226310" w:rsidP="00511CAB">
            <w:pPr>
              <w:pStyle w:val="TableText"/>
              <w:rPr>
                <w:lang w:eastAsia="en-AU"/>
              </w:rPr>
            </w:pPr>
            <w:r w:rsidRPr="00226310">
              <w:rPr>
                <w:lang w:eastAsia="en-AU"/>
              </w:rPr>
              <w:t>ALCO</w:t>
            </w:r>
          </w:p>
        </w:tc>
        <w:tc>
          <w:tcPr>
            <w:tcW w:w="7937" w:type="dxa"/>
            <w:noWrap/>
            <w:vAlign w:val="center"/>
            <w:hideMark/>
          </w:tcPr>
          <w:p w14:paraId="33A22E80" w14:textId="77777777" w:rsidR="00226310" w:rsidRPr="00226310" w:rsidRDefault="00226310" w:rsidP="00511CAB">
            <w:pPr>
              <w:pStyle w:val="TableText"/>
              <w:rPr>
                <w:lang w:eastAsia="en-AU"/>
              </w:rPr>
            </w:pPr>
            <w:r w:rsidRPr="00226310">
              <w:rPr>
                <w:lang w:eastAsia="en-AU"/>
              </w:rPr>
              <w:t>Asset and Liability Committee</w:t>
            </w:r>
          </w:p>
        </w:tc>
      </w:tr>
      <w:tr w:rsidR="00226310" w:rsidRPr="00226310" w14:paraId="1BE94E11" w14:textId="77777777" w:rsidTr="00F347B9">
        <w:trPr>
          <w:trHeight w:val="340"/>
        </w:trPr>
        <w:tc>
          <w:tcPr>
            <w:tcW w:w="1701" w:type="dxa"/>
            <w:noWrap/>
            <w:vAlign w:val="center"/>
            <w:hideMark/>
          </w:tcPr>
          <w:p w14:paraId="4BD4C855" w14:textId="77777777" w:rsidR="00226310" w:rsidRPr="00226310" w:rsidRDefault="00226310" w:rsidP="00511CAB">
            <w:pPr>
              <w:pStyle w:val="TableText"/>
              <w:rPr>
                <w:lang w:eastAsia="en-AU"/>
              </w:rPr>
            </w:pPr>
            <w:r w:rsidRPr="00226310">
              <w:rPr>
                <w:lang w:eastAsia="en-AU"/>
              </w:rPr>
              <w:t>ARC</w:t>
            </w:r>
          </w:p>
        </w:tc>
        <w:tc>
          <w:tcPr>
            <w:tcW w:w="7937" w:type="dxa"/>
            <w:noWrap/>
            <w:vAlign w:val="center"/>
            <w:hideMark/>
          </w:tcPr>
          <w:p w14:paraId="3D164F34" w14:textId="77777777" w:rsidR="00226310" w:rsidRPr="00226310" w:rsidRDefault="00226310" w:rsidP="00511CAB">
            <w:pPr>
              <w:pStyle w:val="TableText"/>
              <w:rPr>
                <w:lang w:eastAsia="en-AU"/>
              </w:rPr>
            </w:pPr>
            <w:r w:rsidRPr="00226310">
              <w:rPr>
                <w:lang w:eastAsia="en-AU"/>
              </w:rPr>
              <w:t>Audit and Risk Committee</w:t>
            </w:r>
          </w:p>
        </w:tc>
      </w:tr>
      <w:tr w:rsidR="00226310" w:rsidRPr="00226310" w14:paraId="17F2A019" w14:textId="77777777" w:rsidTr="00F347B9">
        <w:trPr>
          <w:trHeight w:val="340"/>
        </w:trPr>
        <w:tc>
          <w:tcPr>
            <w:tcW w:w="1701" w:type="dxa"/>
            <w:noWrap/>
            <w:vAlign w:val="center"/>
            <w:hideMark/>
          </w:tcPr>
          <w:p w14:paraId="6064A349" w14:textId="77777777" w:rsidR="00226310" w:rsidRPr="00226310" w:rsidRDefault="00226310" w:rsidP="00511CAB">
            <w:pPr>
              <w:pStyle w:val="TableText"/>
              <w:rPr>
                <w:lang w:eastAsia="en-AU"/>
              </w:rPr>
            </w:pPr>
            <w:r w:rsidRPr="00226310">
              <w:rPr>
                <w:lang w:eastAsia="en-AU"/>
              </w:rPr>
              <w:t>CCE</w:t>
            </w:r>
          </w:p>
        </w:tc>
        <w:tc>
          <w:tcPr>
            <w:tcW w:w="7937" w:type="dxa"/>
            <w:noWrap/>
            <w:vAlign w:val="center"/>
            <w:hideMark/>
          </w:tcPr>
          <w:p w14:paraId="0FD921CE" w14:textId="77777777" w:rsidR="00226310" w:rsidRPr="00226310" w:rsidRDefault="00226310" w:rsidP="00511CAB">
            <w:pPr>
              <w:pStyle w:val="TableText"/>
              <w:rPr>
                <w:lang w:eastAsia="en-AU"/>
              </w:rPr>
            </w:pPr>
            <w:r w:rsidRPr="00226310">
              <w:rPr>
                <w:lang w:eastAsia="en-AU"/>
              </w:rPr>
              <w:t>Corporate Commonwealth Entity</w:t>
            </w:r>
          </w:p>
        </w:tc>
      </w:tr>
      <w:tr w:rsidR="00226310" w:rsidRPr="00226310" w14:paraId="0F96B596" w14:textId="77777777" w:rsidTr="00F347B9">
        <w:trPr>
          <w:trHeight w:val="340"/>
        </w:trPr>
        <w:tc>
          <w:tcPr>
            <w:tcW w:w="1701" w:type="dxa"/>
            <w:noWrap/>
            <w:vAlign w:val="center"/>
            <w:hideMark/>
          </w:tcPr>
          <w:p w14:paraId="51F4A4C4" w14:textId="77777777" w:rsidR="00226310" w:rsidRPr="00226310" w:rsidRDefault="00226310" w:rsidP="00511CAB">
            <w:pPr>
              <w:pStyle w:val="TableText"/>
              <w:rPr>
                <w:lang w:eastAsia="en-AU"/>
              </w:rPr>
            </w:pPr>
            <w:r w:rsidRPr="00226310">
              <w:rPr>
                <w:lang w:eastAsia="en-AU"/>
              </w:rPr>
              <w:t>CEO</w:t>
            </w:r>
          </w:p>
        </w:tc>
        <w:tc>
          <w:tcPr>
            <w:tcW w:w="7937" w:type="dxa"/>
            <w:noWrap/>
            <w:vAlign w:val="center"/>
            <w:hideMark/>
          </w:tcPr>
          <w:p w14:paraId="3161CA32" w14:textId="77777777" w:rsidR="00226310" w:rsidRPr="00226310" w:rsidRDefault="00226310" w:rsidP="00511CAB">
            <w:pPr>
              <w:pStyle w:val="TableText"/>
              <w:rPr>
                <w:lang w:eastAsia="en-AU"/>
              </w:rPr>
            </w:pPr>
            <w:r w:rsidRPr="00226310">
              <w:rPr>
                <w:lang w:eastAsia="en-AU"/>
              </w:rPr>
              <w:t>Chief Executive Officer</w:t>
            </w:r>
          </w:p>
        </w:tc>
      </w:tr>
      <w:tr w:rsidR="00226310" w:rsidRPr="00226310" w14:paraId="7DAC29A7" w14:textId="77777777" w:rsidTr="00F347B9">
        <w:trPr>
          <w:trHeight w:val="340"/>
        </w:trPr>
        <w:tc>
          <w:tcPr>
            <w:tcW w:w="1701" w:type="dxa"/>
            <w:noWrap/>
            <w:vAlign w:val="center"/>
            <w:hideMark/>
          </w:tcPr>
          <w:p w14:paraId="23C0F1AB" w14:textId="77777777" w:rsidR="00226310" w:rsidRPr="00226310" w:rsidRDefault="00226310" w:rsidP="00511CAB">
            <w:pPr>
              <w:pStyle w:val="TableText"/>
              <w:rPr>
                <w:lang w:eastAsia="en-AU"/>
              </w:rPr>
            </w:pPr>
            <w:r w:rsidRPr="00226310">
              <w:rPr>
                <w:lang w:eastAsia="en-AU"/>
              </w:rPr>
              <w:t>CFO</w:t>
            </w:r>
          </w:p>
        </w:tc>
        <w:tc>
          <w:tcPr>
            <w:tcW w:w="7937" w:type="dxa"/>
            <w:noWrap/>
            <w:vAlign w:val="center"/>
            <w:hideMark/>
          </w:tcPr>
          <w:p w14:paraId="3C03ED1C" w14:textId="77777777" w:rsidR="00226310" w:rsidRPr="00226310" w:rsidRDefault="00226310" w:rsidP="00511CAB">
            <w:pPr>
              <w:pStyle w:val="TableText"/>
              <w:rPr>
                <w:lang w:eastAsia="en-AU"/>
              </w:rPr>
            </w:pPr>
            <w:r w:rsidRPr="00226310">
              <w:rPr>
                <w:lang w:eastAsia="en-AU"/>
              </w:rPr>
              <w:t>Chief Financial Officer</w:t>
            </w:r>
          </w:p>
        </w:tc>
      </w:tr>
      <w:tr w:rsidR="00226310" w:rsidRPr="00226310" w14:paraId="3968B93B" w14:textId="77777777" w:rsidTr="00F347B9">
        <w:trPr>
          <w:trHeight w:val="340"/>
        </w:trPr>
        <w:tc>
          <w:tcPr>
            <w:tcW w:w="1701" w:type="dxa"/>
            <w:noWrap/>
            <w:vAlign w:val="center"/>
            <w:hideMark/>
          </w:tcPr>
          <w:p w14:paraId="50C6EDBE" w14:textId="77777777" w:rsidR="00226310" w:rsidRPr="00226310" w:rsidRDefault="00226310" w:rsidP="00511CAB">
            <w:pPr>
              <w:pStyle w:val="TableText"/>
              <w:rPr>
                <w:lang w:eastAsia="en-AU"/>
              </w:rPr>
            </w:pPr>
            <w:r w:rsidRPr="00226310">
              <w:rPr>
                <w:lang w:eastAsia="en-AU"/>
              </w:rPr>
              <w:t>CHP</w:t>
            </w:r>
          </w:p>
        </w:tc>
        <w:tc>
          <w:tcPr>
            <w:tcW w:w="7937" w:type="dxa"/>
            <w:noWrap/>
            <w:vAlign w:val="center"/>
            <w:hideMark/>
          </w:tcPr>
          <w:p w14:paraId="7A9B7872" w14:textId="77777777" w:rsidR="00226310" w:rsidRPr="00226310" w:rsidRDefault="00226310" w:rsidP="00511CAB">
            <w:pPr>
              <w:pStyle w:val="TableText"/>
              <w:rPr>
                <w:lang w:eastAsia="en-AU"/>
              </w:rPr>
            </w:pPr>
            <w:r w:rsidRPr="00226310">
              <w:rPr>
                <w:lang w:eastAsia="en-AU"/>
              </w:rPr>
              <w:t>Community Housing Provider</w:t>
            </w:r>
          </w:p>
        </w:tc>
      </w:tr>
      <w:tr w:rsidR="00226310" w:rsidRPr="00226310" w14:paraId="19D772E6" w14:textId="77777777" w:rsidTr="00F347B9">
        <w:trPr>
          <w:trHeight w:val="340"/>
        </w:trPr>
        <w:tc>
          <w:tcPr>
            <w:tcW w:w="1701" w:type="dxa"/>
            <w:noWrap/>
            <w:vAlign w:val="center"/>
            <w:hideMark/>
          </w:tcPr>
          <w:p w14:paraId="0196E42E" w14:textId="77777777" w:rsidR="00226310" w:rsidRPr="00226310" w:rsidRDefault="00226310" w:rsidP="00511CAB">
            <w:pPr>
              <w:pStyle w:val="TableText"/>
              <w:rPr>
                <w:lang w:eastAsia="en-AU"/>
              </w:rPr>
            </w:pPr>
            <w:r w:rsidRPr="00226310">
              <w:rPr>
                <w:lang w:eastAsia="en-AU"/>
              </w:rPr>
              <w:t>CIO</w:t>
            </w:r>
          </w:p>
        </w:tc>
        <w:tc>
          <w:tcPr>
            <w:tcW w:w="7937" w:type="dxa"/>
            <w:noWrap/>
            <w:vAlign w:val="center"/>
            <w:hideMark/>
          </w:tcPr>
          <w:p w14:paraId="14BC60BA" w14:textId="77777777" w:rsidR="00226310" w:rsidRPr="00226310" w:rsidRDefault="00226310" w:rsidP="00511CAB">
            <w:pPr>
              <w:pStyle w:val="TableText"/>
              <w:rPr>
                <w:lang w:eastAsia="en-AU"/>
              </w:rPr>
            </w:pPr>
            <w:r w:rsidRPr="00226310">
              <w:rPr>
                <w:lang w:eastAsia="en-AU"/>
              </w:rPr>
              <w:t>Chief Investment Officer</w:t>
            </w:r>
          </w:p>
        </w:tc>
      </w:tr>
      <w:tr w:rsidR="00226310" w:rsidRPr="00226310" w14:paraId="24C7B8C3" w14:textId="77777777" w:rsidTr="00F347B9">
        <w:trPr>
          <w:trHeight w:val="340"/>
        </w:trPr>
        <w:tc>
          <w:tcPr>
            <w:tcW w:w="1701" w:type="dxa"/>
            <w:noWrap/>
            <w:vAlign w:val="center"/>
            <w:hideMark/>
          </w:tcPr>
          <w:p w14:paraId="795FB0CA" w14:textId="77777777" w:rsidR="00226310" w:rsidRPr="00226310" w:rsidRDefault="00226310" w:rsidP="00511CAB">
            <w:pPr>
              <w:pStyle w:val="TableText"/>
              <w:rPr>
                <w:lang w:eastAsia="en-AU"/>
              </w:rPr>
            </w:pPr>
            <w:r w:rsidRPr="00226310">
              <w:rPr>
                <w:lang w:eastAsia="en-AU"/>
              </w:rPr>
              <w:t>COO</w:t>
            </w:r>
          </w:p>
        </w:tc>
        <w:tc>
          <w:tcPr>
            <w:tcW w:w="7937" w:type="dxa"/>
            <w:noWrap/>
            <w:vAlign w:val="center"/>
            <w:hideMark/>
          </w:tcPr>
          <w:p w14:paraId="670E25A9" w14:textId="77777777" w:rsidR="00226310" w:rsidRPr="00226310" w:rsidRDefault="00226310" w:rsidP="00511CAB">
            <w:pPr>
              <w:pStyle w:val="TableText"/>
              <w:rPr>
                <w:lang w:eastAsia="en-AU"/>
              </w:rPr>
            </w:pPr>
            <w:r w:rsidRPr="00226310">
              <w:rPr>
                <w:lang w:eastAsia="en-AU"/>
              </w:rPr>
              <w:t>Chief Operations Officer</w:t>
            </w:r>
          </w:p>
        </w:tc>
      </w:tr>
      <w:tr w:rsidR="00226310" w:rsidRPr="00226310" w14:paraId="4CAD1A8D" w14:textId="77777777" w:rsidTr="00F347B9">
        <w:trPr>
          <w:trHeight w:val="340"/>
        </w:trPr>
        <w:tc>
          <w:tcPr>
            <w:tcW w:w="1701" w:type="dxa"/>
            <w:noWrap/>
            <w:vAlign w:val="center"/>
            <w:hideMark/>
          </w:tcPr>
          <w:p w14:paraId="1D07C7B1" w14:textId="77777777" w:rsidR="00226310" w:rsidRPr="00226310" w:rsidRDefault="00226310" w:rsidP="00511CAB">
            <w:pPr>
              <w:pStyle w:val="TableText"/>
              <w:rPr>
                <w:lang w:eastAsia="en-AU"/>
              </w:rPr>
            </w:pPr>
            <w:r w:rsidRPr="00226310">
              <w:rPr>
                <w:lang w:eastAsia="en-AU"/>
              </w:rPr>
              <w:t>CRO</w:t>
            </w:r>
          </w:p>
        </w:tc>
        <w:tc>
          <w:tcPr>
            <w:tcW w:w="7937" w:type="dxa"/>
            <w:noWrap/>
            <w:vAlign w:val="center"/>
            <w:hideMark/>
          </w:tcPr>
          <w:p w14:paraId="4E848347" w14:textId="77777777" w:rsidR="00226310" w:rsidRPr="00226310" w:rsidRDefault="00226310" w:rsidP="00511CAB">
            <w:pPr>
              <w:pStyle w:val="TableText"/>
              <w:rPr>
                <w:lang w:eastAsia="en-AU"/>
              </w:rPr>
            </w:pPr>
            <w:r w:rsidRPr="00226310">
              <w:rPr>
                <w:lang w:eastAsia="en-AU"/>
              </w:rPr>
              <w:t>Chief Risk Officer</w:t>
            </w:r>
          </w:p>
        </w:tc>
      </w:tr>
      <w:tr w:rsidR="00226310" w:rsidRPr="00226310" w14:paraId="2BBFF2C9" w14:textId="77777777" w:rsidTr="00F347B9">
        <w:trPr>
          <w:trHeight w:val="340"/>
        </w:trPr>
        <w:tc>
          <w:tcPr>
            <w:tcW w:w="1701" w:type="dxa"/>
            <w:noWrap/>
            <w:vAlign w:val="center"/>
            <w:hideMark/>
          </w:tcPr>
          <w:p w14:paraId="27E0724F" w14:textId="77777777" w:rsidR="00226310" w:rsidRPr="00226310" w:rsidRDefault="00226310" w:rsidP="00511CAB">
            <w:pPr>
              <w:pStyle w:val="TableText"/>
              <w:rPr>
                <w:lang w:eastAsia="en-AU"/>
              </w:rPr>
            </w:pPr>
            <w:r w:rsidRPr="00226310">
              <w:rPr>
                <w:lang w:eastAsia="en-AU"/>
              </w:rPr>
              <w:t>Cth</w:t>
            </w:r>
          </w:p>
        </w:tc>
        <w:tc>
          <w:tcPr>
            <w:tcW w:w="7937" w:type="dxa"/>
            <w:noWrap/>
            <w:vAlign w:val="center"/>
            <w:hideMark/>
          </w:tcPr>
          <w:p w14:paraId="688E076E" w14:textId="77777777" w:rsidR="00226310" w:rsidRPr="00226310" w:rsidRDefault="00226310" w:rsidP="00511CAB">
            <w:pPr>
              <w:pStyle w:val="TableText"/>
              <w:rPr>
                <w:lang w:eastAsia="en-AU"/>
              </w:rPr>
            </w:pPr>
            <w:r w:rsidRPr="00226310">
              <w:rPr>
                <w:lang w:eastAsia="en-AU"/>
              </w:rPr>
              <w:t>Commonwealth</w:t>
            </w:r>
          </w:p>
        </w:tc>
      </w:tr>
      <w:tr w:rsidR="00F27F5B" w:rsidRPr="00226310" w14:paraId="61E7BD9F" w14:textId="77777777" w:rsidTr="00F347B9">
        <w:trPr>
          <w:trHeight w:val="340"/>
        </w:trPr>
        <w:tc>
          <w:tcPr>
            <w:tcW w:w="1701" w:type="dxa"/>
            <w:noWrap/>
            <w:vAlign w:val="center"/>
          </w:tcPr>
          <w:p w14:paraId="59F5CB42" w14:textId="7BDA3C9D" w:rsidR="00F27F5B" w:rsidRPr="00F27F5B" w:rsidRDefault="00F27F5B" w:rsidP="00511CAB">
            <w:pPr>
              <w:pStyle w:val="TableText"/>
              <w:rPr>
                <w:lang w:val="en-GB" w:eastAsia="en-AU"/>
              </w:rPr>
            </w:pPr>
            <w:r>
              <w:rPr>
                <w:lang w:eastAsia="en-AU"/>
              </w:rPr>
              <w:t>DAP</w:t>
            </w:r>
          </w:p>
        </w:tc>
        <w:tc>
          <w:tcPr>
            <w:tcW w:w="7937" w:type="dxa"/>
            <w:noWrap/>
            <w:vAlign w:val="center"/>
          </w:tcPr>
          <w:p w14:paraId="4583873B" w14:textId="5F30F92D" w:rsidR="00F27F5B" w:rsidRPr="00226310" w:rsidRDefault="00F27F5B" w:rsidP="00511CAB">
            <w:pPr>
              <w:pStyle w:val="TableText"/>
              <w:rPr>
                <w:lang w:eastAsia="en-AU"/>
              </w:rPr>
            </w:pPr>
            <w:r w:rsidRPr="00F27F5B">
              <w:rPr>
                <w:lang w:eastAsia="en-AU"/>
              </w:rPr>
              <w:t>Detailed Application Process</w:t>
            </w:r>
          </w:p>
        </w:tc>
      </w:tr>
      <w:tr w:rsidR="00226310" w:rsidRPr="00226310" w14:paraId="150EF859" w14:textId="77777777" w:rsidTr="00F347B9">
        <w:trPr>
          <w:trHeight w:val="340"/>
        </w:trPr>
        <w:tc>
          <w:tcPr>
            <w:tcW w:w="1701" w:type="dxa"/>
            <w:noWrap/>
            <w:vAlign w:val="center"/>
            <w:hideMark/>
          </w:tcPr>
          <w:p w14:paraId="7DD1CB1A" w14:textId="77777777" w:rsidR="00226310" w:rsidRPr="00226310" w:rsidRDefault="00226310" w:rsidP="00511CAB">
            <w:pPr>
              <w:pStyle w:val="TableText"/>
              <w:rPr>
                <w:lang w:eastAsia="en-AU"/>
              </w:rPr>
            </w:pPr>
            <w:r w:rsidRPr="00226310">
              <w:rPr>
                <w:lang w:eastAsia="en-AU"/>
              </w:rPr>
              <w:t>ELT</w:t>
            </w:r>
          </w:p>
        </w:tc>
        <w:tc>
          <w:tcPr>
            <w:tcW w:w="7937" w:type="dxa"/>
            <w:noWrap/>
            <w:vAlign w:val="center"/>
            <w:hideMark/>
          </w:tcPr>
          <w:p w14:paraId="7469AC96" w14:textId="77777777" w:rsidR="00226310" w:rsidRPr="00226310" w:rsidRDefault="00226310" w:rsidP="00511CAB">
            <w:pPr>
              <w:pStyle w:val="TableText"/>
              <w:rPr>
                <w:lang w:eastAsia="en-AU"/>
              </w:rPr>
            </w:pPr>
            <w:r w:rsidRPr="00226310">
              <w:rPr>
                <w:lang w:eastAsia="en-AU"/>
              </w:rPr>
              <w:t>Executive Leadership Team</w:t>
            </w:r>
          </w:p>
        </w:tc>
      </w:tr>
      <w:tr w:rsidR="00F347B9" w:rsidRPr="00226310" w14:paraId="33A48512" w14:textId="77777777" w:rsidTr="00F347B9">
        <w:trPr>
          <w:trHeight w:val="340"/>
        </w:trPr>
        <w:tc>
          <w:tcPr>
            <w:tcW w:w="1701" w:type="dxa"/>
            <w:noWrap/>
            <w:vAlign w:val="center"/>
          </w:tcPr>
          <w:p w14:paraId="1F1F6B55" w14:textId="4A392BE2" w:rsidR="00F347B9" w:rsidRPr="00226310" w:rsidRDefault="00F347B9" w:rsidP="00511CAB">
            <w:pPr>
              <w:pStyle w:val="TableText"/>
              <w:rPr>
                <w:lang w:eastAsia="en-AU"/>
              </w:rPr>
            </w:pPr>
            <w:r>
              <w:rPr>
                <w:lang w:eastAsia="en-AU"/>
              </w:rPr>
              <w:t>EOI</w:t>
            </w:r>
          </w:p>
        </w:tc>
        <w:tc>
          <w:tcPr>
            <w:tcW w:w="7937" w:type="dxa"/>
            <w:noWrap/>
            <w:vAlign w:val="center"/>
          </w:tcPr>
          <w:p w14:paraId="13656370" w14:textId="47FADCF4" w:rsidR="00F347B9" w:rsidRPr="00226310" w:rsidRDefault="00F347B9" w:rsidP="00511CAB">
            <w:pPr>
              <w:pStyle w:val="TableText"/>
              <w:rPr>
                <w:lang w:eastAsia="en-AU"/>
              </w:rPr>
            </w:pPr>
            <w:r>
              <w:rPr>
                <w:lang w:eastAsia="en-AU"/>
              </w:rPr>
              <w:t>Expression of Interest</w:t>
            </w:r>
          </w:p>
        </w:tc>
      </w:tr>
      <w:tr w:rsidR="00226310" w:rsidRPr="00226310" w14:paraId="53BE6B6D" w14:textId="77777777" w:rsidTr="00F347B9">
        <w:trPr>
          <w:trHeight w:val="340"/>
        </w:trPr>
        <w:tc>
          <w:tcPr>
            <w:tcW w:w="1701" w:type="dxa"/>
            <w:noWrap/>
            <w:vAlign w:val="center"/>
            <w:hideMark/>
          </w:tcPr>
          <w:p w14:paraId="7A5A1990" w14:textId="77777777" w:rsidR="00226310" w:rsidRPr="00226310" w:rsidRDefault="00226310" w:rsidP="00511CAB">
            <w:pPr>
              <w:pStyle w:val="TableText"/>
              <w:rPr>
                <w:lang w:eastAsia="en-AU"/>
              </w:rPr>
            </w:pPr>
            <w:r w:rsidRPr="00226310">
              <w:rPr>
                <w:lang w:eastAsia="en-AU"/>
              </w:rPr>
              <w:t>ERCC</w:t>
            </w:r>
          </w:p>
        </w:tc>
        <w:tc>
          <w:tcPr>
            <w:tcW w:w="7937" w:type="dxa"/>
            <w:noWrap/>
            <w:vAlign w:val="center"/>
            <w:hideMark/>
          </w:tcPr>
          <w:p w14:paraId="6D93A218" w14:textId="77777777" w:rsidR="00226310" w:rsidRPr="00226310" w:rsidRDefault="00226310" w:rsidP="00511CAB">
            <w:pPr>
              <w:pStyle w:val="TableText"/>
              <w:rPr>
                <w:lang w:eastAsia="en-AU"/>
              </w:rPr>
            </w:pPr>
            <w:r w:rsidRPr="00226310">
              <w:rPr>
                <w:lang w:eastAsia="en-AU"/>
              </w:rPr>
              <w:t>Executive Risk and Compliance Committee</w:t>
            </w:r>
          </w:p>
        </w:tc>
      </w:tr>
      <w:tr w:rsidR="00226310" w:rsidRPr="00226310" w14:paraId="2FA8EFD3" w14:textId="77777777" w:rsidTr="00F347B9">
        <w:trPr>
          <w:trHeight w:val="340"/>
        </w:trPr>
        <w:tc>
          <w:tcPr>
            <w:tcW w:w="1701" w:type="dxa"/>
            <w:noWrap/>
            <w:vAlign w:val="center"/>
            <w:hideMark/>
          </w:tcPr>
          <w:p w14:paraId="4B2C266A" w14:textId="77777777" w:rsidR="00226310" w:rsidRPr="00226310" w:rsidRDefault="00226310" w:rsidP="00511CAB">
            <w:pPr>
              <w:pStyle w:val="TableText"/>
              <w:rPr>
                <w:lang w:eastAsia="en-AU"/>
              </w:rPr>
            </w:pPr>
            <w:r w:rsidRPr="00226310">
              <w:rPr>
                <w:lang w:eastAsia="en-AU"/>
              </w:rPr>
              <w:t>FR01</w:t>
            </w:r>
          </w:p>
        </w:tc>
        <w:tc>
          <w:tcPr>
            <w:tcW w:w="7937" w:type="dxa"/>
            <w:noWrap/>
            <w:vAlign w:val="center"/>
            <w:hideMark/>
          </w:tcPr>
          <w:p w14:paraId="77CA86F9" w14:textId="77777777" w:rsidR="00226310" w:rsidRPr="00226310" w:rsidRDefault="00226310" w:rsidP="00511CAB">
            <w:pPr>
              <w:pStyle w:val="TableText"/>
              <w:rPr>
                <w:lang w:eastAsia="en-AU"/>
              </w:rPr>
            </w:pPr>
            <w:r w:rsidRPr="00226310">
              <w:rPr>
                <w:lang w:eastAsia="en-AU"/>
              </w:rPr>
              <w:t>Funding Round One</w:t>
            </w:r>
          </w:p>
        </w:tc>
      </w:tr>
      <w:tr w:rsidR="00226310" w:rsidRPr="00226310" w14:paraId="7DF99EA4" w14:textId="77777777" w:rsidTr="00F347B9">
        <w:trPr>
          <w:trHeight w:val="340"/>
        </w:trPr>
        <w:tc>
          <w:tcPr>
            <w:tcW w:w="1701" w:type="dxa"/>
            <w:noWrap/>
            <w:vAlign w:val="center"/>
            <w:hideMark/>
          </w:tcPr>
          <w:p w14:paraId="7F0544BF" w14:textId="77777777" w:rsidR="00226310" w:rsidRPr="00226310" w:rsidRDefault="00226310" w:rsidP="00511CAB">
            <w:pPr>
              <w:pStyle w:val="TableText"/>
              <w:rPr>
                <w:lang w:eastAsia="en-AU"/>
              </w:rPr>
            </w:pPr>
            <w:r w:rsidRPr="00226310">
              <w:rPr>
                <w:lang w:eastAsia="en-AU"/>
              </w:rPr>
              <w:t>FR02</w:t>
            </w:r>
          </w:p>
        </w:tc>
        <w:tc>
          <w:tcPr>
            <w:tcW w:w="7937" w:type="dxa"/>
            <w:noWrap/>
            <w:vAlign w:val="center"/>
            <w:hideMark/>
          </w:tcPr>
          <w:p w14:paraId="082B3E17" w14:textId="77777777" w:rsidR="00226310" w:rsidRPr="00226310" w:rsidRDefault="00226310" w:rsidP="00511CAB">
            <w:pPr>
              <w:pStyle w:val="TableText"/>
              <w:rPr>
                <w:lang w:eastAsia="en-AU"/>
              </w:rPr>
            </w:pPr>
            <w:r w:rsidRPr="00226310">
              <w:rPr>
                <w:lang w:eastAsia="en-AU"/>
              </w:rPr>
              <w:t>Funding Round Two</w:t>
            </w:r>
          </w:p>
        </w:tc>
      </w:tr>
      <w:tr w:rsidR="00226310" w:rsidRPr="00226310" w14:paraId="32699AE4" w14:textId="77777777" w:rsidTr="00F347B9">
        <w:trPr>
          <w:trHeight w:val="340"/>
        </w:trPr>
        <w:tc>
          <w:tcPr>
            <w:tcW w:w="1701" w:type="dxa"/>
            <w:noWrap/>
            <w:vAlign w:val="center"/>
            <w:hideMark/>
          </w:tcPr>
          <w:p w14:paraId="6C47F2CF" w14:textId="77777777" w:rsidR="00226310" w:rsidRPr="00226310" w:rsidRDefault="00226310" w:rsidP="00511CAB">
            <w:pPr>
              <w:pStyle w:val="TableText"/>
              <w:rPr>
                <w:lang w:eastAsia="en-AU"/>
              </w:rPr>
            </w:pPr>
            <w:r w:rsidRPr="00226310">
              <w:rPr>
                <w:lang w:eastAsia="en-AU"/>
              </w:rPr>
              <w:t>FR03</w:t>
            </w:r>
          </w:p>
        </w:tc>
        <w:tc>
          <w:tcPr>
            <w:tcW w:w="7937" w:type="dxa"/>
            <w:noWrap/>
            <w:vAlign w:val="center"/>
            <w:hideMark/>
          </w:tcPr>
          <w:p w14:paraId="1F3AEB82" w14:textId="77777777" w:rsidR="00226310" w:rsidRPr="00226310" w:rsidRDefault="00226310" w:rsidP="00511CAB">
            <w:pPr>
              <w:pStyle w:val="TableText"/>
              <w:rPr>
                <w:lang w:eastAsia="en-AU"/>
              </w:rPr>
            </w:pPr>
            <w:r w:rsidRPr="00226310">
              <w:rPr>
                <w:lang w:eastAsia="en-AU"/>
              </w:rPr>
              <w:t>Funding Round Three</w:t>
            </w:r>
          </w:p>
        </w:tc>
      </w:tr>
      <w:tr w:rsidR="00226310" w:rsidRPr="00226310" w14:paraId="48C4C3CD" w14:textId="77777777" w:rsidTr="00F347B9">
        <w:trPr>
          <w:trHeight w:val="340"/>
        </w:trPr>
        <w:tc>
          <w:tcPr>
            <w:tcW w:w="1701" w:type="dxa"/>
            <w:noWrap/>
            <w:vAlign w:val="center"/>
            <w:hideMark/>
          </w:tcPr>
          <w:p w14:paraId="1867ED4E" w14:textId="77777777" w:rsidR="00226310" w:rsidRPr="00226310" w:rsidRDefault="00226310" w:rsidP="00511CAB">
            <w:pPr>
              <w:pStyle w:val="TableText"/>
              <w:rPr>
                <w:lang w:eastAsia="en-AU"/>
              </w:rPr>
            </w:pPr>
            <w:r w:rsidRPr="00226310">
              <w:rPr>
                <w:lang w:eastAsia="en-AU"/>
              </w:rPr>
              <w:t>HA</w:t>
            </w:r>
          </w:p>
        </w:tc>
        <w:tc>
          <w:tcPr>
            <w:tcW w:w="7937" w:type="dxa"/>
            <w:noWrap/>
            <w:vAlign w:val="center"/>
            <w:hideMark/>
          </w:tcPr>
          <w:p w14:paraId="66077FF5" w14:textId="77777777" w:rsidR="00226310" w:rsidRPr="00226310" w:rsidRDefault="00226310" w:rsidP="00511CAB">
            <w:pPr>
              <w:pStyle w:val="TableText"/>
              <w:rPr>
                <w:lang w:eastAsia="en-AU"/>
              </w:rPr>
            </w:pPr>
            <w:r w:rsidRPr="00226310">
              <w:rPr>
                <w:lang w:eastAsia="en-AU"/>
              </w:rPr>
              <w:t>Housing Australia</w:t>
            </w:r>
          </w:p>
        </w:tc>
      </w:tr>
      <w:tr w:rsidR="00226310" w:rsidRPr="00226310" w14:paraId="080C3A03" w14:textId="77777777" w:rsidTr="00F347B9">
        <w:trPr>
          <w:trHeight w:val="340"/>
        </w:trPr>
        <w:tc>
          <w:tcPr>
            <w:tcW w:w="1701" w:type="dxa"/>
            <w:noWrap/>
            <w:vAlign w:val="center"/>
            <w:hideMark/>
          </w:tcPr>
          <w:p w14:paraId="3F987B98" w14:textId="77777777" w:rsidR="00226310" w:rsidRPr="00226310" w:rsidRDefault="00226310" w:rsidP="00511CAB">
            <w:pPr>
              <w:pStyle w:val="TableText"/>
              <w:rPr>
                <w:lang w:eastAsia="en-AU"/>
              </w:rPr>
            </w:pPr>
            <w:r w:rsidRPr="00226310">
              <w:rPr>
                <w:lang w:eastAsia="en-AU"/>
              </w:rPr>
              <w:t>HAFF</w:t>
            </w:r>
          </w:p>
        </w:tc>
        <w:tc>
          <w:tcPr>
            <w:tcW w:w="7937" w:type="dxa"/>
            <w:noWrap/>
            <w:vAlign w:val="center"/>
            <w:hideMark/>
          </w:tcPr>
          <w:p w14:paraId="57CA542D" w14:textId="77777777" w:rsidR="00226310" w:rsidRPr="00226310" w:rsidRDefault="00226310" w:rsidP="00511CAB">
            <w:pPr>
              <w:pStyle w:val="TableText"/>
              <w:rPr>
                <w:lang w:eastAsia="en-AU"/>
              </w:rPr>
            </w:pPr>
            <w:r w:rsidRPr="00226310">
              <w:rPr>
                <w:lang w:eastAsia="en-AU"/>
              </w:rPr>
              <w:t>Housing Australia Future Fund</w:t>
            </w:r>
          </w:p>
        </w:tc>
      </w:tr>
      <w:tr w:rsidR="00226310" w:rsidRPr="00226310" w14:paraId="10A3F93E" w14:textId="77777777" w:rsidTr="00F347B9">
        <w:trPr>
          <w:trHeight w:val="340"/>
        </w:trPr>
        <w:tc>
          <w:tcPr>
            <w:tcW w:w="1701" w:type="dxa"/>
            <w:noWrap/>
            <w:vAlign w:val="center"/>
            <w:hideMark/>
          </w:tcPr>
          <w:p w14:paraId="581A3BA3" w14:textId="77777777" w:rsidR="00226310" w:rsidRPr="00226310" w:rsidRDefault="00226310" w:rsidP="00511CAB">
            <w:pPr>
              <w:pStyle w:val="TableText"/>
              <w:rPr>
                <w:lang w:eastAsia="en-AU"/>
              </w:rPr>
            </w:pPr>
            <w:r w:rsidRPr="00226310">
              <w:rPr>
                <w:lang w:eastAsia="en-AU"/>
              </w:rPr>
              <w:t>HAFFF</w:t>
            </w:r>
          </w:p>
        </w:tc>
        <w:tc>
          <w:tcPr>
            <w:tcW w:w="7937" w:type="dxa"/>
            <w:noWrap/>
            <w:vAlign w:val="center"/>
            <w:hideMark/>
          </w:tcPr>
          <w:p w14:paraId="016EBF0D" w14:textId="77777777" w:rsidR="00226310" w:rsidRPr="00226310" w:rsidRDefault="00226310" w:rsidP="00511CAB">
            <w:pPr>
              <w:pStyle w:val="TableText"/>
              <w:rPr>
                <w:lang w:eastAsia="en-AU"/>
              </w:rPr>
            </w:pPr>
            <w:r w:rsidRPr="00226310">
              <w:rPr>
                <w:lang w:eastAsia="en-AU"/>
              </w:rPr>
              <w:t>Housing Australia Future Fund Facility</w:t>
            </w:r>
          </w:p>
        </w:tc>
      </w:tr>
      <w:tr w:rsidR="00226310" w:rsidRPr="00226310" w14:paraId="0CD4C299" w14:textId="77777777" w:rsidTr="00F347B9">
        <w:trPr>
          <w:trHeight w:val="340"/>
        </w:trPr>
        <w:tc>
          <w:tcPr>
            <w:tcW w:w="1701" w:type="dxa"/>
            <w:noWrap/>
            <w:vAlign w:val="center"/>
            <w:hideMark/>
          </w:tcPr>
          <w:p w14:paraId="7D9D76BE" w14:textId="77777777" w:rsidR="00226310" w:rsidRPr="00226310" w:rsidRDefault="00226310" w:rsidP="00511CAB">
            <w:pPr>
              <w:pStyle w:val="TableText"/>
              <w:rPr>
                <w:lang w:eastAsia="en-AU"/>
              </w:rPr>
            </w:pPr>
            <w:r w:rsidRPr="00226310">
              <w:rPr>
                <w:lang w:eastAsia="en-AU"/>
              </w:rPr>
              <w:t>HGS</w:t>
            </w:r>
          </w:p>
        </w:tc>
        <w:tc>
          <w:tcPr>
            <w:tcW w:w="7937" w:type="dxa"/>
            <w:noWrap/>
            <w:vAlign w:val="center"/>
            <w:hideMark/>
          </w:tcPr>
          <w:p w14:paraId="1CE15DB6" w14:textId="77777777" w:rsidR="00226310" w:rsidRPr="00226310" w:rsidRDefault="00226310" w:rsidP="00511CAB">
            <w:pPr>
              <w:pStyle w:val="TableText"/>
              <w:rPr>
                <w:lang w:eastAsia="en-AU"/>
              </w:rPr>
            </w:pPr>
            <w:r w:rsidRPr="00226310">
              <w:rPr>
                <w:lang w:eastAsia="en-AU"/>
              </w:rPr>
              <w:t>Home Guarantee Scheme</w:t>
            </w:r>
          </w:p>
        </w:tc>
      </w:tr>
      <w:tr w:rsidR="00226310" w:rsidRPr="00226310" w14:paraId="51A3C891" w14:textId="77777777" w:rsidTr="00F347B9">
        <w:trPr>
          <w:trHeight w:val="340"/>
        </w:trPr>
        <w:tc>
          <w:tcPr>
            <w:tcW w:w="1701" w:type="dxa"/>
            <w:noWrap/>
            <w:vAlign w:val="center"/>
            <w:hideMark/>
          </w:tcPr>
          <w:p w14:paraId="593A12E4" w14:textId="77777777" w:rsidR="00226310" w:rsidRPr="00226310" w:rsidRDefault="00226310" w:rsidP="00511CAB">
            <w:pPr>
              <w:pStyle w:val="TableText"/>
              <w:rPr>
                <w:lang w:eastAsia="en-AU"/>
              </w:rPr>
            </w:pPr>
            <w:r w:rsidRPr="00226310">
              <w:rPr>
                <w:lang w:eastAsia="en-AU"/>
              </w:rPr>
              <w:t>HTB</w:t>
            </w:r>
          </w:p>
        </w:tc>
        <w:tc>
          <w:tcPr>
            <w:tcW w:w="7937" w:type="dxa"/>
            <w:noWrap/>
            <w:vAlign w:val="center"/>
            <w:hideMark/>
          </w:tcPr>
          <w:p w14:paraId="23F38E38" w14:textId="77777777" w:rsidR="00226310" w:rsidRPr="00226310" w:rsidRDefault="00226310" w:rsidP="00511CAB">
            <w:pPr>
              <w:pStyle w:val="TableText"/>
              <w:rPr>
                <w:lang w:eastAsia="en-AU"/>
              </w:rPr>
            </w:pPr>
            <w:r w:rsidRPr="00226310">
              <w:rPr>
                <w:lang w:eastAsia="en-AU"/>
              </w:rPr>
              <w:t>Help to Buy</w:t>
            </w:r>
          </w:p>
        </w:tc>
      </w:tr>
      <w:tr w:rsidR="00226310" w:rsidRPr="00226310" w14:paraId="6C1398E4" w14:textId="77777777" w:rsidTr="00F347B9">
        <w:trPr>
          <w:trHeight w:val="340"/>
        </w:trPr>
        <w:tc>
          <w:tcPr>
            <w:tcW w:w="1701" w:type="dxa"/>
            <w:noWrap/>
            <w:vAlign w:val="center"/>
            <w:hideMark/>
          </w:tcPr>
          <w:p w14:paraId="33710BE0" w14:textId="77777777" w:rsidR="00226310" w:rsidRPr="00226310" w:rsidRDefault="00226310" w:rsidP="00511CAB">
            <w:pPr>
              <w:pStyle w:val="TableText"/>
              <w:rPr>
                <w:lang w:eastAsia="en-AU"/>
              </w:rPr>
            </w:pPr>
            <w:r w:rsidRPr="00226310">
              <w:rPr>
                <w:lang w:eastAsia="en-AU"/>
              </w:rPr>
              <w:t>MIC</w:t>
            </w:r>
          </w:p>
        </w:tc>
        <w:tc>
          <w:tcPr>
            <w:tcW w:w="7937" w:type="dxa"/>
            <w:noWrap/>
            <w:vAlign w:val="center"/>
            <w:hideMark/>
          </w:tcPr>
          <w:p w14:paraId="12E16605" w14:textId="77777777" w:rsidR="00226310" w:rsidRPr="00226310" w:rsidRDefault="00226310" w:rsidP="00511CAB">
            <w:pPr>
              <w:pStyle w:val="TableText"/>
              <w:rPr>
                <w:lang w:eastAsia="en-AU"/>
              </w:rPr>
            </w:pPr>
            <w:r w:rsidRPr="00226310">
              <w:rPr>
                <w:lang w:eastAsia="en-AU"/>
              </w:rPr>
              <w:t>Management Investment Committee</w:t>
            </w:r>
          </w:p>
        </w:tc>
      </w:tr>
      <w:tr w:rsidR="00226310" w:rsidRPr="00226310" w14:paraId="534BE9CE" w14:textId="77777777" w:rsidTr="00F347B9">
        <w:trPr>
          <w:trHeight w:val="340"/>
        </w:trPr>
        <w:tc>
          <w:tcPr>
            <w:tcW w:w="1701" w:type="dxa"/>
            <w:noWrap/>
            <w:vAlign w:val="center"/>
            <w:hideMark/>
          </w:tcPr>
          <w:p w14:paraId="46DD632E" w14:textId="77777777" w:rsidR="00226310" w:rsidRPr="00226310" w:rsidRDefault="00226310" w:rsidP="00511CAB">
            <w:pPr>
              <w:pStyle w:val="TableText"/>
              <w:rPr>
                <w:lang w:eastAsia="en-AU"/>
              </w:rPr>
            </w:pPr>
            <w:r w:rsidRPr="00226310">
              <w:rPr>
                <w:lang w:eastAsia="en-AU"/>
              </w:rPr>
              <w:t>NCE</w:t>
            </w:r>
          </w:p>
        </w:tc>
        <w:tc>
          <w:tcPr>
            <w:tcW w:w="7937" w:type="dxa"/>
            <w:noWrap/>
            <w:vAlign w:val="center"/>
            <w:hideMark/>
          </w:tcPr>
          <w:p w14:paraId="3632BB65" w14:textId="77777777" w:rsidR="00226310" w:rsidRPr="00226310" w:rsidRDefault="00226310" w:rsidP="00511CAB">
            <w:pPr>
              <w:pStyle w:val="TableText"/>
              <w:rPr>
                <w:lang w:eastAsia="en-AU"/>
              </w:rPr>
            </w:pPr>
            <w:r w:rsidRPr="00226310">
              <w:rPr>
                <w:lang w:eastAsia="en-AU"/>
              </w:rPr>
              <w:t>Non-corporate Commonwealth Entity</w:t>
            </w:r>
          </w:p>
        </w:tc>
      </w:tr>
      <w:tr w:rsidR="00226310" w:rsidRPr="00226310" w14:paraId="7BE7E097" w14:textId="77777777" w:rsidTr="00F347B9">
        <w:trPr>
          <w:trHeight w:val="340"/>
        </w:trPr>
        <w:tc>
          <w:tcPr>
            <w:tcW w:w="1701" w:type="dxa"/>
            <w:noWrap/>
            <w:vAlign w:val="center"/>
            <w:hideMark/>
          </w:tcPr>
          <w:p w14:paraId="2255750E" w14:textId="3F8A2317" w:rsidR="00226310" w:rsidRPr="00226310" w:rsidRDefault="00226310" w:rsidP="00511CAB">
            <w:pPr>
              <w:pStyle w:val="TableText"/>
              <w:rPr>
                <w:lang w:eastAsia="en-AU"/>
              </w:rPr>
            </w:pPr>
            <w:r w:rsidRPr="00226310">
              <w:rPr>
                <w:lang w:eastAsia="en-AU"/>
              </w:rPr>
              <w:t>NHA</w:t>
            </w:r>
            <w:r w:rsidR="00631A5B">
              <w:rPr>
                <w:lang w:eastAsia="en-AU"/>
              </w:rPr>
              <w:t>F</w:t>
            </w:r>
          </w:p>
        </w:tc>
        <w:tc>
          <w:tcPr>
            <w:tcW w:w="7937" w:type="dxa"/>
            <w:noWrap/>
            <w:vAlign w:val="center"/>
            <w:hideMark/>
          </w:tcPr>
          <w:p w14:paraId="43785F2C" w14:textId="3254C71E" w:rsidR="00226310" w:rsidRPr="00226310" w:rsidRDefault="00226310" w:rsidP="00511CAB">
            <w:pPr>
              <w:pStyle w:val="TableText"/>
              <w:rPr>
                <w:lang w:eastAsia="en-AU"/>
              </w:rPr>
            </w:pPr>
            <w:r w:rsidRPr="00226310">
              <w:rPr>
                <w:lang w:eastAsia="en-AU"/>
              </w:rPr>
              <w:t>National Housing Accord</w:t>
            </w:r>
            <w:r w:rsidR="00631A5B">
              <w:rPr>
                <w:lang w:eastAsia="en-AU"/>
              </w:rPr>
              <w:t xml:space="preserve"> Facility</w:t>
            </w:r>
          </w:p>
        </w:tc>
      </w:tr>
      <w:tr w:rsidR="00226310" w:rsidRPr="00226310" w14:paraId="2C6644FA" w14:textId="77777777" w:rsidTr="00F347B9">
        <w:trPr>
          <w:trHeight w:val="340"/>
        </w:trPr>
        <w:tc>
          <w:tcPr>
            <w:tcW w:w="1701" w:type="dxa"/>
            <w:noWrap/>
            <w:vAlign w:val="center"/>
            <w:hideMark/>
          </w:tcPr>
          <w:p w14:paraId="099FF73F" w14:textId="77777777" w:rsidR="00226310" w:rsidRPr="00226310" w:rsidRDefault="00226310" w:rsidP="00511CAB">
            <w:pPr>
              <w:pStyle w:val="TableText"/>
              <w:rPr>
                <w:lang w:eastAsia="en-AU"/>
              </w:rPr>
            </w:pPr>
            <w:r w:rsidRPr="00226310">
              <w:rPr>
                <w:lang w:eastAsia="en-AU"/>
              </w:rPr>
              <w:t xml:space="preserve">NHFIC </w:t>
            </w:r>
          </w:p>
        </w:tc>
        <w:tc>
          <w:tcPr>
            <w:tcW w:w="7937" w:type="dxa"/>
            <w:noWrap/>
            <w:vAlign w:val="center"/>
            <w:hideMark/>
          </w:tcPr>
          <w:p w14:paraId="58DCDF10" w14:textId="77777777" w:rsidR="00226310" w:rsidRPr="00226310" w:rsidRDefault="00226310" w:rsidP="00511CAB">
            <w:pPr>
              <w:pStyle w:val="TableText"/>
              <w:rPr>
                <w:lang w:eastAsia="en-AU"/>
              </w:rPr>
            </w:pPr>
            <w:r w:rsidRPr="00226310">
              <w:rPr>
                <w:lang w:eastAsia="en-AU"/>
              </w:rPr>
              <w:t>National Housing Finance and Investment Corporation</w:t>
            </w:r>
          </w:p>
        </w:tc>
      </w:tr>
      <w:tr w:rsidR="00226310" w:rsidRPr="00226310" w14:paraId="4221B726" w14:textId="77777777" w:rsidTr="00F347B9">
        <w:trPr>
          <w:trHeight w:val="340"/>
        </w:trPr>
        <w:tc>
          <w:tcPr>
            <w:tcW w:w="1701" w:type="dxa"/>
            <w:noWrap/>
            <w:vAlign w:val="center"/>
            <w:hideMark/>
          </w:tcPr>
          <w:p w14:paraId="6A70EE54" w14:textId="77777777" w:rsidR="00226310" w:rsidRPr="00226310" w:rsidRDefault="00226310" w:rsidP="00511CAB">
            <w:pPr>
              <w:pStyle w:val="TableText"/>
              <w:rPr>
                <w:lang w:eastAsia="en-AU"/>
              </w:rPr>
            </w:pPr>
            <w:r w:rsidRPr="00226310">
              <w:rPr>
                <w:lang w:eastAsia="en-AU"/>
              </w:rPr>
              <w:t>NHIF</w:t>
            </w:r>
          </w:p>
        </w:tc>
        <w:tc>
          <w:tcPr>
            <w:tcW w:w="7937" w:type="dxa"/>
            <w:noWrap/>
            <w:vAlign w:val="center"/>
            <w:hideMark/>
          </w:tcPr>
          <w:p w14:paraId="0973FF9C" w14:textId="77777777" w:rsidR="00226310" w:rsidRPr="00226310" w:rsidRDefault="00226310" w:rsidP="00511CAB">
            <w:pPr>
              <w:pStyle w:val="TableText"/>
              <w:rPr>
                <w:lang w:eastAsia="en-AU"/>
              </w:rPr>
            </w:pPr>
            <w:r w:rsidRPr="00226310">
              <w:rPr>
                <w:lang w:eastAsia="en-AU"/>
              </w:rPr>
              <w:t>National Housing Infrastructure Facility</w:t>
            </w:r>
          </w:p>
        </w:tc>
      </w:tr>
      <w:tr w:rsidR="00226310" w:rsidRPr="00226310" w14:paraId="343D7F58" w14:textId="77777777" w:rsidTr="00F347B9">
        <w:trPr>
          <w:trHeight w:val="340"/>
        </w:trPr>
        <w:tc>
          <w:tcPr>
            <w:tcW w:w="1701" w:type="dxa"/>
            <w:noWrap/>
            <w:vAlign w:val="center"/>
            <w:hideMark/>
          </w:tcPr>
          <w:p w14:paraId="227BFE7B" w14:textId="77777777" w:rsidR="00226310" w:rsidRPr="00226310" w:rsidRDefault="00226310" w:rsidP="00511CAB">
            <w:pPr>
              <w:pStyle w:val="TableText"/>
              <w:rPr>
                <w:lang w:eastAsia="en-AU"/>
              </w:rPr>
            </w:pPr>
            <w:r w:rsidRPr="00226310">
              <w:rPr>
                <w:lang w:eastAsia="en-AU"/>
              </w:rPr>
              <w:t>P&amp;C</w:t>
            </w:r>
          </w:p>
        </w:tc>
        <w:tc>
          <w:tcPr>
            <w:tcW w:w="7937" w:type="dxa"/>
            <w:noWrap/>
            <w:vAlign w:val="center"/>
            <w:hideMark/>
          </w:tcPr>
          <w:p w14:paraId="09DE67B7" w14:textId="77777777" w:rsidR="00226310" w:rsidRPr="00226310" w:rsidRDefault="00226310" w:rsidP="00511CAB">
            <w:pPr>
              <w:pStyle w:val="TableText"/>
              <w:rPr>
                <w:lang w:eastAsia="en-AU"/>
              </w:rPr>
            </w:pPr>
            <w:r w:rsidRPr="00226310">
              <w:rPr>
                <w:lang w:eastAsia="en-AU"/>
              </w:rPr>
              <w:t>People and Culture</w:t>
            </w:r>
          </w:p>
        </w:tc>
      </w:tr>
      <w:tr w:rsidR="00226310" w:rsidRPr="00226310" w14:paraId="74AACAF4" w14:textId="77777777" w:rsidTr="00F347B9">
        <w:trPr>
          <w:trHeight w:val="340"/>
        </w:trPr>
        <w:tc>
          <w:tcPr>
            <w:tcW w:w="1701" w:type="dxa"/>
            <w:noWrap/>
            <w:vAlign w:val="center"/>
            <w:hideMark/>
          </w:tcPr>
          <w:p w14:paraId="364B1EB9" w14:textId="77777777" w:rsidR="00226310" w:rsidRPr="00226310" w:rsidRDefault="00226310" w:rsidP="00511CAB">
            <w:pPr>
              <w:pStyle w:val="TableText"/>
              <w:rPr>
                <w:lang w:eastAsia="en-AU"/>
              </w:rPr>
            </w:pPr>
            <w:r w:rsidRPr="00226310">
              <w:rPr>
                <w:lang w:eastAsia="en-AU"/>
              </w:rPr>
              <w:t>PDU</w:t>
            </w:r>
          </w:p>
        </w:tc>
        <w:tc>
          <w:tcPr>
            <w:tcW w:w="7937" w:type="dxa"/>
            <w:noWrap/>
            <w:vAlign w:val="center"/>
            <w:hideMark/>
          </w:tcPr>
          <w:p w14:paraId="7AE66B2E" w14:textId="571B162E" w:rsidR="00226310" w:rsidRPr="00226310" w:rsidRDefault="00226310" w:rsidP="00511CAB">
            <w:pPr>
              <w:pStyle w:val="TableText"/>
              <w:rPr>
                <w:lang w:eastAsia="en-AU"/>
              </w:rPr>
            </w:pPr>
            <w:r w:rsidRPr="00226310">
              <w:rPr>
                <w:lang w:eastAsia="en-AU"/>
              </w:rPr>
              <w:t>Program Delivery Unit</w:t>
            </w:r>
          </w:p>
        </w:tc>
      </w:tr>
      <w:tr w:rsidR="00067833" w:rsidRPr="00226310" w14:paraId="1FA562EF" w14:textId="77777777" w:rsidTr="00F347B9">
        <w:trPr>
          <w:trHeight w:val="340"/>
        </w:trPr>
        <w:tc>
          <w:tcPr>
            <w:tcW w:w="1701" w:type="dxa"/>
            <w:noWrap/>
            <w:vAlign w:val="center"/>
          </w:tcPr>
          <w:p w14:paraId="7BCBD03F" w14:textId="7BA38677" w:rsidR="00067833" w:rsidRPr="00226310" w:rsidRDefault="00FD7B0B" w:rsidP="00511CAB">
            <w:pPr>
              <w:pStyle w:val="TableText"/>
              <w:rPr>
                <w:lang w:eastAsia="en-AU"/>
              </w:rPr>
            </w:pPr>
            <w:r>
              <w:rPr>
                <w:lang w:eastAsia="en-AU"/>
              </w:rPr>
              <w:t>PMT</w:t>
            </w:r>
          </w:p>
        </w:tc>
        <w:tc>
          <w:tcPr>
            <w:tcW w:w="7937" w:type="dxa"/>
            <w:noWrap/>
            <w:vAlign w:val="center"/>
          </w:tcPr>
          <w:p w14:paraId="5500ED88" w14:textId="6AF5E6CF" w:rsidR="00067833" w:rsidRPr="00226310" w:rsidRDefault="00FD7B0B" w:rsidP="00511CAB">
            <w:pPr>
              <w:pStyle w:val="TableText"/>
              <w:rPr>
                <w:lang w:eastAsia="en-AU"/>
              </w:rPr>
            </w:pPr>
            <w:r>
              <w:rPr>
                <w:lang w:eastAsia="en-AU"/>
              </w:rPr>
              <w:t>Portfolio Management Team</w:t>
            </w:r>
          </w:p>
        </w:tc>
      </w:tr>
      <w:tr w:rsidR="00226310" w:rsidRPr="00226310" w14:paraId="10E5F2E5" w14:textId="77777777" w:rsidTr="00F347B9">
        <w:trPr>
          <w:trHeight w:val="340"/>
        </w:trPr>
        <w:tc>
          <w:tcPr>
            <w:tcW w:w="1701" w:type="dxa"/>
            <w:noWrap/>
            <w:vAlign w:val="center"/>
            <w:hideMark/>
          </w:tcPr>
          <w:p w14:paraId="57733584" w14:textId="77777777" w:rsidR="00226310" w:rsidRPr="00226310" w:rsidRDefault="00226310" w:rsidP="00511CAB">
            <w:pPr>
              <w:pStyle w:val="TableText"/>
              <w:rPr>
                <w:lang w:eastAsia="en-AU"/>
              </w:rPr>
            </w:pPr>
            <w:r w:rsidRPr="00226310">
              <w:rPr>
                <w:lang w:eastAsia="en-AU"/>
              </w:rPr>
              <w:t>SIV</w:t>
            </w:r>
          </w:p>
        </w:tc>
        <w:tc>
          <w:tcPr>
            <w:tcW w:w="7937" w:type="dxa"/>
            <w:noWrap/>
            <w:vAlign w:val="center"/>
            <w:hideMark/>
          </w:tcPr>
          <w:p w14:paraId="79D8E569" w14:textId="61A341ED" w:rsidR="00226310" w:rsidRPr="00226310" w:rsidRDefault="00226310" w:rsidP="00511CAB">
            <w:pPr>
              <w:pStyle w:val="TableText"/>
              <w:rPr>
                <w:lang w:eastAsia="en-AU"/>
              </w:rPr>
            </w:pPr>
            <w:r w:rsidRPr="00226310">
              <w:rPr>
                <w:lang w:eastAsia="en-AU"/>
              </w:rPr>
              <w:t xml:space="preserve">Specialist </w:t>
            </w:r>
            <w:r w:rsidR="0092123F">
              <w:rPr>
                <w:lang w:eastAsia="en-AU"/>
              </w:rPr>
              <w:t xml:space="preserve">direct </w:t>
            </w:r>
            <w:r w:rsidRPr="00226310">
              <w:rPr>
                <w:lang w:eastAsia="en-AU"/>
              </w:rPr>
              <w:t>Investment Vehicle</w:t>
            </w:r>
          </w:p>
        </w:tc>
      </w:tr>
      <w:tr w:rsidR="00226310" w:rsidRPr="00226310" w14:paraId="7AC8FF3B" w14:textId="77777777" w:rsidTr="00F347B9">
        <w:trPr>
          <w:trHeight w:val="340"/>
        </w:trPr>
        <w:tc>
          <w:tcPr>
            <w:tcW w:w="1701" w:type="dxa"/>
            <w:noWrap/>
            <w:vAlign w:val="center"/>
            <w:hideMark/>
          </w:tcPr>
          <w:p w14:paraId="60A3F782" w14:textId="728B741C" w:rsidR="00226310" w:rsidRPr="00226310" w:rsidRDefault="00226310" w:rsidP="00511CAB">
            <w:pPr>
              <w:pStyle w:val="TableText"/>
              <w:rPr>
                <w:lang w:eastAsia="en-AU"/>
              </w:rPr>
            </w:pPr>
            <w:r w:rsidRPr="00226310">
              <w:rPr>
                <w:lang w:eastAsia="en-AU"/>
              </w:rPr>
              <w:t>S</w:t>
            </w:r>
            <w:r w:rsidR="00933443">
              <w:rPr>
                <w:lang w:eastAsia="en-AU"/>
              </w:rPr>
              <w:t>O</w:t>
            </w:r>
            <w:r w:rsidRPr="00226310">
              <w:rPr>
                <w:lang w:eastAsia="en-AU"/>
              </w:rPr>
              <w:t>E</w:t>
            </w:r>
          </w:p>
        </w:tc>
        <w:tc>
          <w:tcPr>
            <w:tcW w:w="7937" w:type="dxa"/>
            <w:noWrap/>
            <w:vAlign w:val="center"/>
            <w:hideMark/>
          </w:tcPr>
          <w:p w14:paraId="0D5B1889" w14:textId="77777777" w:rsidR="00226310" w:rsidRPr="00226310" w:rsidRDefault="00226310" w:rsidP="00511CAB">
            <w:pPr>
              <w:pStyle w:val="TableText"/>
              <w:rPr>
                <w:lang w:eastAsia="en-AU"/>
              </w:rPr>
            </w:pPr>
            <w:r w:rsidRPr="00226310">
              <w:rPr>
                <w:lang w:eastAsia="en-AU"/>
              </w:rPr>
              <w:t>Statement of Expectations</w:t>
            </w:r>
          </w:p>
        </w:tc>
      </w:tr>
      <w:tr w:rsidR="00226310" w:rsidRPr="00226310" w14:paraId="3AC81404" w14:textId="77777777" w:rsidTr="00F347B9">
        <w:trPr>
          <w:trHeight w:val="340"/>
        </w:trPr>
        <w:tc>
          <w:tcPr>
            <w:tcW w:w="1701" w:type="dxa"/>
            <w:noWrap/>
            <w:vAlign w:val="center"/>
            <w:hideMark/>
          </w:tcPr>
          <w:p w14:paraId="0BF474DF" w14:textId="77777777" w:rsidR="00226310" w:rsidRPr="00226310" w:rsidRDefault="00226310" w:rsidP="00511CAB">
            <w:pPr>
              <w:pStyle w:val="TableText"/>
              <w:rPr>
                <w:lang w:eastAsia="en-AU"/>
              </w:rPr>
            </w:pPr>
            <w:r w:rsidRPr="00226310">
              <w:rPr>
                <w:lang w:eastAsia="en-AU"/>
              </w:rPr>
              <w:t>SRT</w:t>
            </w:r>
          </w:p>
        </w:tc>
        <w:tc>
          <w:tcPr>
            <w:tcW w:w="7937" w:type="dxa"/>
            <w:noWrap/>
            <w:vAlign w:val="center"/>
            <w:hideMark/>
          </w:tcPr>
          <w:p w14:paraId="3C343AFF" w14:textId="77777777" w:rsidR="00226310" w:rsidRPr="00226310" w:rsidRDefault="00226310" w:rsidP="00511CAB">
            <w:pPr>
              <w:pStyle w:val="TableText"/>
              <w:rPr>
                <w:lang w:eastAsia="en-AU"/>
              </w:rPr>
            </w:pPr>
            <w:r w:rsidRPr="00226310">
              <w:rPr>
                <w:lang w:eastAsia="en-AU"/>
              </w:rPr>
              <w:t>Self-Reporting Tool</w:t>
            </w:r>
          </w:p>
        </w:tc>
      </w:tr>
    </w:tbl>
    <w:p w14:paraId="11BF2BBB" w14:textId="342282CA" w:rsidR="005F3E90" w:rsidRDefault="005F3E90" w:rsidP="00B410FE">
      <w:pPr>
        <w:pStyle w:val="BodyText"/>
      </w:pPr>
      <w:r>
        <w:br w:type="page"/>
      </w:r>
    </w:p>
    <w:p w14:paraId="2B004152" w14:textId="2DB2DCEB" w:rsidR="00375D7E" w:rsidRDefault="005F3E90" w:rsidP="005F3E90">
      <w:pPr>
        <w:pStyle w:val="AppHeading1"/>
      </w:pPr>
      <w:bookmarkStart w:id="117" w:name="_Toc238218729"/>
      <w:r>
        <w:lastRenderedPageBreak/>
        <w:t xml:space="preserve">Appendix C </w:t>
      </w:r>
      <w:r w:rsidR="003B1C83">
        <w:tab/>
      </w:r>
      <w:r>
        <w:t xml:space="preserve">Assessment </w:t>
      </w:r>
      <w:r w:rsidR="009A55FB">
        <w:t xml:space="preserve">context, </w:t>
      </w:r>
      <w:r w:rsidR="00BA7E76">
        <w:t>purpose</w:t>
      </w:r>
      <w:r w:rsidR="003B1C83">
        <w:t>,</w:t>
      </w:r>
      <w:r w:rsidR="00BA7E76">
        <w:t xml:space="preserve"> and scope</w:t>
      </w:r>
      <w:bookmarkEnd w:id="117"/>
    </w:p>
    <w:p w14:paraId="09E12897" w14:textId="517F38A2" w:rsidR="00586CEF" w:rsidRDefault="00FB21EF" w:rsidP="00511CAB">
      <w:pPr>
        <w:pStyle w:val="Subheading"/>
        <w:rPr>
          <w:bCs/>
          <w:lang w:val="en-US"/>
        </w:rPr>
      </w:pPr>
      <w:r>
        <w:rPr>
          <w:bCs/>
          <w:lang w:val="en-US"/>
        </w:rPr>
        <w:t>Context</w:t>
      </w:r>
    </w:p>
    <w:p w14:paraId="5C31C3FD" w14:textId="6BEB49D1" w:rsidR="00FB21EF" w:rsidRPr="00FB21EF" w:rsidRDefault="00FB21EF" w:rsidP="00FB21EF">
      <w:pPr>
        <w:pStyle w:val="BodyText"/>
        <w:rPr>
          <w:lang w:val="en-US"/>
        </w:rPr>
      </w:pPr>
      <w:r w:rsidRPr="00FB21EF">
        <w:rPr>
          <w:lang w:val="en-US"/>
        </w:rPr>
        <w:t xml:space="preserve">Housing Australia is established under the </w:t>
      </w:r>
      <w:r w:rsidRPr="00FB21EF">
        <w:rPr>
          <w:i/>
          <w:iCs/>
          <w:lang w:val="en-US"/>
        </w:rPr>
        <w:t>Housing Australia Act 2018</w:t>
      </w:r>
      <w:r w:rsidRPr="00FB21EF">
        <w:rPr>
          <w:lang w:val="en-US"/>
        </w:rPr>
        <w:t xml:space="preserve"> as a Corporate Commonwealth Entity (CCE). The Minister for Housing is responsible for exercising portfolio oversight of Housing Australia, with the Minister for Finance functionally responsible for Specialist Direct Investment Vehicles (SIV) through the Joint Minister Model established in 2024. </w:t>
      </w:r>
    </w:p>
    <w:p w14:paraId="273B93E2" w14:textId="523F6E80" w:rsidR="00FB21EF" w:rsidRPr="00FB21EF" w:rsidRDefault="00FB21EF" w:rsidP="00FB21EF">
      <w:pPr>
        <w:pStyle w:val="BodyText"/>
        <w:rPr>
          <w:lang w:val="en-US"/>
        </w:rPr>
      </w:pPr>
      <w:r w:rsidRPr="00FB21EF">
        <w:rPr>
          <w:lang w:val="en-US"/>
        </w:rPr>
        <w:t xml:space="preserve">Since late 2023, Housing Australia’s mandate has significantly expanded to become the Australian Government’s primary housing delivery agency. In late 2024, the organisation commenced a series of </w:t>
      </w:r>
      <w:proofErr w:type="spellStart"/>
      <w:r w:rsidRPr="00FB21EF">
        <w:rPr>
          <w:lang w:val="en-US"/>
        </w:rPr>
        <w:t>organisational</w:t>
      </w:r>
      <w:proofErr w:type="spellEnd"/>
      <w:r w:rsidRPr="00FB21EF">
        <w:rPr>
          <w:lang w:val="en-US"/>
        </w:rPr>
        <w:t xml:space="preserve"> changes and developed a transformation program to uplift capability and maturity across a range of functions with the aim to strengthen its delivery capability. </w:t>
      </w:r>
    </w:p>
    <w:p w14:paraId="5DD7F54B" w14:textId="78F054E1" w:rsidR="00FB21EF" w:rsidRPr="00FB21EF" w:rsidRDefault="00FB21EF" w:rsidP="00FB21EF">
      <w:pPr>
        <w:pStyle w:val="BodyText"/>
        <w:rPr>
          <w:lang w:val="en-US"/>
        </w:rPr>
      </w:pPr>
      <w:r w:rsidRPr="00FB21EF">
        <w:rPr>
          <w:lang w:val="en-US"/>
        </w:rPr>
        <w:t xml:space="preserve">This has included establishing a new operating model, uplift in capability across enabling functions, risk and governance, and establishment of a Program Delivery Unit. These operational reforms will need to be supported by other elements of Housing Australia’s operating model, including its governance and ways of working to accelerate and ensure delivery of housing outcomes. </w:t>
      </w:r>
    </w:p>
    <w:p w14:paraId="73486C05" w14:textId="44E55A79" w:rsidR="00FB21EF" w:rsidRPr="00FB21EF" w:rsidRDefault="00FB21EF" w:rsidP="00FB21EF">
      <w:pPr>
        <w:pStyle w:val="BodyText"/>
        <w:rPr>
          <w:lang w:val="en-US"/>
        </w:rPr>
      </w:pPr>
      <w:r w:rsidRPr="00FB21EF">
        <w:rPr>
          <w:lang w:val="en-US"/>
        </w:rPr>
        <w:t>Nonetheless, challenges remain to deliver Government objectives at the speed, size and scale now required of Housing Australia. In addition, impacts of the Middle East fuel supply shock on construction costs and timelines are creating emerging challenges in the operating environment that the agency must also address to deliver these housing outcomes.</w:t>
      </w:r>
    </w:p>
    <w:p w14:paraId="2F8FE295" w14:textId="3C64E4F1" w:rsidR="00FB21EF" w:rsidRDefault="00FB21EF" w:rsidP="00FB21EF">
      <w:pPr>
        <w:pStyle w:val="BodyText"/>
        <w:rPr>
          <w:lang w:val="en-US"/>
        </w:rPr>
      </w:pPr>
      <w:r w:rsidRPr="00FB21EF">
        <w:rPr>
          <w:lang w:val="en-US"/>
        </w:rPr>
        <w:t>With substantial progress in the operational transformation program and challenges in the delivery environment, it is an appropriate time to commission a Capability Assessment to inform further decisions about operational capability.</w:t>
      </w:r>
    </w:p>
    <w:p w14:paraId="37665530" w14:textId="4124D180" w:rsidR="00546CC5" w:rsidRPr="005D00A1" w:rsidRDefault="00546CC5" w:rsidP="00511CAB">
      <w:pPr>
        <w:pStyle w:val="Subheading"/>
        <w:rPr>
          <w:bCs/>
        </w:rPr>
      </w:pPr>
      <w:r w:rsidRPr="00511CAB">
        <w:rPr>
          <w:bCs/>
          <w:lang w:val="en-US"/>
        </w:rPr>
        <w:t>P</w:t>
      </w:r>
      <w:r w:rsidRPr="005D00A1">
        <w:rPr>
          <w:bCs/>
          <w:lang w:val="en-US"/>
        </w:rPr>
        <w:t>urpose</w:t>
      </w:r>
      <w:r w:rsidRPr="005D00A1">
        <w:rPr>
          <w:bCs/>
        </w:rPr>
        <w:t> </w:t>
      </w:r>
    </w:p>
    <w:p w14:paraId="6BDED678" w14:textId="77777777" w:rsidR="00546CC5" w:rsidRPr="00546CC5" w:rsidRDefault="00546CC5" w:rsidP="00546CC5">
      <w:pPr>
        <w:pStyle w:val="BodyText"/>
      </w:pPr>
      <w:r w:rsidRPr="00546CC5">
        <w:rPr>
          <w:lang w:val="en-US"/>
        </w:rPr>
        <w:t xml:space="preserve">To assess whether Housing Australia’s governance, </w:t>
      </w:r>
      <w:proofErr w:type="spellStart"/>
      <w:r w:rsidRPr="00546CC5">
        <w:rPr>
          <w:lang w:val="en-US"/>
        </w:rPr>
        <w:t>organisational</w:t>
      </w:r>
      <w:proofErr w:type="spellEnd"/>
      <w:r w:rsidRPr="00546CC5">
        <w:rPr>
          <w:lang w:val="en-US"/>
        </w:rPr>
        <w:t xml:space="preserve"> arrangements and ways of working are set up to successfully deliver on Government objectives, including 40,000 new social and affordable homes by 30 June 2029, consider Housing Australia’s desired future state, and recommending opportunities to address any identified capability gaps.</w:t>
      </w:r>
      <w:r w:rsidRPr="00546CC5">
        <w:t> </w:t>
      </w:r>
    </w:p>
    <w:p w14:paraId="5ED6B719" w14:textId="77777777" w:rsidR="00546CC5" w:rsidRPr="00546CC5" w:rsidRDefault="00546CC5" w:rsidP="00511CAB">
      <w:pPr>
        <w:pStyle w:val="Subheading"/>
        <w:rPr>
          <w:color w:val="000000" w:themeColor="text1"/>
        </w:rPr>
      </w:pPr>
      <w:r w:rsidRPr="00546CC5">
        <w:rPr>
          <w:lang w:val="en-US"/>
        </w:rPr>
        <w:t>Scope</w:t>
      </w:r>
      <w:r w:rsidRPr="00546CC5">
        <w:rPr>
          <w:color w:val="000000" w:themeColor="text1"/>
        </w:rPr>
        <w:t> </w:t>
      </w:r>
    </w:p>
    <w:p w14:paraId="6E3B1D82" w14:textId="77777777" w:rsidR="00546CC5" w:rsidRPr="00546CC5" w:rsidRDefault="00546CC5" w:rsidP="00546CC5">
      <w:pPr>
        <w:pStyle w:val="BodyText"/>
      </w:pPr>
      <w:r w:rsidRPr="00546CC5">
        <w:rPr>
          <w:lang w:val="en-US"/>
        </w:rPr>
        <w:t>The Capability Assessment will consider, in the context of Government policy objectives and Housing Australia’s role as a CCE:</w:t>
      </w:r>
      <w:r w:rsidRPr="00546CC5">
        <w:t> </w:t>
      </w:r>
    </w:p>
    <w:p w14:paraId="6CE805DA" w14:textId="77777777" w:rsidR="00546CC5" w:rsidRPr="00546CC5" w:rsidRDefault="00546CC5" w:rsidP="005D00A1">
      <w:pPr>
        <w:pStyle w:val="ListBullet1"/>
      </w:pPr>
      <w:r w:rsidRPr="00546CC5">
        <w:rPr>
          <w:lang w:val="en-US"/>
        </w:rPr>
        <w:t>The extent to which Housing Australia’s delivery performance and capabilities have improved since inception and since its significant increase in responsibilities.</w:t>
      </w:r>
      <w:r w:rsidRPr="00546CC5">
        <w:t> </w:t>
      </w:r>
    </w:p>
    <w:p w14:paraId="1C355F54" w14:textId="77777777" w:rsidR="00546CC5" w:rsidRPr="00546CC5" w:rsidRDefault="00546CC5" w:rsidP="005D00A1">
      <w:pPr>
        <w:pStyle w:val="ListBullet1"/>
      </w:pPr>
      <w:r w:rsidRPr="00546CC5">
        <w:rPr>
          <w:lang w:val="en-US"/>
        </w:rPr>
        <w:t>The degree to which current governance arrangements and delivery approaches, including recent operational transformation reforms, will enable the delivery at the pace required to successfully achieve objectives set by government.</w:t>
      </w:r>
      <w:r w:rsidRPr="00546CC5">
        <w:t> </w:t>
      </w:r>
    </w:p>
    <w:p w14:paraId="4696D8FB" w14:textId="77777777" w:rsidR="00546CC5" w:rsidRPr="00546CC5" w:rsidRDefault="00546CC5" w:rsidP="005D00A1">
      <w:pPr>
        <w:pStyle w:val="ListBullet1"/>
      </w:pPr>
      <w:r w:rsidRPr="00546CC5">
        <w:rPr>
          <w:lang w:val="en-US"/>
        </w:rPr>
        <w:t xml:space="preserve">The extent to which </w:t>
      </w:r>
      <w:proofErr w:type="spellStart"/>
      <w:r w:rsidRPr="00546CC5">
        <w:rPr>
          <w:lang w:val="en-US"/>
        </w:rPr>
        <w:t>organisational</w:t>
      </w:r>
      <w:proofErr w:type="spellEnd"/>
      <w:r w:rsidRPr="00546CC5">
        <w:rPr>
          <w:lang w:val="en-US"/>
        </w:rPr>
        <w:t xml:space="preserve"> capability is appropriately planned and resourced to meet objectives – for example, the capability required to deploy funding and financing, contract these commitments and manage the ongoing interface with funding recipients to ensure successful delivery of projects.</w:t>
      </w:r>
      <w:r w:rsidRPr="00546CC5">
        <w:t> </w:t>
      </w:r>
    </w:p>
    <w:p w14:paraId="240EE941" w14:textId="77777777" w:rsidR="00546CC5" w:rsidRPr="00546CC5" w:rsidRDefault="00546CC5" w:rsidP="005D00A1">
      <w:pPr>
        <w:pStyle w:val="ListBullet1"/>
      </w:pPr>
      <w:r w:rsidRPr="00546CC5">
        <w:rPr>
          <w:lang w:val="en-US"/>
        </w:rPr>
        <w:t>The degree to which there is a shared understanding across Housing Australia of its role as a delivery agency for government, including clarity of expectations and a consistent focus on timely program delivery. This includes the effectiveness of active engagement at the project level, including maintaining visibility of performance, diagnosing delivery risks and challenges, and identifying opportunities to accelerate delivery.</w:t>
      </w:r>
      <w:r w:rsidRPr="00546CC5">
        <w:t> </w:t>
      </w:r>
    </w:p>
    <w:p w14:paraId="2F5906FD" w14:textId="77777777" w:rsidR="005502D6" w:rsidRDefault="005502D6">
      <w:pPr>
        <w:spacing w:line="240" w:lineRule="auto"/>
        <w:rPr>
          <w:lang w:val="en-US"/>
        </w:rPr>
      </w:pPr>
      <w:r>
        <w:rPr>
          <w:lang w:val="en-US"/>
        </w:rPr>
        <w:br w:type="page"/>
      </w:r>
    </w:p>
    <w:p w14:paraId="6B1734CF" w14:textId="5C07B935" w:rsidR="00546CC5" w:rsidRPr="00546CC5" w:rsidRDefault="00546CC5" w:rsidP="005D00A1">
      <w:pPr>
        <w:pStyle w:val="ListBullet1"/>
      </w:pPr>
      <w:r w:rsidRPr="00546CC5">
        <w:rPr>
          <w:lang w:val="en-US"/>
        </w:rPr>
        <w:lastRenderedPageBreak/>
        <w:t xml:space="preserve">Transparency and </w:t>
      </w:r>
      <w:proofErr w:type="spellStart"/>
      <w:r w:rsidRPr="00546CC5">
        <w:rPr>
          <w:lang w:val="en-US"/>
        </w:rPr>
        <w:t>rigour</w:t>
      </w:r>
      <w:proofErr w:type="spellEnd"/>
      <w:r w:rsidRPr="00546CC5">
        <w:rPr>
          <w:lang w:val="en-US"/>
        </w:rPr>
        <w:t xml:space="preserve"> in tracking, forecasting, and reporting delivery progress and risk, at both project and program levels, to inform decision-making and oversight of program performance by senior executives, the Board, Treasury, and the Minister for Housing, including at interim milestones.</w:t>
      </w:r>
      <w:r w:rsidRPr="00546CC5">
        <w:t> </w:t>
      </w:r>
    </w:p>
    <w:p w14:paraId="7451CD00" w14:textId="77777777" w:rsidR="00546CC5" w:rsidRPr="00546CC5" w:rsidRDefault="00546CC5" w:rsidP="005D00A1">
      <w:pPr>
        <w:pStyle w:val="ListBullet1"/>
      </w:pPr>
      <w:r w:rsidRPr="00546CC5">
        <w:rPr>
          <w:lang w:val="en-US"/>
        </w:rPr>
        <w:t>The extent to which Housing Australia’s Board members, the Board as a whole, and senior executive leadership are aligned in their focus on delivery and are applying this focus through their actions and capabilities.</w:t>
      </w:r>
      <w:r w:rsidRPr="00546CC5">
        <w:t> </w:t>
      </w:r>
    </w:p>
    <w:p w14:paraId="0132771C" w14:textId="77777777" w:rsidR="00546CC5" w:rsidRPr="00546CC5" w:rsidRDefault="00546CC5" w:rsidP="005D00A1">
      <w:pPr>
        <w:pStyle w:val="ListBullet1"/>
      </w:pPr>
      <w:r w:rsidRPr="00546CC5">
        <w:rPr>
          <w:lang w:val="en-US"/>
        </w:rPr>
        <w:t>Communication and stakeholder engagement with delivery partners to support delivery, including state and territory governments, Community Housing Providers, and the wider community.</w:t>
      </w:r>
      <w:r w:rsidRPr="00546CC5">
        <w:t> </w:t>
      </w:r>
    </w:p>
    <w:p w14:paraId="08101543" w14:textId="77777777" w:rsidR="00546CC5" w:rsidRPr="00546CC5" w:rsidRDefault="00546CC5" w:rsidP="005D00A1">
      <w:pPr>
        <w:pStyle w:val="ListBullet1"/>
      </w:pPr>
      <w:r w:rsidRPr="00546CC5">
        <w:rPr>
          <w:lang w:val="en-US"/>
        </w:rPr>
        <w:t>The effectiveness and clarity of roles, responsibilities and accountability arrangements for delivery, including escalation and resolution of project and program delivery issues, within Housing Australia and between Housing Australia and Treasury.</w:t>
      </w:r>
      <w:r w:rsidRPr="00546CC5">
        <w:t> </w:t>
      </w:r>
    </w:p>
    <w:p w14:paraId="6C0C65A2" w14:textId="77777777" w:rsidR="00546CC5" w:rsidRPr="00546CC5" w:rsidRDefault="00546CC5" w:rsidP="005D00A1">
      <w:pPr>
        <w:pStyle w:val="ListBullet1"/>
      </w:pPr>
      <w:r w:rsidRPr="00546CC5">
        <w:rPr>
          <w:lang w:val="en-US"/>
        </w:rPr>
        <w:t>Additional delivery capabilities necessary to adjust to supply chain and construction cost consequences of the Middle East fuel supply shock.</w:t>
      </w:r>
      <w:r w:rsidRPr="00546CC5">
        <w:t> </w:t>
      </w:r>
    </w:p>
    <w:p w14:paraId="6206E63B" w14:textId="3F4BB88B" w:rsidR="005F3E90" w:rsidRPr="005F3E90" w:rsidRDefault="005F3E90" w:rsidP="00546CC5">
      <w:pPr>
        <w:pStyle w:val="BodyText"/>
      </w:pPr>
    </w:p>
    <w:sectPr w:rsidR="005F3E90" w:rsidRPr="005F3E90" w:rsidSect="00D909B3">
      <w:headerReference w:type="even" r:id="rId16"/>
      <w:headerReference w:type="default" r:id="rId17"/>
      <w:footerReference w:type="even" r:id="rId18"/>
      <w:headerReference w:type="first" r:id="rId19"/>
      <w:footerReference w:type="first" r:id="rId20"/>
      <w:pgSz w:w="11906" w:h="16838" w:code="9"/>
      <w:pgMar w:top="1702" w:right="991" w:bottom="851" w:left="1134" w:header="709"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CA59" w14:textId="77777777" w:rsidR="00AF74BB" w:rsidRDefault="00AF74BB" w:rsidP="00650F83">
      <w:r>
        <w:separator/>
      </w:r>
    </w:p>
  </w:endnote>
  <w:endnote w:type="continuationSeparator" w:id="0">
    <w:p w14:paraId="399B4C8C" w14:textId="77777777" w:rsidR="00AF74BB" w:rsidRDefault="00AF74BB" w:rsidP="00650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3B87" w14:textId="77777777" w:rsidR="00A627D7" w:rsidRDefault="00A627D7" w:rsidP="00297430">
    <w:pPr>
      <w:pStyle w:val="Footer"/>
    </w:pPr>
    <w:r w:rsidRPr="006415D2">
      <w:t xml:space="preserve">Page </w:t>
    </w:r>
    <w:r w:rsidRPr="006415D2">
      <w:fldChar w:fldCharType="begin"/>
    </w:r>
    <w:r w:rsidRPr="006415D2">
      <w:instrText xml:space="preserve"> PAGE   \* MERGEFORMAT </w:instrText>
    </w:r>
    <w:r w:rsidRPr="006415D2">
      <w:fldChar w:fldCharType="separate"/>
    </w:r>
    <w:r>
      <w:t>i</w:t>
    </w:r>
    <w:r w:rsidRPr="006415D2">
      <w:fldChar w:fldCharType="end"/>
    </w:r>
  </w:p>
  <w:p w14:paraId="55E1A6A6" w14:textId="77777777" w:rsidR="00E12785" w:rsidRPr="005E5367" w:rsidRDefault="00E12785" w:rsidP="00297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7653"/>
    </w:tblGrid>
    <w:tr w:rsidR="00794A54" w:rsidRPr="00AE6954" w14:paraId="1AD29328" w14:textId="77777777" w:rsidTr="00167D00">
      <w:trPr>
        <w:trHeight w:val="57"/>
      </w:trPr>
      <w:tc>
        <w:tcPr>
          <w:tcW w:w="1985" w:type="dxa"/>
        </w:tcPr>
        <w:p w14:paraId="3AF249E5" w14:textId="77777777" w:rsidR="00794A54" w:rsidRPr="00CF36BD" w:rsidRDefault="00794A54" w:rsidP="00167D00">
          <w:pPr>
            <w:pStyle w:val="Footer"/>
            <w:rPr>
              <w:noProof/>
            </w:rPr>
          </w:pPr>
          <w:r w:rsidRPr="00CF36BD">
            <w:t xml:space="preserve">Page </w:t>
          </w:r>
          <w:r w:rsidRPr="00CF36BD">
            <w:fldChar w:fldCharType="begin"/>
          </w:r>
          <w:r w:rsidRPr="00CF36BD">
            <w:instrText xml:space="preserve"> PAGE   \* MERGEFORMAT </w:instrText>
          </w:r>
          <w:r w:rsidRPr="00CF36BD">
            <w:fldChar w:fldCharType="separate"/>
          </w:r>
          <w:r>
            <w:rPr>
              <w:noProof/>
            </w:rPr>
            <w:t>3</w:t>
          </w:r>
          <w:r w:rsidRPr="00CF36BD">
            <w:rPr>
              <w:noProof/>
            </w:rPr>
            <w:fldChar w:fldCharType="end"/>
          </w:r>
        </w:p>
      </w:tc>
      <w:tc>
        <w:tcPr>
          <w:tcW w:w="7653" w:type="dxa"/>
        </w:tcPr>
        <w:p w14:paraId="7C09B0DA" w14:textId="77777777" w:rsidR="00794A54" w:rsidRPr="00CF36BD" w:rsidRDefault="00794A54" w:rsidP="00167D00">
          <w:pPr>
            <w:pStyle w:val="Footer"/>
          </w:pPr>
          <w:r>
            <w:rPr>
              <w:noProof/>
            </w:rPr>
            <w:drawing>
              <wp:anchor distT="0" distB="0" distL="114300" distR="114300" simplePos="0" relativeHeight="251658244" behindDoc="0" locked="0" layoutInCell="1" allowOverlap="1" wp14:anchorId="4817B956" wp14:editId="33FBED15">
                <wp:simplePos x="0" y="0"/>
                <wp:positionH relativeFrom="column">
                  <wp:posOffset>3742419</wp:posOffset>
                </wp:positionH>
                <wp:positionV relativeFrom="paragraph">
                  <wp:posOffset>3175</wp:posOffset>
                </wp:positionV>
                <wp:extent cx="1842770" cy="339725"/>
                <wp:effectExtent l="0" t="0" r="5080" b="3175"/>
                <wp:wrapNone/>
                <wp:docPr id="1630678762" name="Picture 16306787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78762" name="Picture 163067876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42770" cy="339725"/>
                        </a:xfrm>
                        <a:prstGeom prst="rect">
                          <a:avLst/>
                        </a:prstGeom>
                      </pic:spPr>
                    </pic:pic>
                  </a:graphicData>
                </a:graphic>
                <wp14:sizeRelH relativeFrom="margin">
                  <wp14:pctWidth>0</wp14:pctWidth>
                </wp14:sizeRelH>
                <wp14:sizeRelV relativeFrom="margin">
                  <wp14:pctHeight>0</wp14:pctHeight>
                </wp14:sizeRelV>
              </wp:anchor>
            </w:drawing>
          </w:r>
        </w:p>
      </w:tc>
    </w:tr>
  </w:tbl>
  <w:p w14:paraId="1B643808" w14:textId="77777777" w:rsidR="00794A54" w:rsidRPr="00794A54" w:rsidRDefault="00794A54" w:rsidP="00794A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7653"/>
    </w:tblGrid>
    <w:tr w:rsidR="00794A54" w:rsidRPr="00AE6954" w14:paraId="39D8561B" w14:textId="77777777" w:rsidTr="00167D00">
      <w:trPr>
        <w:trHeight w:val="57"/>
      </w:trPr>
      <w:tc>
        <w:tcPr>
          <w:tcW w:w="1985" w:type="dxa"/>
        </w:tcPr>
        <w:p w14:paraId="40673103" w14:textId="77777777" w:rsidR="00794A54" w:rsidRPr="00CF36BD" w:rsidRDefault="00794A54" w:rsidP="00167D00">
          <w:pPr>
            <w:pStyle w:val="Footer"/>
            <w:rPr>
              <w:noProof/>
            </w:rPr>
          </w:pPr>
          <w:r w:rsidRPr="00CF36BD">
            <w:t xml:space="preserve">Page </w:t>
          </w:r>
          <w:r w:rsidRPr="00CF36BD">
            <w:fldChar w:fldCharType="begin"/>
          </w:r>
          <w:r w:rsidRPr="00CF36BD">
            <w:instrText xml:space="preserve"> PAGE   \* MERGEFORMAT </w:instrText>
          </w:r>
          <w:r w:rsidRPr="00CF36BD">
            <w:fldChar w:fldCharType="separate"/>
          </w:r>
          <w:r>
            <w:rPr>
              <w:noProof/>
            </w:rPr>
            <w:t>3</w:t>
          </w:r>
          <w:r w:rsidRPr="00CF36BD">
            <w:rPr>
              <w:noProof/>
            </w:rPr>
            <w:fldChar w:fldCharType="end"/>
          </w:r>
        </w:p>
      </w:tc>
      <w:tc>
        <w:tcPr>
          <w:tcW w:w="7653" w:type="dxa"/>
        </w:tcPr>
        <w:p w14:paraId="51D02997" w14:textId="77777777" w:rsidR="00794A54" w:rsidRPr="00CF36BD" w:rsidRDefault="00794A54" w:rsidP="00167D00">
          <w:pPr>
            <w:pStyle w:val="Footer"/>
          </w:pPr>
          <w:r>
            <w:rPr>
              <w:noProof/>
            </w:rPr>
            <w:drawing>
              <wp:anchor distT="0" distB="0" distL="114300" distR="114300" simplePos="0" relativeHeight="251658247" behindDoc="0" locked="0" layoutInCell="1" allowOverlap="1" wp14:anchorId="15912D73" wp14:editId="12EB9069">
                <wp:simplePos x="0" y="0"/>
                <wp:positionH relativeFrom="column">
                  <wp:posOffset>3742419</wp:posOffset>
                </wp:positionH>
                <wp:positionV relativeFrom="paragraph">
                  <wp:posOffset>3175</wp:posOffset>
                </wp:positionV>
                <wp:extent cx="1842770" cy="339725"/>
                <wp:effectExtent l="0" t="0" r="5080" b="3175"/>
                <wp:wrapNone/>
                <wp:docPr id="313420332" name="Picture 3134203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20332" name="Picture 31342033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42770" cy="339725"/>
                        </a:xfrm>
                        <a:prstGeom prst="rect">
                          <a:avLst/>
                        </a:prstGeom>
                      </pic:spPr>
                    </pic:pic>
                  </a:graphicData>
                </a:graphic>
                <wp14:sizeRelH relativeFrom="margin">
                  <wp14:pctWidth>0</wp14:pctWidth>
                </wp14:sizeRelH>
                <wp14:sizeRelV relativeFrom="margin">
                  <wp14:pctHeight>0</wp14:pctHeight>
                </wp14:sizeRelV>
              </wp:anchor>
            </w:drawing>
          </w:r>
        </w:p>
      </w:tc>
    </w:tr>
  </w:tbl>
  <w:p w14:paraId="3B6C11E4" w14:textId="77777777" w:rsidR="00794A54" w:rsidRPr="00794A54" w:rsidRDefault="00794A54" w:rsidP="00794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7C2C8" w14:textId="77777777" w:rsidR="00AF74BB" w:rsidRDefault="00AF74BB" w:rsidP="00650F83">
      <w:r>
        <w:separator/>
      </w:r>
    </w:p>
  </w:footnote>
  <w:footnote w:type="continuationSeparator" w:id="0">
    <w:p w14:paraId="73CAD865" w14:textId="77777777" w:rsidR="00AF74BB" w:rsidRDefault="00AF74BB" w:rsidP="00650F83">
      <w:r>
        <w:continuationSeparator/>
      </w:r>
    </w:p>
  </w:footnote>
  <w:footnote w:id="1">
    <w:p w14:paraId="78334FDD" w14:textId="65EE78BD" w:rsidR="002E1CBD" w:rsidRDefault="002E1CBD">
      <w:pPr>
        <w:pStyle w:val="FootnoteText"/>
      </w:pPr>
      <w:r>
        <w:rPr>
          <w:rStyle w:val="FootnoteReference"/>
        </w:rPr>
        <w:footnoteRef/>
      </w:r>
      <w:r>
        <w:t xml:space="preserve"> </w:t>
      </w:r>
      <w:r w:rsidR="007E6686">
        <w:tab/>
        <w:t>Board Evaluation is required by RMG 127 Performance and Evaluation Section</w:t>
      </w:r>
    </w:p>
  </w:footnote>
  <w:footnote w:id="2">
    <w:p w14:paraId="7FA99462" w14:textId="77777777" w:rsidR="00DB1410" w:rsidRPr="00DB1410" w:rsidRDefault="00DB1410" w:rsidP="00DB1410">
      <w:pPr>
        <w:pStyle w:val="FootnoteText"/>
        <w:rPr>
          <w:i/>
          <w:iCs/>
        </w:rPr>
      </w:pPr>
      <w:r>
        <w:rPr>
          <w:rStyle w:val="FootnoteReference"/>
        </w:rPr>
        <w:footnoteRef/>
      </w:r>
      <w:r>
        <w:t xml:space="preserve"> </w:t>
      </w:r>
      <w:r>
        <w:tab/>
        <w:t xml:space="preserve">Australian Government Treasury. (2025). </w:t>
      </w:r>
      <w:r>
        <w:rPr>
          <w:i/>
          <w:iCs/>
        </w:rPr>
        <w:t xml:space="preserve">Statement of Expectations for Housing Australia. </w:t>
      </w:r>
      <w:r w:rsidRPr="00DB1410">
        <w:rPr>
          <w:i/>
          <w:iCs/>
        </w:rPr>
        <w:t>https://treasury.gov.au/sites/default/files/2025-09/ha_statement_of_expectations.docx</w:t>
      </w:r>
    </w:p>
  </w:footnote>
  <w:footnote w:id="3">
    <w:p w14:paraId="46C1C927" w14:textId="722A7D07" w:rsidR="001513FE" w:rsidRDefault="0013026D">
      <w:pPr>
        <w:pStyle w:val="FootnoteText"/>
      </w:pPr>
      <w:r>
        <w:rPr>
          <w:rStyle w:val="FootnoteReference"/>
        </w:rPr>
        <w:footnoteRef/>
      </w:r>
      <w:r>
        <w:t xml:space="preserve"> </w:t>
      </w:r>
      <w:r w:rsidR="0001652C">
        <w:tab/>
      </w:r>
      <w:r>
        <w:t xml:space="preserve">Australian Institute of Health and Welfare. (2025). </w:t>
      </w:r>
      <w:r>
        <w:rPr>
          <w:i/>
          <w:iCs/>
        </w:rPr>
        <w:t xml:space="preserve">Housing assistance in Australia: Households and wait lists. </w:t>
      </w:r>
      <w:r>
        <w:t>AIHW.</w:t>
      </w:r>
    </w:p>
    <w:p w14:paraId="5AB385C6" w14:textId="630B573F" w:rsidR="0013026D" w:rsidRPr="0013026D" w:rsidRDefault="001513FE">
      <w:pPr>
        <w:pStyle w:val="FootnoteText"/>
      </w:pPr>
      <w:r>
        <w:t xml:space="preserve">  </w:t>
      </w:r>
      <w:r w:rsidR="00127E5A">
        <w:t xml:space="preserve"> </w:t>
      </w:r>
      <w:r w:rsidR="0001652C">
        <w:tab/>
      </w:r>
      <w:r w:rsidR="00065677" w:rsidRPr="00065677">
        <w:t>https://www.aihw.gov.au/reports/housing-assistance/housing-assistance-in-australia-2026/contents/households-and-waitlists</w:t>
      </w:r>
    </w:p>
  </w:footnote>
  <w:footnote w:id="4">
    <w:p w14:paraId="7B79E742" w14:textId="77777777" w:rsidR="006D5D88" w:rsidRDefault="006D5D88" w:rsidP="006D5D88">
      <w:pPr>
        <w:pStyle w:val="FootnoteText"/>
      </w:pPr>
      <w:r>
        <w:rPr>
          <w:rStyle w:val="FootnoteReference"/>
        </w:rPr>
        <w:footnoteRef/>
      </w:r>
      <w:r>
        <w:t xml:space="preserve"> </w:t>
      </w:r>
      <w:r>
        <w:tab/>
        <w:t>While branding for these programs have changed over time, this report refers to these programs by their name, or refer to them in the aggregate as HAFF, which includes the HAFFF and NHAF only.</w:t>
      </w:r>
    </w:p>
  </w:footnote>
  <w:footnote w:id="5">
    <w:p w14:paraId="43A0CD36" w14:textId="48682321" w:rsidR="00D60878" w:rsidRPr="005625E7" w:rsidRDefault="00D60878">
      <w:pPr>
        <w:pStyle w:val="FootnoteText"/>
      </w:pPr>
      <w:r>
        <w:rPr>
          <w:rStyle w:val="FootnoteReference"/>
        </w:rPr>
        <w:footnoteRef/>
      </w:r>
      <w:r>
        <w:t xml:space="preserve"> </w:t>
      </w:r>
      <w:r>
        <w:tab/>
      </w:r>
      <w:r w:rsidR="00EB540C">
        <w:t xml:space="preserve">Australian Public Service Academy. (2026, </w:t>
      </w:r>
      <w:r w:rsidR="005625E7">
        <w:t xml:space="preserve">June 2). </w:t>
      </w:r>
      <w:r w:rsidR="005625E7">
        <w:rPr>
          <w:i/>
          <w:iCs/>
        </w:rPr>
        <w:t>The APS Program and Project Management Framework</w:t>
      </w:r>
      <w:r w:rsidR="005625E7">
        <w:t xml:space="preserve">. APSA. </w:t>
      </w:r>
      <w:r w:rsidR="00A5618B" w:rsidRPr="00A5618B">
        <w:t>https://www.apsacademy.gov.au/news/aps-program-and-project-management-framework</w:t>
      </w:r>
    </w:p>
  </w:footnote>
  <w:footnote w:id="6">
    <w:p w14:paraId="45A445BB" w14:textId="5BD24444" w:rsidR="00E24D27" w:rsidRPr="00E24D27" w:rsidRDefault="00E24D27">
      <w:pPr>
        <w:pStyle w:val="FootnoteText"/>
      </w:pPr>
      <w:r>
        <w:rPr>
          <w:rStyle w:val="FootnoteReference"/>
        </w:rPr>
        <w:footnoteRef/>
      </w:r>
      <w:r>
        <w:t xml:space="preserve"> </w:t>
      </w:r>
      <w:r>
        <w:tab/>
        <w:t xml:space="preserve">Department of Finance. (n.d.). </w:t>
      </w:r>
      <w:r>
        <w:rPr>
          <w:i/>
          <w:iCs/>
        </w:rPr>
        <w:t xml:space="preserve">Guidance on the Assurance Reviews Process (RMG 106). Australian Department of Finance. </w:t>
      </w:r>
      <w:r w:rsidR="007A05DA" w:rsidRPr="007A05DA">
        <w:t>https://www.finance.gov.au/publications/resource-management-guides/guidance-assurance-reviews-process-rmg-106</w:t>
      </w:r>
    </w:p>
  </w:footnote>
  <w:footnote w:id="7">
    <w:p w14:paraId="2BCFB639" w14:textId="25AAA55F" w:rsidR="00B45720" w:rsidRDefault="00B45720">
      <w:pPr>
        <w:pStyle w:val="FootnoteText"/>
      </w:pPr>
      <w:r>
        <w:rPr>
          <w:rStyle w:val="FootnoteReference"/>
        </w:rPr>
        <w:footnoteRef/>
      </w:r>
      <w:r>
        <w:t xml:space="preserve"> </w:t>
      </w:r>
      <w:r w:rsidR="00E42B8B">
        <w:tab/>
        <w:t>G</w:t>
      </w:r>
      <w:r w:rsidR="00E42B8B" w:rsidRPr="00E42B8B">
        <w:t xml:space="preserve">overnment Project Delivery &amp; Cabinet Office. (2025, September 17). </w:t>
      </w:r>
      <w:r w:rsidR="00E42B8B" w:rsidRPr="00E42B8B">
        <w:rPr>
          <w:i/>
          <w:iCs/>
        </w:rPr>
        <w:t>Government Functional Standard GovS 002: Project Delivery</w:t>
      </w:r>
      <w:r w:rsidR="00E42B8B" w:rsidRPr="00E42B8B">
        <w:t>. GOV.UK. https://www.gov.uk/government/publications/project-delivery-functional-standard</w:t>
      </w:r>
    </w:p>
  </w:footnote>
  <w:footnote w:id="8">
    <w:p w14:paraId="7551EB50" w14:textId="5658310E" w:rsidR="00C96CD5" w:rsidRDefault="00C96CD5" w:rsidP="00C96CD5">
      <w:pPr>
        <w:pStyle w:val="FootnoteText"/>
      </w:pPr>
      <w:r>
        <w:rPr>
          <w:rStyle w:val="FootnoteReference"/>
        </w:rPr>
        <w:footnoteRef/>
      </w:r>
      <w:r>
        <w:t xml:space="preserve"> </w:t>
      </w:r>
      <w:r>
        <w:tab/>
        <w:t>For more information on challenging market conditions, refer to Section 10 of this report.</w:t>
      </w:r>
    </w:p>
  </w:footnote>
  <w:footnote w:id="9">
    <w:p w14:paraId="38DFF3EF" w14:textId="3DA5CC69" w:rsidR="00F1615E" w:rsidRPr="00CB5FC5" w:rsidRDefault="00F1615E">
      <w:pPr>
        <w:pStyle w:val="FootnoteText"/>
      </w:pPr>
      <w:r>
        <w:rPr>
          <w:rStyle w:val="FootnoteReference"/>
        </w:rPr>
        <w:footnoteRef/>
      </w:r>
      <w:r>
        <w:t xml:space="preserve"> </w:t>
      </w:r>
      <w:r w:rsidR="00F72434">
        <w:tab/>
      </w:r>
      <w:r w:rsidR="00DE5B28">
        <w:t xml:space="preserve">Department of Finance. (2024). </w:t>
      </w:r>
      <w:r w:rsidR="00F6168E" w:rsidRPr="00CB5FC5">
        <w:rPr>
          <w:i/>
          <w:iCs/>
        </w:rPr>
        <w:t xml:space="preserve">Department of Finance </w:t>
      </w:r>
      <w:r w:rsidR="009F497D" w:rsidRPr="00CB5FC5">
        <w:rPr>
          <w:i/>
          <w:iCs/>
        </w:rPr>
        <w:t>Resource Management Guide</w:t>
      </w:r>
      <w:r w:rsidR="00F6168E" w:rsidRPr="00CB5FC5">
        <w:rPr>
          <w:i/>
          <w:iCs/>
        </w:rPr>
        <w:t xml:space="preserve"> 127</w:t>
      </w:r>
      <w:r w:rsidR="005001B1">
        <w:rPr>
          <w:i/>
          <w:iCs/>
        </w:rPr>
        <w:t>,</w:t>
      </w:r>
      <w:r w:rsidR="009F497D" w:rsidRPr="00CB5FC5">
        <w:rPr>
          <w:i/>
          <w:iCs/>
        </w:rPr>
        <w:t xml:space="preserve"> Board and corporate governance</w:t>
      </w:r>
      <w:r w:rsidR="009F497D">
        <w:t xml:space="preserve"> </w:t>
      </w:r>
      <w:r w:rsidR="009F497D" w:rsidRPr="00CB5FC5">
        <w:rPr>
          <w:i/>
          <w:iCs/>
        </w:rPr>
        <w:t xml:space="preserve">– Performance and </w:t>
      </w:r>
      <w:r w:rsidR="005001B1">
        <w:rPr>
          <w:i/>
          <w:iCs/>
        </w:rPr>
        <w:t>e</w:t>
      </w:r>
      <w:r w:rsidR="005001B1" w:rsidRPr="00CB5FC5">
        <w:rPr>
          <w:i/>
          <w:iCs/>
        </w:rPr>
        <w:t>valuation</w:t>
      </w:r>
      <w:r w:rsidR="00CB5FC5">
        <w:rPr>
          <w:i/>
          <w:iCs/>
        </w:rPr>
        <w:t xml:space="preserve">. </w:t>
      </w:r>
      <w:r w:rsidR="00CB5FC5" w:rsidRPr="00CB5FC5">
        <w:rPr>
          <w:i/>
          <w:iCs/>
        </w:rPr>
        <w:t>https://www.finance.gov.au/government/managing-commonwealth-resources/specialist-investment-vehicles-sivs-rmg-127/board-and-corporate-governance</w:t>
      </w:r>
    </w:p>
  </w:footnote>
  <w:footnote w:id="10">
    <w:p w14:paraId="05D614E2" w14:textId="743B4403" w:rsidR="00094C1E" w:rsidRPr="00990F31" w:rsidRDefault="00094C1E">
      <w:pPr>
        <w:pStyle w:val="FootnoteText"/>
      </w:pPr>
      <w:r>
        <w:rPr>
          <w:rStyle w:val="FootnoteReference"/>
        </w:rPr>
        <w:footnoteRef/>
      </w:r>
      <w:r>
        <w:t xml:space="preserve"> </w:t>
      </w:r>
      <w:r>
        <w:tab/>
      </w:r>
      <w:r w:rsidR="00990F31">
        <w:t>National Housing Supply and Affordability Council. (</w:t>
      </w:r>
      <w:r w:rsidR="003E40E9">
        <w:t>2026</w:t>
      </w:r>
      <w:r w:rsidR="00990F31">
        <w:t xml:space="preserve">). </w:t>
      </w:r>
      <w:r w:rsidR="00990F31">
        <w:rPr>
          <w:i/>
          <w:iCs/>
        </w:rPr>
        <w:t>State of the housing system 202</w:t>
      </w:r>
      <w:r w:rsidR="003E40E9">
        <w:rPr>
          <w:i/>
          <w:iCs/>
        </w:rPr>
        <w:t>6</w:t>
      </w:r>
      <w:r w:rsidR="00990F31">
        <w:rPr>
          <w:i/>
          <w:iCs/>
        </w:rPr>
        <w:t xml:space="preserve">. </w:t>
      </w:r>
      <w:r w:rsidR="00990F31">
        <w:t xml:space="preserve">Australian Government. </w:t>
      </w:r>
      <w:r w:rsidR="00EC3A90" w:rsidRPr="00EC3A90">
        <w:t>https://nhsac.gov.au/sites/nhsac.gov.au/files/2026-04/ar-state-housing-system-2026.pdf</w:t>
      </w:r>
    </w:p>
  </w:footnote>
  <w:footnote w:id="11">
    <w:p w14:paraId="511E84BE" w14:textId="53CBA6E6" w:rsidR="00A228E8" w:rsidRDefault="00A228E8" w:rsidP="005E0BF8">
      <w:pPr>
        <w:pStyle w:val="FootnoteText"/>
      </w:pPr>
      <w:r>
        <w:rPr>
          <w:rStyle w:val="FootnoteReference"/>
        </w:rPr>
        <w:footnoteRef/>
      </w:r>
      <w:r>
        <w:t xml:space="preserve"> </w:t>
      </w:r>
      <w:r w:rsidR="004A7E41">
        <w:tab/>
      </w:r>
      <w:r w:rsidR="004A7E41" w:rsidRPr="004A7E41">
        <w:t xml:space="preserve">Infrastructure Australia. (2024). </w:t>
      </w:r>
      <w:r w:rsidR="004A7E41" w:rsidRPr="009D61F2">
        <w:rPr>
          <w:i/>
        </w:rPr>
        <w:t>Infrastructure Market Capacity Report</w:t>
      </w:r>
      <w:r w:rsidR="009D61F2" w:rsidRPr="009D61F2">
        <w:rPr>
          <w:i/>
          <w:iCs/>
        </w:rPr>
        <w:t xml:space="preserve"> 2024</w:t>
      </w:r>
      <w:r w:rsidR="002B1397">
        <w:t>.</w:t>
      </w:r>
      <w:r w:rsidR="001D3A21">
        <w:t xml:space="preserve"> Infrastructure Australia</w:t>
      </w:r>
      <w:r w:rsidR="00BC58FC">
        <w:t xml:space="preserve">. </w:t>
      </w:r>
      <w:r w:rsidR="00BC58FC" w:rsidRPr="00BC58FC">
        <w:t>https://www.infrastructureaustralia.gov.au/sites/default/files/2025-09/IA24_Market%20Capacity%20Report_05-25.pdf</w:t>
      </w:r>
    </w:p>
  </w:footnote>
  <w:footnote w:id="12">
    <w:p w14:paraId="1AD75E8B" w14:textId="4860417A" w:rsidR="00F808C5" w:rsidRDefault="00F808C5" w:rsidP="0010176B">
      <w:pPr>
        <w:pStyle w:val="FootnoteText"/>
      </w:pPr>
      <w:r>
        <w:rPr>
          <w:rStyle w:val="FootnoteReference"/>
        </w:rPr>
        <w:footnoteRef/>
      </w:r>
      <w:r>
        <w:t xml:space="preserve"> </w:t>
      </w:r>
      <w:r>
        <w:tab/>
        <w:t xml:space="preserve">Australian Bureau of Statistics. (2026, July 31). </w:t>
      </w:r>
      <w:r>
        <w:rPr>
          <w:i/>
          <w:iCs/>
        </w:rPr>
        <w:t xml:space="preserve">Producer Price Indexes, Australia, June 2026. </w:t>
      </w:r>
      <w:r>
        <w:t xml:space="preserve">ABS. </w:t>
      </w:r>
      <w:r w:rsidR="0010176B" w:rsidRPr="0010176B">
        <w:t>https://www.abs.gov.au/statistics/economy/price-indexes-and-inflation/producer-price-indexes-australia/latest-release#construction</w:t>
      </w:r>
    </w:p>
  </w:footnote>
  <w:footnote w:id="13">
    <w:p w14:paraId="43EB3047" w14:textId="5850BBF3" w:rsidR="0010176B" w:rsidRDefault="0010176B" w:rsidP="0010176B">
      <w:pPr>
        <w:pStyle w:val="FootnoteText"/>
      </w:pPr>
      <w:r>
        <w:rPr>
          <w:rStyle w:val="FootnoteReference"/>
        </w:rPr>
        <w:footnoteRef/>
      </w:r>
      <w:r>
        <w:t xml:space="preserve"> </w:t>
      </w:r>
      <w:r>
        <w:tab/>
        <w:t xml:space="preserve">National Housing Supply and Affordability Council. (2025). </w:t>
      </w:r>
      <w:r>
        <w:rPr>
          <w:i/>
          <w:iCs/>
        </w:rPr>
        <w:t xml:space="preserve">State of the housing system 2025. </w:t>
      </w:r>
      <w:r>
        <w:t>Australian Government.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ADE9" w14:textId="761B7E8B" w:rsidR="00E377F5" w:rsidRDefault="004D2CF2">
    <w:pPr>
      <w:pStyle w:val="Header"/>
    </w:pPr>
    <w:r>
      <w:rPr>
        <w:noProof/>
      </w:rPr>
      <w:drawing>
        <wp:anchor distT="0" distB="0" distL="114300" distR="114300" simplePos="0" relativeHeight="251658241" behindDoc="1" locked="0" layoutInCell="1" allowOverlap="1" wp14:anchorId="25213CF8" wp14:editId="51C5821A">
          <wp:simplePos x="0" y="0"/>
          <wp:positionH relativeFrom="column">
            <wp:posOffset>-774681</wp:posOffset>
          </wp:positionH>
          <wp:positionV relativeFrom="paragraph">
            <wp:posOffset>-2042284</wp:posOffset>
          </wp:positionV>
          <wp:extent cx="8215952" cy="12270371"/>
          <wp:effectExtent l="0" t="0" r="0" b="0"/>
          <wp:wrapNone/>
          <wp:docPr id="83732796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27962"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22582" cy="1228027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B7C6" w14:textId="50740E45" w:rsidR="00ED3402" w:rsidRDefault="00AF74BB">
    <w:pPr>
      <w:pStyle w:val="Header"/>
    </w:pPr>
    <w:r>
      <w:rPr>
        <w:noProof/>
      </w:rPr>
      <w:pict w14:anchorId="5D972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24.65pt;height:254.75pt;rotation:315;z-index:-2516582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8DD4" w14:textId="0F544B1B" w:rsidR="00A627D7" w:rsidRDefault="0066159E">
    <w:pPr>
      <w:pStyle w:val="Header"/>
    </w:pPr>
    <w:r>
      <w:rPr>
        <w:noProof/>
      </w:rPr>
      <w:drawing>
        <wp:anchor distT="0" distB="0" distL="114300" distR="114300" simplePos="0" relativeHeight="251658248" behindDoc="1" locked="0" layoutInCell="1" allowOverlap="1" wp14:anchorId="160E1F90" wp14:editId="6FC2351F">
          <wp:simplePos x="0" y="0"/>
          <wp:positionH relativeFrom="margin">
            <wp:posOffset>3536315</wp:posOffset>
          </wp:positionH>
          <wp:positionV relativeFrom="paragraph">
            <wp:posOffset>6080</wp:posOffset>
          </wp:positionV>
          <wp:extent cx="1136650" cy="328930"/>
          <wp:effectExtent l="0" t="0" r="6350" b="0"/>
          <wp:wrapNone/>
          <wp:docPr id="165392036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20362"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36650" cy="328930"/>
                  </a:xfrm>
                  <a:prstGeom prst="rect">
                    <a:avLst/>
                  </a:prstGeom>
                </pic:spPr>
              </pic:pic>
            </a:graphicData>
          </a:graphic>
          <wp14:sizeRelH relativeFrom="page">
            <wp14:pctWidth>0</wp14:pctWidth>
          </wp14:sizeRelH>
          <wp14:sizeRelV relativeFrom="page">
            <wp14:pctHeight>0</wp14:pctHeight>
          </wp14:sizeRelV>
        </wp:anchor>
      </w:drawing>
    </w:r>
    <w:r w:rsidR="00975945">
      <w:rPr>
        <w:noProof/>
      </w:rPr>
      <mc:AlternateContent>
        <mc:Choice Requires="wps">
          <w:drawing>
            <wp:anchor distT="0" distB="0" distL="114300" distR="114300" simplePos="0" relativeHeight="251658249" behindDoc="0" locked="0" layoutInCell="1" allowOverlap="1" wp14:anchorId="2F12477A" wp14:editId="4D6E343E">
              <wp:simplePos x="0" y="0"/>
              <wp:positionH relativeFrom="column">
                <wp:posOffset>4742800</wp:posOffset>
              </wp:positionH>
              <wp:positionV relativeFrom="paragraph">
                <wp:posOffset>-13431</wp:posOffset>
              </wp:positionV>
              <wp:extent cx="1238" cy="356561"/>
              <wp:effectExtent l="0" t="0" r="37465" b="24765"/>
              <wp:wrapNone/>
              <wp:docPr id="541897274" name="Straight Connector 8"/>
              <wp:cNvGraphicFramePr/>
              <a:graphic xmlns:a="http://schemas.openxmlformats.org/drawingml/2006/main">
                <a:graphicData uri="http://schemas.microsoft.com/office/word/2010/wordprocessingShape">
                  <wps:wsp>
                    <wps:cNvCnPr/>
                    <wps:spPr>
                      <a:xfrm>
                        <a:off x="0" y="0"/>
                        <a:ext cx="1238" cy="356561"/>
                      </a:xfrm>
                      <a:prstGeom prst="line">
                        <a:avLst/>
                      </a:prstGeom>
                      <a:ln w="31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615A77" id="Straight Connector 8"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373.45pt,-1.05pt" to="373.5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20lywEAAAcEAAAOAAAAZHJzL2Uyb0RvYy54bWysU8tu2zAQvBfoPxC815Ic2CkEyzkkSC99&#10;BH18AEMtbQIklyAZS/77LilbDtICRYJeKHF3ZzkzXG5uRmvYAULU6DreLGrOwEnstdt1/NfP+w8f&#10;OYtJuF4YdNDxI0R+s33/bjP4Fpa4R9NDYNTExXbwHd+n5NuqinIPVsQFenCUVBisSLQNu6oPYqDu&#10;1lTLul5XA4beB5QQI0XvpiTflv5KgUzflIqQmOk4cUtlDWV9zGu13Yh2F4Tfa3miId7Awgrt6NC5&#10;1Z1Igj0F/Ucrq2XAiCotJNoKldISigZS09Qv1PzYCw9FC5kT/WxT/H9t5dfDrXsIZMPgYxv9Q8gq&#10;RhVs/hI/NhazjrNZMCYmKdgsr+huJSWuVuvVuslWVheoDzF9ArQs/3TcaJeViFYcPsc0lZ5Lctg4&#10;NlCn5npVqiIa3d9rY3KuDAPcmsAOgq5RSAkurUudebJfsJ/i16u6LhdKLGZI4fSsG+WMo+BFbflL&#10;RwMTje+gmO6zvolIHsSXZ5+1GkfVGaaI6Qys/w081WcolCF9DXhGlJPRpRlstcPwt9PTeKaspvqz&#10;A5PubMEj9scyB8Uamrbi3Oll5HF+vi/wy/vd/gYAAP//AwBQSwMEFAAGAAgAAAAhAKKiLwHhAAAA&#10;CQEAAA8AAABkcnMvZG93bnJldi54bWxMj8FOwzAMhu9IvENkJC7VlnZq1600nRDSBOKAxICds8a0&#10;1RqnarKt8PSYE9xs+fPvz+Vmsr044+g7RwqSeQwCqXamo0bB+9t2tgLhgyaje0eo4As9bKrrq1IX&#10;xl3oFc+70AgOIV9oBW0IQyGlr1u02s/dgMSzTzdaHbgdG2lGfeFw28tFHC+l1R3xhVYP+NBifdyd&#10;LGtkEUXR9jt7HPbj83EdPp7CS6LU7c10fwci4BT+YPjV5x2o2OngTmS86BXk6XLNqILZIgHBQJ7m&#10;XBwUZGkCsirl/w+qHwAAAP//AwBQSwECLQAUAAYACAAAACEAtoM4kv4AAADhAQAAEwAAAAAAAAAA&#10;AAAAAAAAAAAAW0NvbnRlbnRfVHlwZXNdLnhtbFBLAQItABQABgAIAAAAIQA4/SH/1gAAAJQBAAAL&#10;AAAAAAAAAAAAAAAAAC8BAABfcmVscy8ucmVsc1BLAQItABQABgAIAAAAIQBB520lywEAAAcEAAAO&#10;AAAAAAAAAAAAAAAAAC4CAABkcnMvZTJvRG9jLnhtbFBLAQItABQABgAIAAAAIQCioi8B4QAAAAkB&#10;AAAPAAAAAAAAAAAAAAAAACUEAABkcnMvZG93bnJldi54bWxQSwUGAAAAAAQABADzAAAAMwUAAAAA&#10;" strokecolor="#838686 [2409]" strokeweight=".25pt"/>
          </w:pict>
        </mc:Fallback>
      </mc:AlternateContent>
    </w:r>
    <w:r w:rsidR="00A627D7">
      <w:rPr>
        <w:noProof/>
      </w:rPr>
      <w:drawing>
        <wp:anchor distT="0" distB="0" distL="114300" distR="114300" simplePos="0" relativeHeight="251658240" behindDoc="1" locked="0" layoutInCell="1" allowOverlap="1" wp14:anchorId="1020B9FC" wp14:editId="730B822B">
          <wp:simplePos x="0" y="0"/>
          <wp:positionH relativeFrom="margin">
            <wp:posOffset>4862830</wp:posOffset>
          </wp:positionH>
          <wp:positionV relativeFrom="page">
            <wp:posOffset>429260</wp:posOffset>
          </wp:positionV>
          <wp:extent cx="1256400" cy="363600"/>
          <wp:effectExtent l="0" t="0" r="1270" b="0"/>
          <wp:wrapNone/>
          <wp:docPr id="1901830377" name="Picture 2" descr="KordaMentha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99344" name="Picture 2" descr="KordaMentha Header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400" cy="3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2BBF" w14:textId="71727EB6" w:rsidR="00ED3402" w:rsidRDefault="00AF74BB">
    <w:pPr>
      <w:pStyle w:val="Header"/>
    </w:pPr>
    <w:r>
      <w:rPr>
        <w:noProof/>
      </w:rPr>
      <w:pict w14:anchorId="3ED215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24.65pt;height:254.75pt;rotation:315;z-index:-25165822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D3402">
      <w:rPr>
        <w:noProof/>
      </w:rPr>
      <w:drawing>
        <wp:anchor distT="0" distB="0" distL="114300" distR="114300" simplePos="0" relativeHeight="251658250" behindDoc="1" locked="0" layoutInCell="1" allowOverlap="1" wp14:anchorId="4877069E" wp14:editId="366F2559">
          <wp:simplePos x="0" y="0"/>
          <wp:positionH relativeFrom="column">
            <wp:posOffset>-774681</wp:posOffset>
          </wp:positionH>
          <wp:positionV relativeFrom="paragraph">
            <wp:posOffset>-2042284</wp:posOffset>
          </wp:positionV>
          <wp:extent cx="8215952" cy="12270371"/>
          <wp:effectExtent l="0" t="0" r="0" b="0"/>
          <wp:wrapNone/>
          <wp:docPr id="847903057"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03057"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222582" cy="12280273"/>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E096" w14:textId="25D8AAE9" w:rsidR="00794A54" w:rsidRDefault="00794A54" w:rsidP="00167D00">
    <w:pPr>
      <w:pStyle w:val="Header"/>
      <w:tabs>
        <w:tab w:val="clear" w:pos="4513"/>
        <w:tab w:val="clear" w:pos="9026"/>
        <w:tab w:val="left" w:pos="2407"/>
      </w:tabs>
    </w:pPr>
    <w:r>
      <w:rPr>
        <w:noProof/>
        <w:lang w:eastAsia="en-AU"/>
      </w:rPr>
      <w:drawing>
        <wp:anchor distT="0" distB="0" distL="114300" distR="114300" simplePos="0" relativeHeight="251658242" behindDoc="0" locked="0" layoutInCell="1" allowOverlap="1" wp14:anchorId="12076915" wp14:editId="3988F1FB">
          <wp:simplePos x="0" y="0"/>
          <wp:positionH relativeFrom="rightMargin">
            <wp:posOffset>-871870</wp:posOffset>
          </wp:positionH>
          <wp:positionV relativeFrom="page">
            <wp:posOffset>446405</wp:posOffset>
          </wp:positionV>
          <wp:extent cx="1263600" cy="158400"/>
          <wp:effectExtent l="0" t="0" r="0" b="0"/>
          <wp:wrapNone/>
          <wp:docPr id="1485663559" name="Picture 1485663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63559" name="Picture 14856635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63600" cy="158400"/>
                  </a:xfrm>
                  <a:prstGeom prst="rect">
                    <a:avLst/>
                  </a:prstGeom>
                </pic:spPr>
              </pic:pic>
            </a:graphicData>
          </a:graphic>
          <wp14:sizeRelH relativeFrom="margin">
            <wp14:pctWidth>0</wp14:pctWidth>
          </wp14:sizeRelH>
          <wp14:sizeRelV relativeFrom="margin">
            <wp14:pctHeight>0</wp14:pctHeight>
          </wp14:sizeRelV>
        </wp:anchor>
      </w:drawing>
    </w:r>
  </w:p>
  <w:p w14:paraId="7834BD18" w14:textId="77777777" w:rsidR="00794A54" w:rsidRPr="00626FCE" w:rsidRDefault="00794A54" w:rsidP="00167D00">
    <w:pPr>
      <w:pStyle w:val="BodyText"/>
    </w:pPr>
    <w:r>
      <w:rPr>
        <w:noProof/>
        <w:lang w:eastAsia="en-AU"/>
      </w:rPr>
      <mc:AlternateContent>
        <mc:Choice Requires="wps">
          <w:drawing>
            <wp:anchor distT="0" distB="0" distL="114300" distR="114300" simplePos="0" relativeHeight="251658243" behindDoc="0" locked="0" layoutInCell="1" allowOverlap="1" wp14:anchorId="431F8F4E" wp14:editId="7EDB6239">
              <wp:simplePos x="0" y="0"/>
              <wp:positionH relativeFrom="column">
                <wp:posOffset>-396240</wp:posOffset>
              </wp:positionH>
              <wp:positionV relativeFrom="paragraph">
                <wp:posOffset>310989</wp:posOffset>
              </wp:positionV>
              <wp:extent cx="6912000" cy="0"/>
              <wp:effectExtent l="0" t="0" r="22225" b="19050"/>
              <wp:wrapNone/>
              <wp:docPr id="8" name="Straight Connector 8"/>
              <wp:cNvGraphicFramePr/>
              <a:graphic xmlns:a="http://schemas.openxmlformats.org/drawingml/2006/main">
                <a:graphicData uri="http://schemas.microsoft.com/office/word/2010/wordprocessingShape">
                  <wps:wsp>
                    <wps:cNvCnPr/>
                    <wps:spPr>
                      <a:xfrm>
                        <a:off x="0" y="0"/>
                        <a:ext cx="6912000" cy="0"/>
                      </a:xfrm>
                      <a:prstGeom prst="line">
                        <a:avLst/>
                      </a:prstGeom>
                      <a:ln w="63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1C2179" id="Straight Connector 8"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2pt,24.5pt" to="513.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5fugEAAOEDAAAOAAAAZHJzL2Uyb0RvYy54bWysU01v3CAQvVfqf0Dcu7ZTJWqt9eaQKLlU&#10;TdSPH0DwsEYCBgFZe/99Buz1RmlVqVUvGIZ5b948xtvryRp2gBA1uo43m5ozcBJ77fYd//nj7sMn&#10;zmISrhcGHXT8CJFf796/246+hQsc0PQQGJG42I6+40NKvq2qKAewIm7Qg6NLhcGKRMewr/ogRmK3&#10;prqo66tqxND7gBJipOjtfMl3hV8pkOlBqQiJmY6TtlTWUNanvFa7rWj3QfhBy0WG+AcVVmhHRVeq&#10;W5EEew76FyqrZcCIKm0k2gqV0hJKD9RNU7/p5vsgPJReyJzoV5vi/6OVXw837jGQDaOPbfSPIXcx&#10;qWDzl/SxqZh1XM2CKTFJwavPDT0AeSpPd9UZ6ENM94CW5U3HjXa5D9GKw5eYqBilnlJy2Dg2EuPH&#10;y7pkRTS6v9PG5LsyCnBjAjsIekQhJbh0mR+OSF5l0sk4Cp77KLt0NDCX+AaK6Z6UN3ORPGJveZuF&#10;1zjKzjBFKlbgou5PwCU/Q6GM39+AV0SpjC6tYKsdht/JTtNJsprzTw7MfWcLnrA/lhcu1tAcFeeW&#10;mc+D+vpc4Oc/c/cCAAD//wMAUEsDBBQABgAIAAAAIQDT8fqd3gAAAAoBAAAPAAAAZHJzL2Rvd25y&#10;ZXYueG1sTI9BT8MwDIXvSPyHyEhc0Jasmiromk4IxIULYiAkbl6TtWWJUzXZFv49njjA0fZ7z9+r&#10;19k7cbRTHAJpWMwVCEttMAN1Gt7fnma3IGJCMugCWQ3fNsK6ubyosTLhRK/2uEmd4BCKFWroUxor&#10;KWPbW49xHkZLfNuFyWPiceqkmfDE4d7JQqlSehyIP/Q42ofetvvNwTPGvnwe08cNus/sXzrlHl2m&#10;L62vr/L9CkSyOf2J4YzPHmiYaRsOZKJwGmZlsWSphuUddzoLVFEuQGx/N7Kp5f8KzQ8AAAD//wMA&#10;UEsBAi0AFAAGAAgAAAAhALaDOJL+AAAA4QEAABMAAAAAAAAAAAAAAAAAAAAAAFtDb250ZW50X1R5&#10;cGVzXS54bWxQSwECLQAUAAYACAAAACEAOP0h/9YAAACUAQAACwAAAAAAAAAAAAAAAAAvAQAAX3Jl&#10;bHMvLnJlbHNQSwECLQAUAAYACAAAACEASS0uX7oBAADhAwAADgAAAAAAAAAAAAAAAAAuAgAAZHJz&#10;L2Uyb0RvYy54bWxQSwECLQAUAAYACAAAACEA0/H6nd4AAAAKAQAADwAAAAAAAAAAAAAAAAAUBAAA&#10;ZHJzL2Rvd25yZXYueG1sUEsFBgAAAAAEAAQA8wAAAB8FAAAAAA==&#10;" strokecolor="#c3996a [3208]" strokeweight=".5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F194D" w14:textId="026A4DD3" w:rsidR="00ED3402" w:rsidRDefault="00ED3402">
    <w:pPr>
      <w:pStyle w:val="Header"/>
    </w:pPr>
    <w:r>
      <w:rPr>
        <w:noProof/>
      </w:rPr>
      <w:drawing>
        <wp:anchor distT="0" distB="0" distL="114300" distR="114300" simplePos="0" relativeHeight="251658254" behindDoc="1" locked="0" layoutInCell="1" allowOverlap="1" wp14:anchorId="3AEA8134" wp14:editId="0F59CD89">
          <wp:simplePos x="0" y="0"/>
          <wp:positionH relativeFrom="margin">
            <wp:posOffset>3536315</wp:posOffset>
          </wp:positionH>
          <wp:positionV relativeFrom="paragraph">
            <wp:posOffset>6080</wp:posOffset>
          </wp:positionV>
          <wp:extent cx="1136650" cy="328930"/>
          <wp:effectExtent l="0" t="0" r="6350" b="0"/>
          <wp:wrapNone/>
          <wp:docPr id="17775408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40812"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36650" cy="3289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5" behindDoc="0" locked="0" layoutInCell="1" allowOverlap="1" wp14:anchorId="251D4BF1" wp14:editId="6FF72E5F">
              <wp:simplePos x="0" y="0"/>
              <wp:positionH relativeFrom="column">
                <wp:posOffset>4742800</wp:posOffset>
              </wp:positionH>
              <wp:positionV relativeFrom="paragraph">
                <wp:posOffset>-13431</wp:posOffset>
              </wp:positionV>
              <wp:extent cx="1238" cy="356561"/>
              <wp:effectExtent l="0" t="0" r="37465" b="24765"/>
              <wp:wrapNone/>
              <wp:docPr id="1721629719" name="Straight Connector 8"/>
              <wp:cNvGraphicFramePr/>
              <a:graphic xmlns:a="http://schemas.openxmlformats.org/drawingml/2006/main">
                <a:graphicData uri="http://schemas.microsoft.com/office/word/2010/wordprocessingShape">
                  <wps:wsp>
                    <wps:cNvCnPr/>
                    <wps:spPr>
                      <a:xfrm>
                        <a:off x="0" y="0"/>
                        <a:ext cx="1238" cy="356561"/>
                      </a:xfrm>
                      <a:prstGeom prst="line">
                        <a:avLst/>
                      </a:prstGeom>
                      <a:ln w="31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71EDFF" id="Straight Connector 8" o:spid="_x0000_s1026" style="position:absolute;z-index:251658255;visibility:visible;mso-wrap-style:square;mso-wrap-distance-left:9pt;mso-wrap-distance-top:0;mso-wrap-distance-right:9pt;mso-wrap-distance-bottom:0;mso-position-horizontal:absolute;mso-position-horizontal-relative:text;mso-position-vertical:absolute;mso-position-vertical-relative:text" from="373.45pt,-1.05pt" to="373.5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20lywEAAAcEAAAOAAAAZHJzL2Uyb0RvYy54bWysU8tu2zAQvBfoPxC815Ic2CkEyzkkSC99&#10;BH18AEMtbQIklyAZS/77LilbDtICRYJeKHF3ZzkzXG5uRmvYAULU6DreLGrOwEnstdt1/NfP+w8f&#10;OYtJuF4YdNDxI0R+s33/bjP4Fpa4R9NDYNTExXbwHd+n5NuqinIPVsQFenCUVBisSLQNu6oPYqDu&#10;1lTLul5XA4beB5QQI0XvpiTflv5KgUzflIqQmOk4cUtlDWV9zGu13Yh2F4Tfa3miId7Awgrt6NC5&#10;1Z1Igj0F/Ucrq2XAiCotJNoKldISigZS09Qv1PzYCw9FC5kT/WxT/H9t5dfDrXsIZMPgYxv9Q8gq&#10;RhVs/hI/NhazjrNZMCYmKdgsr+huJSWuVuvVuslWVheoDzF9ArQs/3TcaJeViFYcPsc0lZ5Lctg4&#10;NlCn5npVqiIa3d9rY3KuDAPcmsAOgq5RSAkurUudebJfsJ/i16u6LhdKLGZI4fSsG+WMo+BFbflL&#10;RwMTje+gmO6zvolIHsSXZ5+1GkfVGaaI6Qys/w081WcolCF9DXhGlJPRpRlstcPwt9PTeKaspvqz&#10;A5PubMEj9scyB8Uamrbi3Oll5HF+vi/wy/vd/gYAAP//AwBQSwMEFAAGAAgAAAAhAKKiLwHhAAAA&#10;CQEAAA8AAABkcnMvZG93bnJldi54bWxMj8FOwzAMhu9IvENkJC7VlnZq1600nRDSBOKAxICds8a0&#10;1RqnarKt8PSYE9xs+fPvz+Vmsr044+g7RwqSeQwCqXamo0bB+9t2tgLhgyaje0eo4As9bKrrq1IX&#10;xl3oFc+70AgOIV9oBW0IQyGlr1u02s/dgMSzTzdaHbgdG2lGfeFw28tFHC+l1R3xhVYP+NBifdyd&#10;LGtkEUXR9jt7HPbj83EdPp7CS6LU7c10fwci4BT+YPjV5x2o2OngTmS86BXk6XLNqILZIgHBQJ7m&#10;XBwUZGkCsirl/w+qHwAAAP//AwBQSwECLQAUAAYACAAAACEAtoM4kv4AAADhAQAAEwAAAAAAAAAA&#10;AAAAAAAAAAAAW0NvbnRlbnRfVHlwZXNdLnhtbFBLAQItABQABgAIAAAAIQA4/SH/1gAAAJQBAAAL&#10;AAAAAAAAAAAAAAAAAC8BAABfcmVscy8ucmVsc1BLAQItABQABgAIAAAAIQBB520lywEAAAcEAAAO&#10;AAAAAAAAAAAAAAAAAC4CAABkcnMvZTJvRG9jLnhtbFBLAQItABQABgAIAAAAIQCioi8B4QAAAAkB&#10;AAAPAAAAAAAAAAAAAAAAACUEAABkcnMvZG93bnJldi54bWxQSwUGAAAAAAQABADzAAAAMwUAAAAA&#10;" strokecolor="#838686 [2409]" strokeweight=".25pt"/>
          </w:pict>
        </mc:Fallback>
      </mc:AlternateContent>
    </w:r>
    <w:r>
      <w:rPr>
        <w:noProof/>
      </w:rPr>
      <w:drawing>
        <wp:anchor distT="0" distB="0" distL="114300" distR="114300" simplePos="0" relativeHeight="251658253" behindDoc="1" locked="0" layoutInCell="1" allowOverlap="1" wp14:anchorId="78BAD9D6" wp14:editId="3343D32A">
          <wp:simplePos x="0" y="0"/>
          <wp:positionH relativeFrom="margin">
            <wp:posOffset>4862830</wp:posOffset>
          </wp:positionH>
          <wp:positionV relativeFrom="page">
            <wp:posOffset>429260</wp:posOffset>
          </wp:positionV>
          <wp:extent cx="1256400" cy="363600"/>
          <wp:effectExtent l="0" t="0" r="1270" b="0"/>
          <wp:wrapNone/>
          <wp:docPr id="1662659699" name="Picture 2" descr="KordaMentha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99344" name="Picture 2" descr="KordaMentha Header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400" cy="3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E82E" w14:textId="2FD1FCB6" w:rsidR="00794A54" w:rsidRDefault="00794A54" w:rsidP="00167D00">
    <w:pPr>
      <w:pStyle w:val="Header"/>
      <w:tabs>
        <w:tab w:val="clear" w:pos="4513"/>
        <w:tab w:val="clear" w:pos="9026"/>
        <w:tab w:val="left" w:pos="2407"/>
      </w:tabs>
    </w:pPr>
    <w:r>
      <w:rPr>
        <w:noProof/>
        <w:lang w:eastAsia="en-AU"/>
      </w:rPr>
      <w:drawing>
        <wp:anchor distT="0" distB="0" distL="114300" distR="114300" simplePos="0" relativeHeight="251658245" behindDoc="0" locked="0" layoutInCell="1" allowOverlap="1" wp14:anchorId="5C969098" wp14:editId="708EC7C7">
          <wp:simplePos x="0" y="0"/>
          <wp:positionH relativeFrom="rightMargin">
            <wp:posOffset>-871870</wp:posOffset>
          </wp:positionH>
          <wp:positionV relativeFrom="page">
            <wp:posOffset>446405</wp:posOffset>
          </wp:positionV>
          <wp:extent cx="1263600" cy="158400"/>
          <wp:effectExtent l="0" t="0" r="0" b="0"/>
          <wp:wrapNone/>
          <wp:docPr id="219718922" name="Picture 2197189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18922" name="Picture 2197189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63600" cy="158400"/>
                  </a:xfrm>
                  <a:prstGeom prst="rect">
                    <a:avLst/>
                  </a:prstGeom>
                </pic:spPr>
              </pic:pic>
            </a:graphicData>
          </a:graphic>
          <wp14:sizeRelH relativeFrom="margin">
            <wp14:pctWidth>0</wp14:pctWidth>
          </wp14:sizeRelH>
          <wp14:sizeRelV relativeFrom="margin">
            <wp14:pctHeight>0</wp14:pctHeight>
          </wp14:sizeRelV>
        </wp:anchor>
      </w:drawing>
    </w:r>
  </w:p>
  <w:p w14:paraId="1CBAFCA9" w14:textId="77777777" w:rsidR="00794A54" w:rsidRPr="00626FCE" w:rsidRDefault="00794A54" w:rsidP="00167D00">
    <w:pPr>
      <w:pStyle w:val="BodyText"/>
    </w:pPr>
    <w:r>
      <w:rPr>
        <w:noProof/>
        <w:lang w:eastAsia="en-AU"/>
      </w:rPr>
      <mc:AlternateContent>
        <mc:Choice Requires="wps">
          <w:drawing>
            <wp:anchor distT="0" distB="0" distL="114300" distR="114300" simplePos="0" relativeHeight="251658246" behindDoc="0" locked="0" layoutInCell="1" allowOverlap="1" wp14:anchorId="0D8CE5AF" wp14:editId="352EEFBD">
              <wp:simplePos x="0" y="0"/>
              <wp:positionH relativeFrom="column">
                <wp:posOffset>-396240</wp:posOffset>
              </wp:positionH>
              <wp:positionV relativeFrom="paragraph">
                <wp:posOffset>310989</wp:posOffset>
              </wp:positionV>
              <wp:extent cx="6912000" cy="0"/>
              <wp:effectExtent l="0" t="0" r="22225" b="19050"/>
              <wp:wrapNone/>
              <wp:docPr id="4" name="Straight Connector 4"/>
              <wp:cNvGraphicFramePr/>
              <a:graphic xmlns:a="http://schemas.openxmlformats.org/drawingml/2006/main">
                <a:graphicData uri="http://schemas.microsoft.com/office/word/2010/wordprocessingShape">
                  <wps:wsp>
                    <wps:cNvCnPr/>
                    <wps:spPr>
                      <a:xfrm>
                        <a:off x="0" y="0"/>
                        <a:ext cx="6912000" cy="0"/>
                      </a:xfrm>
                      <a:prstGeom prst="line">
                        <a:avLst/>
                      </a:prstGeom>
                      <a:ln w="63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ECECF1" id="Straight Connector 4"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2pt,24.5pt" to="513.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5fugEAAOEDAAAOAAAAZHJzL2Uyb0RvYy54bWysU01v3CAQvVfqf0Dcu7ZTJWqt9eaQKLlU&#10;TdSPH0DwsEYCBgFZe/99Buz1RmlVqVUvGIZ5b948xtvryRp2gBA1uo43m5ozcBJ77fYd//nj7sMn&#10;zmISrhcGHXT8CJFf796/246+hQsc0PQQGJG42I6+40NKvq2qKAewIm7Qg6NLhcGKRMewr/ogRmK3&#10;prqo66tqxND7gBJipOjtfMl3hV8pkOlBqQiJmY6TtlTWUNanvFa7rWj3QfhBy0WG+AcVVmhHRVeq&#10;W5EEew76FyqrZcCIKm0k2gqV0hJKD9RNU7/p5vsgPJReyJzoV5vi/6OVXw837jGQDaOPbfSPIXcx&#10;qWDzl/SxqZh1XM2CKTFJwavPDT0AeSpPd9UZ6ENM94CW5U3HjXa5D9GKw5eYqBilnlJy2Dg2EuPH&#10;y7pkRTS6v9PG5LsyCnBjAjsIekQhJbh0mR+OSF5l0sk4Cp77KLt0NDCX+AaK6Z6UN3ORPGJveZuF&#10;1zjKzjBFKlbgou5PwCU/Q6GM39+AV0SpjC6tYKsdht/JTtNJsprzTw7MfWcLnrA/lhcu1tAcFeeW&#10;mc+D+vpc4Oc/c/cCAAD//wMAUEsDBBQABgAIAAAAIQDT8fqd3gAAAAoBAAAPAAAAZHJzL2Rvd25y&#10;ZXYueG1sTI9BT8MwDIXvSPyHyEhc0Jasmiromk4IxIULYiAkbl6TtWWJUzXZFv49njjA0fZ7z9+r&#10;19k7cbRTHAJpWMwVCEttMAN1Gt7fnma3IGJCMugCWQ3fNsK6ubyosTLhRK/2uEmd4BCKFWroUxor&#10;KWPbW49xHkZLfNuFyWPiceqkmfDE4d7JQqlSehyIP/Q42ofetvvNwTPGvnwe08cNus/sXzrlHl2m&#10;L62vr/L9CkSyOf2J4YzPHmiYaRsOZKJwGmZlsWSphuUddzoLVFEuQGx/N7Kp5f8KzQ8AAAD//wMA&#10;UEsBAi0AFAAGAAgAAAAhALaDOJL+AAAA4QEAABMAAAAAAAAAAAAAAAAAAAAAAFtDb250ZW50X1R5&#10;cGVzXS54bWxQSwECLQAUAAYACAAAACEAOP0h/9YAAACUAQAACwAAAAAAAAAAAAAAAAAvAQAAX3Jl&#10;bHMvLnJlbHNQSwECLQAUAAYACAAAACEASS0uX7oBAADhAwAADgAAAAAAAAAAAAAAAAAuAgAAZHJz&#10;L2Uyb0RvYy54bWxQSwECLQAUAAYACAAAACEA0/H6nd4AAAAKAQAADwAAAAAAAAAAAAAAAAAUBAAA&#10;ZHJzL2Rvd25yZXYueG1sUEsFBgAAAAAEAAQA8wAAAB8FAAAAAA==&#10;" strokecolor="#c3996a [3208]"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F893CA"/>
    <w:lvl w:ilvl="0">
      <w:start w:val="1"/>
      <w:numFmt w:val="decimal"/>
      <w:pStyle w:val="AppHeading9"/>
      <w:lvlText w:val="%1."/>
      <w:lvlJc w:val="left"/>
      <w:pPr>
        <w:tabs>
          <w:tab w:val="num" w:pos="1492"/>
        </w:tabs>
        <w:ind w:left="1492" w:hanging="360"/>
      </w:pPr>
    </w:lvl>
  </w:abstractNum>
  <w:abstractNum w:abstractNumId="1" w15:restartNumberingAfterBreak="0">
    <w:nsid w:val="FFFFFF7D"/>
    <w:multiLevelType w:val="singleLevel"/>
    <w:tmpl w:val="A80C59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CC0A1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608275C"/>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CD4C6388"/>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1A02156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7087CE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07323AFE"/>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EE57E1"/>
    <w:multiLevelType w:val="multilevel"/>
    <w:tmpl w:val="55A88724"/>
    <w:styleLink w:val="AppendixNumbering"/>
    <w:lvl w:ilvl="0">
      <w:start w:val="1"/>
      <w:numFmt w:val="upperLetter"/>
      <w:lvlText w:val="Appendix %1"/>
      <w:lvlJc w:val="left"/>
      <w:pPr>
        <w:ind w:left="1985" w:hanging="1985"/>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9" w15:restartNumberingAfterBreak="0">
    <w:nsid w:val="0C7356B8"/>
    <w:multiLevelType w:val="multilevel"/>
    <w:tmpl w:val="3252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5E42E9"/>
    <w:multiLevelType w:val="multilevel"/>
    <w:tmpl w:val="57C4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6F51D5"/>
    <w:multiLevelType w:val="multilevel"/>
    <w:tmpl w:val="2316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2B5A5A"/>
    <w:multiLevelType w:val="hybridMultilevel"/>
    <w:tmpl w:val="FBC437E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FC44D0"/>
    <w:multiLevelType w:val="multilevel"/>
    <w:tmpl w:val="6E960550"/>
    <w:lvl w:ilvl="0">
      <w:start w:val="1"/>
      <w:numFmt w:val="none"/>
      <w:lvlText w:val="%1"/>
      <w:lvlJc w:val="left"/>
      <w:pPr>
        <w:ind w:left="0" w:firstLine="0"/>
      </w:pPr>
      <w:rPr>
        <w:rFonts w:hint="default"/>
      </w:rPr>
    </w:lvl>
    <w:lvl w:ilvl="1">
      <w:start w:val="1"/>
      <w:numFmt w:val="decimal"/>
      <w:lvlText w:val="%2."/>
      <w:lvlJc w:val="left"/>
      <w:pPr>
        <w:ind w:left="340" w:hanging="340"/>
      </w:pPr>
      <w:rPr>
        <w:rFonts w:hint="default"/>
      </w:rPr>
    </w:lvl>
    <w:lvl w:ilvl="2">
      <w:start w:val="1"/>
      <w:numFmt w:val="lowerLetter"/>
      <w:lvlText w:val="%3."/>
      <w:lvlJc w:val="left"/>
      <w:pPr>
        <w:ind w:left="680" w:hanging="340"/>
      </w:pPr>
      <w:rPr>
        <w:rFonts w:hint="default"/>
      </w:rPr>
    </w:lvl>
    <w:lvl w:ilvl="3">
      <w:start w:val="1"/>
      <w:numFmt w:val="lowerRoman"/>
      <w:lvlText w:val="%4."/>
      <w:lvlJc w:val="left"/>
      <w:pPr>
        <w:ind w:left="1021" w:hanging="34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2E2F47"/>
    <w:multiLevelType w:val="multilevel"/>
    <w:tmpl w:val="CBCA82AE"/>
    <w:numStyleLink w:val="Numbering"/>
  </w:abstractNum>
  <w:abstractNum w:abstractNumId="15" w15:restartNumberingAfterBreak="0">
    <w:nsid w:val="24CA1D79"/>
    <w:multiLevelType w:val="multilevel"/>
    <w:tmpl w:val="53ECED92"/>
    <w:styleLink w:val="TableBullets"/>
    <w:lvl w:ilvl="0">
      <w:start w:val="1"/>
      <w:numFmt w:val="bullet"/>
      <w:pStyle w:val="TableBullet1"/>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Calibri" w:hAnsi="Calibri" w:hint="default"/>
      </w:rPr>
    </w:lvl>
    <w:lvl w:ilvl="2">
      <w:start w:val="1"/>
      <w:numFmt w:val="bullet"/>
      <w:pStyle w:val="TableBullet3"/>
      <w:lvlText w:val=""/>
      <w:lvlJc w:val="left"/>
      <w:pPr>
        <w:ind w:left="680" w:hanging="226"/>
      </w:pPr>
      <w:rPr>
        <w:rFonts w:ascii="Wingdings" w:hAnsi="Wingdings" w:hint="default"/>
      </w:rPr>
    </w:lvl>
    <w:lvl w:ilvl="3">
      <w:start w:val="1"/>
      <w:numFmt w:val="bullet"/>
      <w:pStyle w:val="TableBullet4"/>
      <w:lvlText w:val=""/>
      <w:lvlJc w:val="left"/>
      <w:pPr>
        <w:ind w:left="907" w:hanging="227"/>
      </w:pPr>
      <w:rPr>
        <w:rFonts w:ascii="Symbol" w:hAnsi="Symbol" w:hint="default"/>
      </w:rPr>
    </w:lvl>
    <w:lvl w:ilvl="4">
      <w:start w:val="1"/>
      <w:numFmt w:val="bullet"/>
      <w:pStyle w:val="TableBullet5"/>
      <w:lvlText w:val="o"/>
      <w:lvlJc w:val="left"/>
      <w:pPr>
        <w:ind w:left="1134" w:hanging="227"/>
      </w:pPr>
      <w:rPr>
        <w:rFonts w:ascii="Courier New" w:hAnsi="Courier New" w:hint="default"/>
      </w:rPr>
    </w:lvl>
    <w:lvl w:ilvl="5">
      <w:start w:val="1"/>
      <w:numFmt w:val="bullet"/>
      <w:pStyle w:val="TableBullet6"/>
      <w:lvlText w:val=""/>
      <w:lvlJc w:val="left"/>
      <w:pPr>
        <w:ind w:left="1361" w:hanging="227"/>
      </w:pPr>
      <w:rPr>
        <w:rFonts w:ascii="Wingdings" w:hAnsi="Wingdings" w:hint="default"/>
      </w:rPr>
    </w:lvl>
    <w:lvl w:ilvl="6">
      <w:start w:val="1"/>
      <w:numFmt w:val="bullet"/>
      <w:pStyle w:val="TableBullet7"/>
      <w:lvlText w:val=""/>
      <w:lvlJc w:val="left"/>
      <w:pPr>
        <w:ind w:left="1588" w:hanging="227"/>
      </w:pPr>
      <w:rPr>
        <w:rFonts w:ascii="Symbol" w:hAnsi="Symbol" w:hint="default"/>
      </w:rPr>
    </w:lvl>
    <w:lvl w:ilvl="7">
      <w:start w:val="1"/>
      <w:numFmt w:val="bullet"/>
      <w:pStyle w:val="TableBullet8"/>
      <w:lvlText w:val="o"/>
      <w:lvlJc w:val="left"/>
      <w:pPr>
        <w:ind w:left="1814" w:hanging="226"/>
      </w:pPr>
      <w:rPr>
        <w:rFonts w:ascii="Courier New" w:hAnsi="Courier New" w:hint="default"/>
      </w:rPr>
    </w:lvl>
    <w:lvl w:ilvl="8">
      <w:start w:val="1"/>
      <w:numFmt w:val="bullet"/>
      <w:pStyle w:val="TableBullet9"/>
      <w:lvlText w:val=""/>
      <w:lvlJc w:val="left"/>
      <w:pPr>
        <w:ind w:left="2041" w:hanging="227"/>
      </w:pPr>
      <w:rPr>
        <w:rFonts w:ascii="Wingdings" w:hAnsi="Wingdings" w:hint="default"/>
      </w:rPr>
    </w:lvl>
  </w:abstractNum>
  <w:abstractNum w:abstractNumId="16" w15:restartNumberingAfterBreak="0">
    <w:nsid w:val="251F4128"/>
    <w:multiLevelType w:val="singleLevel"/>
    <w:tmpl w:val="0C090001"/>
    <w:lvl w:ilvl="0">
      <w:start w:val="1"/>
      <w:numFmt w:val="bullet"/>
      <w:pStyle w:val="ListBullet9"/>
      <w:lvlText w:val=""/>
      <w:lvlJc w:val="left"/>
      <w:pPr>
        <w:ind w:left="425" w:hanging="425"/>
      </w:pPr>
      <w:rPr>
        <w:rFonts w:ascii="Symbol" w:hAnsi="Symbol" w:hint="default"/>
      </w:rPr>
    </w:lvl>
  </w:abstractNum>
  <w:abstractNum w:abstractNumId="17" w15:restartNumberingAfterBreak="0">
    <w:nsid w:val="282E15EA"/>
    <w:multiLevelType w:val="multilevel"/>
    <w:tmpl w:val="EB48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2E49AC"/>
    <w:multiLevelType w:val="multilevel"/>
    <w:tmpl w:val="403A5C3E"/>
    <w:styleLink w:val="Heading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33D11AB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D91F80"/>
    <w:multiLevelType w:val="multilevel"/>
    <w:tmpl w:val="CBCA82AE"/>
    <w:numStyleLink w:val="Numbering"/>
  </w:abstractNum>
  <w:abstractNum w:abstractNumId="21" w15:restartNumberingAfterBreak="0">
    <w:nsid w:val="37EA5729"/>
    <w:multiLevelType w:val="multilevel"/>
    <w:tmpl w:val="1E0E6536"/>
    <w:numStyleLink w:val="ListBullets"/>
  </w:abstractNum>
  <w:abstractNum w:abstractNumId="22" w15:restartNumberingAfterBreak="0">
    <w:nsid w:val="38984B8C"/>
    <w:multiLevelType w:val="hybridMultilevel"/>
    <w:tmpl w:val="6532B220"/>
    <w:lvl w:ilvl="0" w:tplc="F2320C66">
      <w:start w:val="1"/>
      <w:numFmt w:val="bullet"/>
      <w:pStyle w:val="ListBulle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B306DD3"/>
    <w:multiLevelType w:val="multilevel"/>
    <w:tmpl w:val="0064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DE5846"/>
    <w:multiLevelType w:val="multilevel"/>
    <w:tmpl w:val="1E0E6536"/>
    <w:numStyleLink w:val="ListBullets"/>
  </w:abstractNum>
  <w:abstractNum w:abstractNumId="25" w15:restartNumberingAfterBreak="0">
    <w:nsid w:val="47D90653"/>
    <w:multiLevelType w:val="multilevel"/>
    <w:tmpl w:val="1E0E6536"/>
    <w:styleLink w:val="ListBullets"/>
    <w:lvl w:ilvl="0">
      <w:start w:val="1"/>
      <w:numFmt w:val="bullet"/>
      <w:lvlText w:val=""/>
      <w:lvlJc w:val="left"/>
      <w:pPr>
        <w:ind w:left="425" w:hanging="425"/>
      </w:pPr>
      <w:rPr>
        <w:rFonts w:ascii="Symbol" w:hAnsi="Symbol" w:hint="default"/>
      </w:rPr>
    </w:lvl>
    <w:lvl w:ilvl="1">
      <w:start w:val="1"/>
      <w:numFmt w:val="bullet"/>
      <w:lvlText w:val="–"/>
      <w:lvlJc w:val="left"/>
      <w:pPr>
        <w:ind w:left="851" w:hanging="426"/>
      </w:pPr>
      <w:rPr>
        <w:rFonts w:ascii="Calibri" w:hAnsi="Calibri" w:hint="default"/>
      </w:rPr>
    </w:lvl>
    <w:lvl w:ilvl="2">
      <w:start w:val="1"/>
      <w:numFmt w:val="bullet"/>
      <w:lvlText w:val=""/>
      <w:lvlJc w:val="left"/>
      <w:pPr>
        <w:ind w:left="1276" w:hanging="425"/>
      </w:pPr>
      <w:rPr>
        <w:rFonts w:ascii="Wingdings" w:hAnsi="Wingdings" w:hint="default"/>
      </w:rPr>
    </w:lvl>
    <w:lvl w:ilvl="3">
      <w:start w:val="1"/>
      <w:numFmt w:val="bullet"/>
      <w:lvlText w:val=""/>
      <w:lvlJc w:val="left"/>
      <w:pPr>
        <w:ind w:left="1701" w:hanging="425"/>
      </w:pPr>
      <w:rPr>
        <w:rFonts w:ascii="Symbol" w:hAnsi="Symbol" w:hint="default"/>
      </w:rPr>
    </w:lvl>
    <w:lvl w:ilvl="4">
      <w:start w:val="1"/>
      <w:numFmt w:val="bullet"/>
      <w:lvlText w:val="–"/>
      <w:lvlJc w:val="left"/>
      <w:pPr>
        <w:ind w:left="2126" w:hanging="425"/>
      </w:pPr>
      <w:rPr>
        <w:rFonts w:ascii="Calibri" w:hAnsi="Calibri" w:hint="default"/>
      </w:rPr>
    </w:lvl>
    <w:lvl w:ilvl="5">
      <w:start w:val="1"/>
      <w:numFmt w:val="bullet"/>
      <w:lvlText w:val=""/>
      <w:lvlJc w:val="left"/>
      <w:pPr>
        <w:ind w:left="2552" w:hanging="426"/>
      </w:pPr>
      <w:rPr>
        <w:rFonts w:ascii="Wingdings" w:hAnsi="Wingdings" w:hint="default"/>
      </w:rPr>
    </w:lvl>
    <w:lvl w:ilvl="6">
      <w:start w:val="1"/>
      <w:numFmt w:val="bullet"/>
      <w:lvlText w:val=""/>
      <w:lvlJc w:val="left"/>
      <w:pPr>
        <w:ind w:left="2977" w:hanging="425"/>
      </w:pPr>
      <w:rPr>
        <w:rFonts w:ascii="Symbol" w:hAnsi="Symbol" w:hint="default"/>
      </w:rPr>
    </w:lvl>
    <w:lvl w:ilvl="7">
      <w:start w:val="1"/>
      <w:numFmt w:val="bullet"/>
      <w:lvlText w:val="–"/>
      <w:lvlJc w:val="left"/>
      <w:pPr>
        <w:ind w:left="3402" w:hanging="425"/>
      </w:pPr>
      <w:rPr>
        <w:rFonts w:ascii="Calibri" w:hAnsi="Calibri" w:hint="default"/>
      </w:rPr>
    </w:lvl>
    <w:lvl w:ilvl="8">
      <w:start w:val="1"/>
      <w:numFmt w:val="bullet"/>
      <w:lvlText w:val=""/>
      <w:lvlJc w:val="left"/>
      <w:pPr>
        <w:ind w:left="3827" w:hanging="425"/>
      </w:pPr>
      <w:rPr>
        <w:rFonts w:ascii="Wingdings" w:hAnsi="Wingdings" w:hint="default"/>
      </w:rPr>
    </w:lvl>
  </w:abstractNum>
  <w:abstractNum w:abstractNumId="26" w15:restartNumberingAfterBreak="0">
    <w:nsid w:val="52070FC8"/>
    <w:multiLevelType w:val="multilevel"/>
    <w:tmpl w:val="45D2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8610FB"/>
    <w:multiLevelType w:val="multilevel"/>
    <w:tmpl w:val="3A26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2A0554"/>
    <w:multiLevelType w:val="multilevel"/>
    <w:tmpl w:val="CBCA82AE"/>
    <w:styleLink w:val="Numbering"/>
    <w:lvl w:ilvl="0">
      <w:start w:val="1"/>
      <w:numFmt w:val="decimal"/>
      <w:pStyle w:val="Number1"/>
      <w:lvlText w:val="%1."/>
      <w:lvlJc w:val="left"/>
      <w:pPr>
        <w:ind w:left="425" w:hanging="425"/>
      </w:pPr>
      <w:rPr>
        <w:rFonts w:hint="default"/>
      </w:rPr>
    </w:lvl>
    <w:lvl w:ilvl="1">
      <w:start w:val="1"/>
      <w:numFmt w:val="lowerLetter"/>
      <w:pStyle w:val="Number2"/>
      <w:lvlText w:val="%2."/>
      <w:lvlJc w:val="left"/>
      <w:pPr>
        <w:ind w:left="851" w:hanging="426"/>
      </w:pPr>
      <w:rPr>
        <w:rFonts w:hint="default"/>
      </w:rPr>
    </w:lvl>
    <w:lvl w:ilvl="2">
      <w:start w:val="1"/>
      <w:numFmt w:val="lowerRoman"/>
      <w:pStyle w:val="Number3"/>
      <w:lvlText w:val="%3."/>
      <w:lvlJc w:val="left"/>
      <w:pPr>
        <w:ind w:left="1276" w:hanging="425"/>
      </w:pPr>
      <w:rPr>
        <w:rFonts w:hint="default"/>
      </w:rPr>
    </w:lvl>
    <w:lvl w:ilvl="3">
      <w:start w:val="1"/>
      <w:numFmt w:val="decimal"/>
      <w:pStyle w:val="Number4"/>
      <w:lvlText w:val="%4."/>
      <w:lvlJc w:val="left"/>
      <w:pPr>
        <w:ind w:left="1701" w:hanging="425"/>
      </w:pPr>
      <w:rPr>
        <w:rFonts w:hint="default"/>
      </w:rPr>
    </w:lvl>
    <w:lvl w:ilvl="4">
      <w:start w:val="1"/>
      <w:numFmt w:val="lowerLetter"/>
      <w:pStyle w:val="Number5"/>
      <w:lvlText w:val="%5."/>
      <w:lvlJc w:val="left"/>
      <w:pPr>
        <w:ind w:left="2126" w:hanging="425"/>
      </w:pPr>
      <w:rPr>
        <w:rFonts w:hint="default"/>
      </w:rPr>
    </w:lvl>
    <w:lvl w:ilvl="5">
      <w:start w:val="1"/>
      <w:numFmt w:val="lowerRoman"/>
      <w:pStyle w:val="Number6"/>
      <w:lvlText w:val="%6."/>
      <w:lvlJc w:val="left"/>
      <w:pPr>
        <w:ind w:left="2552" w:hanging="426"/>
      </w:pPr>
      <w:rPr>
        <w:rFonts w:hint="default"/>
      </w:rPr>
    </w:lvl>
    <w:lvl w:ilvl="6">
      <w:start w:val="1"/>
      <w:numFmt w:val="decimal"/>
      <w:pStyle w:val="Number7"/>
      <w:lvlText w:val="%7."/>
      <w:lvlJc w:val="left"/>
      <w:pPr>
        <w:ind w:left="2977" w:hanging="425"/>
      </w:pPr>
      <w:rPr>
        <w:rFonts w:hint="default"/>
      </w:rPr>
    </w:lvl>
    <w:lvl w:ilvl="7">
      <w:start w:val="1"/>
      <w:numFmt w:val="lowerLetter"/>
      <w:pStyle w:val="Number8"/>
      <w:lvlText w:val="%8."/>
      <w:lvlJc w:val="left"/>
      <w:pPr>
        <w:ind w:left="3402" w:hanging="425"/>
      </w:pPr>
      <w:rPr>
        <w:rFonts w:hint="default"/>
      </w:rPr>
    </w:lvl>
    <w:lvl w:ilvl="8">
      <w:start w:val="1"/>
      <w:numFmt w:val="lowerRoman"/>
      <w:pStyle w:val="Number9"/>
      <w:lvlText w:val="%9."/>
      <w:lvlJc w:val="left"/>
      <w:pPr>
        <w:ind w:left="3827" w:hanging="425"/>
      </w:pPr>
      <w:rPr>
        <w:rFonts w:hint="default"/>
      </w:rPr>
    </w:lvl>
  </w:abstractNum>
  <w:abstractNum w:abstractNumId="29" w15:restartNumberingAfterBreak="0">
    <w:nsid w:val="64FE2C17"/>
    <w:multiLevelType w:val="hybridMultilevel"/>
    <w:tmpl w:val="5022778A"/>
    <w:lvl w:ilvl="0" w:tplc="F288F8B4">
      <w:start w:val="1"/>
      <w:numFmt w:val="bullet"/>
      <w:lvlText w:val="·"/>
      <w:lvlJc w:val="left"/>
      <w:pPr>
        <w:tabs>
          <w:tab w:val="num" w:pos="720"/>
        </w:tabs>
        <w:ind w:left="720" w:hanging="360"/>
      </w:pPr>
      <w:rPr>
        <w:rFonts w:ascii="Symbol" w:hAnsi="Symbol" w:hint="default"/>
      </w:rPr>
    </w:lvl>
    <w:lvl w:ilvl="1" w:tplc="FA8C56D0" w:tentative="1">
      <w:start w:val="1"/>
      <w:numFmt w:val="bullet"/>
      <w:lvlText w:val="•"/>
      <w:lvlJc w:val="left"/>
      <w:pPr>
        <w:tabs>
          <w:tab w:val="num" w:pos="1440"/>
        </w:tabs>
        <w:ind w:left="1440" w:hanging="360"/>
      </w:pPr>
      <w:rPr>
        <w:rFonts w:ascii="Arial" w:hAnsi="Arial" w:hint="default"/>
      </w:rPr>
    </w:lvl>
    <w:lvl w:ilvl="2" w:tplc="F81E1AEA" w:tentative="1">
      <w:start w:val="1"/>
      <w:numFmt w:val="bullet"/>
      <w:lvlText w:val="•"/>
      <w:lvlJc w:val="left"/>
      <w:pPr>
        <w:tabs>
          <w:tab w:val="num" w:pos="2160"/>
        </w:tabs>
        <w:ind w:left="2160" w:hanging="360"/>
      </w:pPr>
      <w:rPr>
        <w:rFonts w:ascii="Arial" w:hAnsi="Arial" w:hint="default"/>
      </w:rPr>
    </w:lvl>
    <w:lvl w:ilvl="3" w:tplc="C3EE35A8" w:tentative="1">
      <w:start w:val="1"/>
      <w:numFmt w:val="bullet"/>
      <w:lvlText w:val="•"/>
      <w:lvlJc w:val="left"/>
      <w:pPr>
        <w:tabs>
          <w:tab w:val="num" w:pos="2880"/>
        </w:tabs>
        <w:ind w:left="2880" w:hanging="360"/>
      </w:pPr>
      <w:rPr>
        <w:rFonts w:ascii="Arial" w:hAnsi="Arial" w:hint="default"/>
      </w:rPr>
    </w:lvl>
    <w:lvl w:ilvl="4" w:tplc="DF685C0A" w:tentative="1">
      <w:start w:val="1"/>
      <w:numFmt w:val="bullet"/>
      <w:lvlText w:val="•"/>
      <w:lvlJc w:val="left"/>
      <w:pPr>
        <w:tabs>
          <w:tab w:val="num" w:pos="3600"/>
        </w:tabs>
        <w:ind w:left="3600" w:hanging="360"/>
      </w:pPr>
      <w:rPr>
        <w:rFonts w:ascii="Arial" w:hAnsi="Arial" w:hint="default"/>
      </w:rPr>
    </w:lvl>
    <w:lvl w:ilvl="5" w:tplc="4CC49028" w:tentative="1">
      <w:start w:val="1"/>
      <w:numFmt w:val="bullet"/>
      <w:lvlText w:val="•"/>
      <w:lvlJc w:val="left"/>
      <w:pPr>
        <w:tabs>
          <w:tab w:val="num" w:pos="4320"/>
        </w:tabs>
        <w:ind w:left="4320" w:hanging="360"/>
      </w:pPr>
      <w:rPr>
        <w:rFonts w:ascii="Arial" w:hAnsi="Arial" w:hint="default"/>
      </w:rPr>
    </w:lvl>
    <w:lvl w:ilvl="6" w:tplc="BA169884" w:tentative="1">
      <w:start w:val="1"/>
      <w:numFmt w:val="bullet"/>
      <w:lvlText w:val="•"/>
      <w:lvlJc w:val="left"/>
      <w:pPr>
        <w:tabs>
          <w:tab w:val="num" w:pos="5040"/>
        </w:tabs>
        <w:ind w:left="5040" w:hanging="360"/>
      </w:pPr>
      <w:rPr>
        <w:rFonts w:ascii="Arial" w:hAnsi="Arial" w:hint="default"/>
      </w:rPr>
    </w:lvl>
    <w:lvl w:ilvl="7" w:tplc="8C46FD0C" w:tentative="1">
      <w:start w:val="1"/>
      <w:numFmt w:val="bullet"/>
      <w:lvlText w:val="•"/>
      <w:lvlJc w:val="left"/>
      <w:pPr>
        <w:tabs>
          <w:tab w:val="num" w:pos="5760"/>
        </w:tabs>
        <w:ind w:left="5760" w:hanging="360"/>
      </w:pPr>
      <w:rPr>
        <w:rFonts w:ascii="Arial" w:hAnsi="Arial" w:hint="default"/>
      </w:rPr>
    </w:lvl>
    <w:lvl w:ilvl="8" w:tplc="6382F7B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B141F92"/>
    <w:multiLevelType w:val="multilevel"/>
    <w:tmpl w:val="C678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241D9F"/>
    <w:multiLevelType w:val="multilevel"/>
    <w:tmpl w:val="0128A49C"/>
    <w:styleLink w:val="Tablenumbering"/>
    <w:lvl w:ilvl="0">
      <w:start w:val="1"/>
      <w:numFmt w:val="decimal"/>
      <w:pStyle w:val="TableNumber1"/>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pStyle w:val="TableNumber3"/>
      <w:lvlText w:val="%3."/>
      <w:lvlJc w:val="left"/>
      <w:pPr>
        <w:ind w:left="680" w:hanging="226"/>
      </w:pPr>
      <w:rPr>
        <w:rFonts w:hint="default"/>
      </w:rPr>
    </w:lvl>
    <w:lvl w:ilvl="3">
      <w:start w:val="1"/>
      <w:numFmt w:val="decimal"/>
      <w:pStyle w:val="TableNumber4"/>
      <w:lvlText w:val="(%4)"/>
      <w:lvlJc w:val="left"/>
      <w:pPr>
        <w:ind w:left="907" w:hanging="227"/>
      </w:pPr>
      <w:rPr>
        <w:rFonts w:hint="default"/>
      </w:rPr>
    </w:lvl>
    <w:lvl w:ilvl="4">
      <w:start w:val="1"/>
      <w:numFmt w:val="lowerLetter"/>
      <w:pStyle w:val="TableNumber5"/>
      <w:lvlText w:val="(%5)"/>
      <w:lvlJc w:val="left"/>
      <w:pPr>
        <w:ind w:left="1134" w:hanging="227"/>
      </w:pPr>
      <w:rPr>
        <w:rFonts w:hint="default"/>
      </w:rPr>
    </w:lvl>
    <w:lvl w:ilvl="5">
      <w:start w:val="1"/>
      <w:numFmt w:val="lowerRoman"/>
      <w:pStyle w:val="TableNumber6"/>
      <w:lvlText w:val="(%6)"/>
      <w:lvlJc w:val="left"/>
      <w:pPr>
        <w:ind w:left="1361" w:hanging="227"/>
      </w:pPr>
      <w:rPr>
        <w:rFonts w:hint="default"/>
      </w:rPr>
    </w:lvl>
    <w:lvl w:ilvl="6">
      <w:start w:val="1"/>
      <w:numFmt w:val="decimal"/>
      <w:pStyle w:val="TableNumber7"/>
      <w:lvlText w:val="%7."/>
      <w:lvlJc w:val="left"/>
      <w:pPr>
        <w:ind w:left="1588" w:hanging="227"/>
      </w:pPr>
      <w:rPr>
        <w:rFonts w:hint="default"/>
      </w:rPr>
    </w:lvl>
    <w:lvl w:ilvl="7">
      <w:start w:val="1"/>
      <w:numFmt w:val="lowerLetter"/>
      <w:pStyle w:val="TableNumber8"/>
      <w:lvlText w:val="%8."/>
      <w:lvlJc w:val="left"/>
      <w:pPr>
        <w:ind w:left="1814" w:hanging="226"/>
      </w:pPr>
      <w:rPr>
        <w:rFonts w:hint="default"/>
      </w:rPr>
    </w:lvl>
    <w:lvl w:ilvl="8">
      <w:start w:val="1"/>
      <w:numFmt w:val="lowerRoman"/>
      <w:pStyle w:val="TableNumber9"/>
      <w:lvlText w:val="%9."/>
      <w:lvlJc w:val="left"/>
      <w:pPr>
        <w:ind w:left="2041" w:hanging="227"/>
      </w:pPr>
      <w:rPr>
        <w:rFonts w:hint="default"/>
      </w:rPr>
    </w:lvl>
  </w:abstractNum>
  <w:abstractNum w:abstractNumId="32" w15:restartNumberingAfterBreak="0">
    <w:nsid w:val="6E25468A"/>
    <w:multiLevelType w:val="multilevel"/>
    <w:tmpl w:val="A8D4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D6292F"/>
    <w:multiLevelType w:val="multilevel"/>
    <w:tmpl w:val="53ECED92"/>
    <w:numStyleLink w:val="TableBullets"/>
  </w:abstractNum>
  <w:abstractNum w:abstractNumId="34" w15:restartNumberingAfterBreak="0">
    <w:nsid w:val="7B9A2788"/>
    <w:multiLevelType w:val="multilevel"/>
    <w:tmpl w:val="55A88724"/>
    <w:numStyleLink w:val="AppendixNumbering"/>
  </w:abstractNum>
  <w:num w:numId="1" w16cid:durableId="99028345">
    <w:abstractNumId w:val="5"/>
  </w:num>
  <w:num w:numId="2" w16cid:durableId="861016941">
    <w:abstractNumId w:val="28"/>
  </w:num>
  <w:num w:numId="3" w16cid:durableId="1481996507">
    <w:abstractNumId w:val="18"/>
  </w:num>
  <w:num w:numId="4" w16cid:durableId="9575623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1328226">
    <w:abstractNumId w:val="25"/>
  </w:num>
  <w:num w:numId="6" w16cid:durableId="42407800">
    <w:abstractNumId w:val="15"/>
  </w:num>
  <w:num w:numId="7" w16cid:durableId="1381591142">
    <w:abstractNumId w:val="4"/>
  </w:num>
  <w:num w:numId="8" w16cid:durableId="1992640565">
    <w:abstractNumId w:val="3"/>
  </w:num>
  <w:num w:numId="9" w16cid:durableId="1959751669">
    <w:abstractNumId w:val="2"/>
  </w:num>
  <w:num w:numId="10" w16cid:durableId="239796235">
    <w:abstractNumId w:val="1"/>
  </w:num>
  <w:num w:numId="11" w16cid:durableId="692536898">
    <w:abstractNumId w:val="0"/>
  </w:num>
  <w:num w:numId="12" w16cid:durableId="1678845975">
    <w:abstractNumId w:val="21"/>
  </w:num>
  <w:num w:numId="13" w16cid:durableId="1979066358">
    <w:abstractNumId w:val="20"/>
  </w:num>
  <w:num w:numId="14" w16cid:durableId="1705060365">
    <w:abstractNumId w:val="16"/>
  </w:num>
  <w:num w:numId="15" w16cid:durableId="435096636">
    <w:abstractNumId w:val="8"/>
  </w:num>
  <w:num w:numId="16" w16cid:durableId="592012331">
    <w:abstractNumId w:val="7"/>
  </w:num>
  <w:num w:numId="17" w16cid:durableId="1274089699">
    <w:abstractNumId w:val="6"/>
  </w:num>
  <w:num w:numId="18" w16cid:durableId="177890339">
    <w:abstractNumId w:val="31"/>
  </w:num>
  <w:num w:numId="19" w16cid:durableId="10959241">
    <w:abstractNumId w:val="12"/>
  </w:num>
  <w:num w:numId="20" w16cid:durableId="1919630829">
    <w:abstractNumId w:val="29"/>
  </w:num>
  <w:num w:numId="21" w16cid:durableId="691611060">
    <w:abstractNumId w:val="14"/>
  </w:num>
  <w:num w:numId="22" w16cid:durableId="238683565">
    <w:abstractNumId w:val="34"/>
  </w:num>
  <w:num w:numId="23" w16cid:durableId="9247993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8612640">
    <w:abstractNumId w:val="33"/>
  </w:num>
  <w:num w:numId="25" w16cid:durableId="1628122258">
    <w:abstractNumId w:val="13"/>
  </w:num>
  <w:num w:numId="26" w16cid:durableId="4378743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6498908">
    <w:abstractNumId w:val="0"/>
    <w:lvlOverride w:ilvl="0">
      <w:startOverride w:val="1"/>
    </w:lvlOverride>
  </w:num>
  <w:num w:numId="28" w16cid:durableId="414278683">
    <w:abstractNumId w:val="19"/>
  </w:num>
  <w:num w:numId="29" w16cid:durableId="449130847">
    <w:abstractNumId w:val="22"/>
  </w:num>
  <w:num w:numId="30" w16cid:durableId="592132228">
    <w:abstractNumId w:val="23"/>
  </w:num>
  <w:num w:numId="31" w16cid:durableId="1731878771">
    <w:abstractNumId w:val="30"/>
  </w:num>
  <w:num w:numId="32" w16cid:durableId="1559897343">
    <w:abstractNumId w:val="11"/>
  </w:num>
  <w:num w:numId="33" w16cid:durableId="1989239460">
    <w:abstractNumId w:val="10"/>
  </w:num>
  <w:num w:numId="34" w16cid:durableId="2133597210">
    <w:abstractNumId w:val="32"/>
  </w:num>
  <w:num w:numId="35" w16cid:durableId="521284699">
    <w:abstractNumId w:val="27"/>
  </w:num>
  <w:num w:numId="36" w16cid:durableId="471486813">
    <w:abstractNumId w:val="26"/>
  </w:num>
  <w:num w:numId="37" w16cid:durableId="518279790">
    <w:abstractNumId w:val="17"/>
  </w:num>
  <w:num w:numId="38" w16cid:durableId="118339648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BNACN" w:val="(ACN 100 169 391) as trustee for KM Unit Trust (ABN 36 220 576 038)"/>
    <w:docVar w:name="CompanyName" w:val="KordaMentha Pty Ltd"/>
    <w:docVar w:name="FooterNote" w:val="_x000d_Liability limited by a scheme approved under Professional Standards Legislation"/>
  </w:docVars>
  <w:rsids>
    <w:rsidRoot w:val="00292747"/>
    <w:rsid w:val="0000012A"/>
    <w:rsid w:val="0000026E"/>
    <w:rsid w:val="0000034B"/>
    <w:rsid w:val="000007DB"/>
    <w:rsid w:val="00000DA9"/>
    <w:rsid w:val="00001333"/>
    <w:rsid w:val="00001420"/>
    <w:rsid w:val="00001624"/>
    <w:rsid w:val="000016BC"/>
    <w:rsid w:val="000016E4"/>
    <w:rsid w:val="000017C1"/>
    <w:rsid w:val="000017CF"/>
    <w:rsid w:val="0000184D"/>
    <w:rsid w:val="0000211E"/>
    <w:rsid w:val="00002210"/>
    <w:rsid w:val="000025FD"/>
    <w:rsid w:val="000028C3"/>
    <w:rsid w:val="00002D28"/>
    <w:rsid w:val="00002F47"/>
    <w:rsid w:val="00003247"/>
    <w:rsid w:val="000033D0"/>
    <w:rsid w:val="0000398C"/>
    <w:rsid w:val="0000450E"/>
    <w:rsid w:val="000048F8"/>
    <w:rsid w:val="00004D6F"/>
    <w:rsid w:val="00004DF3"/>
    <w:rsid w:val="00004E59"/>
    <w:rsid w:val="00004E97"/>
    <w:rsid w:val="00004EC3"/>
    <w:rsid w:val="00004EC9"/>
    <w:rsid w:val="00004F30"/>
    <w:rsid w:val="00005435"/>
    <w:rsid w:val="00005723"/>
    <w:rsid w:val="00005BA4"/>
    <w:rsid w:val="0000630D"/>
    <w:rsid w:val="000064A8"/>
    <w:rsid w:val="00006511"/>
    <w:rsid w:val="0000657A"/>
    <w:rsid w:val="0000673A"/>
    <w:rsid w:val="00006F97"/>
    <w:rsid w:val="0000717E"/>
    <w:rsid w:val="00007A17"/>
    <w:rsid w:val="000101AF"/>
    <w:rsid w:val="00010BF2"/>
    <w:rsid w:val="00010D11"/>
    <w:rsid w:val="00010E41"/>
    <w:rsid w:val="00011322"/>
    <w:rsid w:val="0001141B"/>
    <w:rsid w:val="0001156D"/>
    <w:rsid w:val="000116C9"/>
    <w:rsid w:val="000118D6"/>
    <w:rsid w:val="000118F5"/>
    <w:rsid w:val="000121BB"/>
    <w:rsid w:val="00012318"/>
    <w:rsid w:val="000124DB"/>
    <w:rsid w:val="00012606"/>
    <w:rsid w:val="00012806"/>
    <w:rsid w:val="00012BE8"/>
    <w:rsid w:val="00012C5B"/>
    <w:rsid w:val="00012F8C"/>
    <w:rsid w:val="00012FD1"/>
    <w:rsid w:val="00012FF8"/>
    <w:rsid w:val="000131EB"/>
    <w:rsid w:val="00013A2C"/>
    <w:rsid w:val="00013A98"/>
    <w:rsid w:val="00014490"/>
    <w:rsid w:val="000144C1"/>
    <w:rsid w:val="0001452D"/>
    <w:rsid w:val="00014648"/>
    <w:rsid w:val="00014850"/>
    <w:rsid w:val="000148F2"/>
    <w:rsid w:val="0001497D"/>
    <w:rsid w:val="00014C77"/>
    <w:rsid w:val="00014D29"/>
    <w:rsid w:val="00014F99"/>
    <w:rsid w:val="00015062"/>
    <w:rsid w:val="000150E9"/>
    <w:rsid w:val="000152A6"/>
    <w:rsid w:val="000152D3"/>
    <w:rsid w:val="00015692"/>
    <w:rsid w:val="0001585E"/>
    <w:rsid w:val="00015862"/>
    <w:rsid w:val="0001586C"/>
    <w:rsid w:val="000159D3"/>
    <w:rsid w:val="00016013"/>
    <w:rsid w:val="000162E2"/>
    <w:rsid w:val="00016350"/>
    <w:rsid w:val="0001652C"/>
    <w:rsid w:val="00016B32"/>
    <w:rsid w:val="00016B6B"/>
    <w:rsid w:val="00016FDD"/>
    <w:rsid w:val="000170B4"/>
    <w:rsid w:val="0001779A"/>
    <w:rsid w:val="000177C5"/>
    <w:rsid w:val="00017A87"/>
    <w:rsid w:val="00017B8D"/>
    <w:rsid w:val="000202CF"/>
    <w:rsid w:val="000202E5"/>
    <w:rsid w:val="000204DE"/>
    <w:rsid w:val="0002060E"/>
    <w:rsid w:val="0002106F"/>
    <w:rsid w:val="00021549"/>
    <w:rsid w:val="00021559"/>
    <w:rsid w:val="00021CF3"/>
    <w:rsid w:val="00021DF1"/>
    <w:rsid w:val="00022209"/>
    <w:rsid w:val="000222D2"/>
    <w:rsid w:val="000224B1"/>
    <w:rsid w:val="000224DC"/>
    <w:rsid w:val="000226AA"/>
    <w:rsid w:val="000227FD"/>
    <w:rsid w:val="00022E9B"/>
    <w:rsid w:val="00022EDD"/>
    <w:rsid w:val="00023196"/>
    <w:rsid w:val="000234DC"/>
    <w:rsid w:val="0002358F"/>
    <w:rsid w:val="00023620"/>
    <w:rsid w:val="000236A3"/>
    <w:rsid w:val="000237B6"/>
    <w:rsid w:val="00023957"/>
    <w:rsid w:val="0002395D"/>
    <w:rsid w:val="00023C56"/>
    <w:rsid w:val="00023CF2"/>
    <w:rsid w:val="00023F85"/>
    <w:rsid w:val="0002405F"/>
    <w:rsid w:val="000245B9"/>
    <w:rsid w:val="000247D5"/>
    <w:rsid w:val="00024891"/>
    <w:rsid w:val="00024955"/>
    <w:rsid w:val="00024D04"/>
    <w:rsid w:val="00024D5D"/>
    <w:rsid w:val="00024E60"/>
    <w:rsid w:val="00024E6B"/>
    <w:rsid w:val="00024F42"/>
    <w:rsid w:val="00024F82"/>
    <w:rsid w:val="0002502E"/>
    <w:rsid w:val="0002557B"/>
    <w:rsid w:val="00025903"/>
    <w:rsid w:val="00025C32"/>
    <w:rsid w:val="00025F8C"/>
    <w:rsid w:val="000260D2"/>
    <w:rsid w:val="00026205"/>
    <w:rsid w:val="0002646D"/>
    <w:rsid w:val="000265A5"/>
    <w:rsid w:val="00026730"/>
    <w:rsid w:val="00026815"/>
    <w:rsid w:val="00026896"/>
    <w:rsid w:val="000268A4"/>
    <w:rsid w:val="0002699F"/>
    <w:rsid w:val="00026D7E"/>
    <w:rsid w:val="00026E4B"/>
    <w:rsid w:val="000272F2"/>
    <w:rsid w:val="000274AC"/>
    <w:rsid w:val="0002768A"/>
    <w:rsid w:val="00027A1D"/>
    <w:rsid w:val="00027A24"/>
    <w:rsid w:val="00027C77"/>
    <w:rsid w:val="000300A1"/>
    <w:rsid w:val="000301DB"/>
    <w:rsid w:val="0003020E"/>
    <w:rsid w:val="0003073D"/>
    <w:rsid w:val="000314CF"/>
    <w:rsid w:val="000314EF"/>
    <w:rsid w:val="0003163E"/>
    <w:rsid w:val="000316EE"/>
    <w:rsid w:val="000322C7"/>
    <w:rsid w:val="00032375"/>
    <w:rsid w:val="00032DA3"/>
    <w:rsid w:val="00032E3C"/>
    <w:rsid w:val="00032FEB"/>
    <w:rsid w:val="000333C5"/>
    <w:rsid w:val="000334EC"/>
    <w:rsid w:val="000335DA"/>
    <w:rsid w:val="00033AB9"/>
    <w:rsid w:val="000340A8"/>
    <w:rsid w:val="00034112"/>
    <w:rsid w:val="00034143"/>
    <w:rsid w:val="0003417D"/>
    <w:rsid w:val="00034254"/>
    <w:rsid w:val="0003462C"/>
    <w:rsid w:val="000348B9"/>
    <w:rsid w:val="000348D7"/>
    <w:rsid w:val="00034A1D"/>
    <w:rsid w:val="00034A96"/>
    <w:rsid w:val="00034CB6"/>
    <w:rsid w:val="00035167"/>
    <w:rsid w:val="000353BA"/>
    <w:rsid w:val="00035C6C"/>
    <w:rsid w:val="000360F8"/>
    <w:rsid w:val="000367B0"/>
    <w:rsid w:val="00036918"/>
    <w:rsid w:val="00036A79"/>
    <w:rsid w:val="00036ABB"/>
    <w:rsid w:val="00036E0B"/>
    <w:rsid w:val="00036F21"/>
    <w:rsid w:val="00037305"/>
    <w:rsid w:val="0003751E"/>
    <w:rsid w:val="000375CD"/>
    <w:rsid w:val="00037970"/>
    <w:rsid w:val="000379CE"/>
    <w:rsid w:val="000379E8"/>
    <w:rsid w:val="00037B9A"/>
    <w:rsid w:val="00037BAE"/>
    <w:rsid w:val="00037CE4"/>
    <w:rsid w:val="00037E19"/>
    <w:rsid w:val="00037FF4"/>
    <w:rsid w:val="0004012D"/>
    <w:rsid w:val="00040351"/>
    <w:rsid w:val="00040581"/>
    <w:rsid w:val="00040BB9"/>
    <w:rsid w:val="00040C9A"/>
    <w:rsid w:val="00040D63"/>
    <w:rsid w:val="00040F2C"/>
    <w:rsid w:val="000415F7"/>
    <w:rsid w:val="00041742"/>
    <w:rsid w:val="000417ED"/>
    <w:rsid w:val="00041899"/>
    <w:rsid w:val="000419CE"/>
    <w:rsid w:val="00041A7B"/>
    <w:rsid w:val="00041A89"/>
    <w:rsid w:val="00041AE2"/>
    <w:rsid w:val="00041AEF"/>
    <w:rsid w:val="000420FA"/>
    <w:rsid w:val="00042424"/>
    <w:rsid w:val="00042759"/>
    <w:rsid w:val="000429A6"/>
    <w:rsid w:val="00042C5C"/>
    <w:rsid w:val="00042E61"/>
    <w:rsid w:val="00042FA3"/>
    <w:rsid w:val="000432A9"/>
    <w:rsid w:val="00043502"/>
    <w:rsid w:val="0004350C"/>
    <w:rsid w:val="000435EC"/>
    <w:rsid w:val="000436EB"/>
    <w:rsid w:val="00043761"/>
    <w:rsid w:val="00043767"/>
    <w:rsid w:val="000438BB"/>
    <w:rsid w:val="00043A7E"/>
    <w:rsid w:val="00043B07"/>
    <w:rsid w:val="00043B87"/>
    <w:rsid w:val="00043D0E"/>
    <w:rsid w:val="00044252"/>
    <w:rsid w:val="00044372"/>
    <w:rsid w:val="0004442C"/>
    <w:rsid w:val="000444EB"/>
    <w:rsid w:val="00044B70"/>
    <w:rsid w:val="00044EBE"/>
    <w:rsid w:val="00044FD8"/>
    <w:rsid w:val="000450F1"/>
    <w:rsid w:val="000456A7"/>
    <w:rsid w:val="00045986"/>
    <w:rsid w:val="000459A0"/>
    <w:rsid w:val="00045B2E"/>
    <w:rsid w:val="00045C69"/>
    <w:rsid w:val="00045C93"/>
    <w:rsid w:val="00045CE1"/>
    <w:rsid w:val="00046030"/>
    <w:rsid w:val="0004613C"/>
    <w:rsid w:val="000465BF"/>
    <w:rsid w:val="00046745"/>
    <w:rsid w:val="00046AFD"/>
    <w:rsid w:val="00046F3A"/>
    <w:rsid w:val="00046FCC"/>
    <w:rsid w:val="00046FE6"/>
    <w:rsid w:val="00047098"/>
    <w:rsid w:val="0004717F"/>
    <w:rsid w:val="00047239"/>
    <w:rsid w:val="00047933"/>
    <w:rsid w:val="000479CA"/>
    <w:rsid w:val="00047B2A"/>
    <w:rsid w:val="00047EE4"/>
    <w:rsid w:val="00047F12"/>
    <w:rsid w:val="00050224"/>
    <w:rsid w:val="0005031E"/>
    <w:rsid w:val="00050FE5"/>
    <w:rsid w:val="000518C1"/>
    <w:rsid w:val="00051AAB"/>
    <w:rsid w:val="000520DE"/>
    <w:rsid w:val="0005227A"/>
    <w:rsid w:val="000527F3"/>
    <w:rsid w:val="00052856"/>
    <w:rsid w:val="00052899"/>
    <w:rsid w:val="0005295F"/>
    <w:rsid w:val="0005297F"/>
    <w:rsid w:val="000529A0"/>
    <w:rsid w:val="00052F12"/>
    <w:rsid w:val="00052FFC"/>
    <w:rsid w:val="0005307D"/>
    <w:rsid w:val="0005318A"/>
    <w:rsid w:val="00053456"/>
    <w:rsid w:val="00053468"/>
    <w:rsid w:val="000536DB"/>
    <w:rsid w:val="00053756"/>
    <w:rsid w:val="000539C9"/>
    <w:rsid w:val="000543D3"/>
    <w:rsid w:val="0005442A"/>
    <w:rsid w:val="00054AB1"/>
    <w:rsid w:val="000550B3"/>
    <w:rsid w:val="00055399"/>
    <w:rsid w:val="00055949"/>
    <w:rsid w:val="00055C26"/>
    <w:rsid w:val="00055DC7"/>
    <w:rsid w:val="00056078"/>
    <w:rsid w:val="0005620B"/>
    <w:rsid w:val="00056268"/>
    <w:rsid w:val="0005635E"/>
    <w:rsid w:val="00056389"/>
    <w:rsid w:val="0005646B"/>
    <w:rsid w:val="000564AD"/>
    <w:rsid w:val="0005683A"/>
    <w:rsid w:val="00056CB6"/>
    <w:rsid w:val="00056F63"/>
    <w:rsid w:val="00056F98"/>
    <w:rsid w:val="00056FF9"/>
    <w:rsid w:val="000571FE"/>
    <w:rsid w:val="00057A94"/>
    <w:rsid w:val="00057B0A"/>
    <w:rsid w:val="00060202"/>
    <w:rsid w:val="000606CE"/>
    <w:rsid w:val="000608AB"/>
    <w:rsid w:val="00060C16"/>
    <w:rsid w:val="00060CDF"/>
    <w:rsid w:val="00061073"/>
    <w:rsid w:val="00061145"/>
    <w:rsid w:val="00061286"/>
    <w:rsid w:val="000612D6"/>
    <w:rsid w:val="00061516"/>
    <w:rsid w:val="0006166F"/>
    <w:rsid w:val="000618EF"/>
    <w:rsid w:val="00061B3D"/>
    <w:rsid w:val="00061C3B"/>
    <w:rsid w:val="00061C93"/>
    <w:rsid w:val="00061E7E"/>
    <w:rsid w:val="00062118"/>
    <w:rsid w:val="00062232"/>
    <w:rsid w:val="000623C7"/>
    <w:rsid w:val="00062949"/>
    <w:rsid w:val="00062ACE"/>
    <w:rsid w:val="00062AEC"/>
    <w:rsid w:val="000631C5"/>
    <w:rsid w:val="000633E8"/>
    <w:rsid w:val="0006348F"/>
    <w:rsid w:val="000636A6"/>
    <w:rsid w:val="00063741"/>
    <w:rsid w:val="00063ABB"/>
    <w:rsid w:val="00063C85"/>
    <w:rsid w:val="00063DF3"/>
    <w:rsid w:val="000642EE"/>
    <w:rsid w:val="00064342"/>
    <w:rsid w:val="0006463F"/>
    <w:rsid w:val="00064A33"/>
    <w:rsid w:val="00064BC7"/>
    <w:rsid w:val="00064DE2"/>
    <w:rsid w:val="00064DE9"/>
    <w:rsid w:val="00064FAB"/>
    <w:rsid w:val="00065677"/>
    <w:rsid w:val="00065D5C"/>
    <w:rsid w:val="00066195"/>
    <w:rsid w:val="00066AAF"/>
    <w:rsid w:val="00066E6A"/>
    <w:rsid w:val="00066EFD"/>
    <w:rsid w:val="0006725F"/>
    <w:rsid w:val="00067387"/>
    <w:rsid w:val="000673A1"/>
    <w:rsid w:val="00067833"/>
    <w:rsid w:val="000678C9"/>
    <w:rsid w:val="00067B9F"/>
    <w:rsid w:val="00067C11"/>
    <w:rsid w:val="00067ED0"/>
    <w:rsid w:val="0007012F"/>
    <w:rsid w:val="0007018F"/>
    <w:rsid w:val="00070227"/>
    <w:rsid w:val="000702E0"/>
    <w:rsid w:val="0007048F"/>
    <w:rsid w:val="000704CB"/>
    <w:rsid w:val="0007080D"/>
    <w:rsid w:val="00070861"/>
    <w:rsid w:val="00070970"/>
    <w:rsid w:val="00070972"/>
    <w:rsid w:val="00070B4D"/>
    <w:rsid w:val="00070B95"/>
    <w:rsid w:val="00070D63"/>
    <w:rsid w:val="00070DBD"/>
    <w:rsid w:val="00071707"/>
    <w:rsid w:val="00071CE2"/>
    <w:rsid w:val="0007201A"/>
    <w:rsid w:val="000720CC"/>
    <w:rsid w:val="000727B5"/>
    <w:rsid w:val="00072BF0"/>
    <w:rsid w:val="00072C1E"/>
    <w:rsid w:val="00072FB2"/>
    <w:rsid w:val="000732C0"/>
    <w:rsid w:val="000733BE"/>
    <w:rsid w:val="00073467"/>
    <w:rsid w:val="0007373A"/>
    <w:rsid w:val="0007375F"/>
    <w:rsid w:val="000739BB"/>
    <w:rsid w:val="00073AE7"/>
    <w:rsid w:val="00073BA6"/>
    <w:rsid w:val="00073C23"/>
    <w:rsid w:val="00074222"/>
    <w:rsid w:val="000742E5"/>
    <w:rsid w:val="000744AD"/>
    <w:rsid w:val="00074686"/>
    <w:rsid w:val="00074B9D"/>
    <w:rsid w:val="00075115"/>
    <w:rsid w:val="0007569B"/>
    <w:rsid w:val="0007589F"/>
    <w:rsid w:val="00075A30"/>
    <w:rsid w:val="00075A45"/>
    <w:rsid w:val="00075AAD"/>
    <w:rsid w:val="00075C7E"/>
    <w:rsid w:val="000763F4"/>
    <w:rsid w:val="00076455"/>
    <w:rsid w:val="0007667E"/>
    <w:rsid w:val="00076834"/>
    <w:rsid w:val="00076C38"/>
    <w:rsid w:val="00076DF1"/>
    <w:rsid w:val="000770DF"/>
    <w:rsid w:val="000770EE"/>
    <w:rsid w:val="000771D2"/>
    <w:rsid w:val="000778B2"/>
    <w:rsid w:val="00077D06"/>
    <w:rsid w:val="00077D84"/>
    <w:rsid w:val="00077F17"/>
    <w:rsid w:val="00080071"/>
    <w:rsid w:val="000800FC"/>
    <w:rsid w:val="000807B5"/>
    <w:rsid w:val="0008099B"/>
    <w:rsid w:val="00080C43"/>
    <w:rsid w:val="000814BC"/>
    <w:rsid w:val="0008150E"/>
    <w:rsid w:val="00081AA3"/>
    <w:rsid w:val="00081D92"/>
    <w:rsid w:val="0008202D"/>
    <w:rsid w:val="0008248D"/>
    <w:rsid w:val="00082654"/>
    <w:rsid w:val="0008293F"/>
    <w:rsid w:val="00082FA7"/>
    <w:rsid w:val="0008344C"/>
    <w:rsid w:val="0008356B"/>
    <w:rsid w:val="00083B82"/>
    <w:rsid w:val="00083BA3"/>
    <w:rsid w:val="00083C5B"/>
    <w:rsid w:val="00083F02"/>
    <w:rsid w:val="00083F07"/>
    <w:rsid w:val="0008425C"/>
    <w:rsid w:val="00084883"/>
    <w:rsid w:val="00084BF3"/>
    <w:rsid w:val="00084E23"/>
    <w:rsid w:val="00084F57"/>
    <w:rsid w:val="000850D9"/>
    <w:rsid w:val="00085613"/>
    <w:rsid w:val="000858E3"/>
    <w:rsid w:val="00085A43"/>
    <w:rsid w:val="00085E2C"/>
    <w:rsid w:val="00085ECB"/>
    <w:rsid w:val="000862FA"/>
    <w:rsid w:val="00086374"/>
    <w:rsid w:val="00086468"/>
    <w:rsid w:val="00086496"/>
    <w:rsid w:val="00086499"/>
    <w:rsid w:val="0008665E"/>
    <w:rsid w:val="000867A0"/>
    <w:rsid w:val="00086808"/>
    <w:rsid w:val="00086826"/>
    <w:rsid w:val="00086871"/>
    <w:rsid w:val="00086AD2"/>
    <w:rsid w:val="00086B65"/>
    <w:rsid w:val="00086E27"/>
    <w:rsid w:val="00086FEA"/>
    <w:rsid w:val="00087121"/>
    <w:rsid w:val="000873E5"/>
    <w:rsid w:val="0008775C"/>
    <w:rsid w:val="00087866"/>
    <w:rsid w:val="00087A88"/>
    <w:rsid w:val="00087BC0"/>
    <w:rsid w:val="00087D9E"/>
    <w:rsid w:val="00087F03"/>
    <w:rsid w:val="000900DB"/>
    <w:rsid w:val="0009053D"/>
    <w:rsid w:val="000905E1"/>
    <w:rsid w:val="00090B93"/>
    <w:rsid w:val="00090C1B"/>
    <w:rsid w:val="00090FA0"/>
    <w:rsid w:val="00091166"/>
    <w:rsid w:val="000912A8"/>
    <w:rsid w:val="0009146C"/>
    <w:rsid w:val="0009161C"/>
    <w:rsid w:val="00091940"/>
    <w:rsid w:val="00091B5C"/>
    <w:rsid w:val="00091D5F"/>
    <w:rsid w:val="00091DE3"/>
    <w:rsid w:val="0009227A"/>
    <w:rsid w:val="00092418"/>
    <w:rsid w:val="00092466"/>
    <w:rsid w:val="0009246B"/>
    <w:rsid w:val="0009251F"/>
    <w:rsid w:val="00092784"/>
    <w:rsid w:val="000928F6"/>
    <w:rsid w:val="000928FC"/>
    <w:rsid w:val="00092986"/>
    <w:rsid w:val="00092B9F"/>
    <w:rsid w:val="00092BDC"/>
    <w:rsid w:val="00092F31"/>
    <w:rsid w:val="00092FBA"/>
    <w:rsid w:val="00093121"/>
    <w:rsid w:val="0009314E"/>
    <w:rsid w:val="000937CD"/>
    <w:rsid w:val="0009386A"/>
    <w:rsid w:val="000939CA"/>
    <w:rsid w:val="00093E3B"/>
    <w:rsid w:val="00094191"/>
    <w:rsid w:val="0009431C"/>
    <w:rsid w:val="00094503"/>
    <w:rsid w:val="00094515"/>
    <w:rsid w:val="0009469A"/>
    <w:rsid w:val="0009487C"/>
    <w:rsid w:val="00094BAD"/>
    <w:rsid w:val="00094C1E"/>
    <w:rsid w:val="00094D43"/>
    <w:rsid w:val="00094F92"/>
    <w:rsid w:val="0009501A"/>
    <w:rsid w:val="00095278"/>
    <w:rsid w:val="000954A5"/>
    <w:rsid w:val="00095591"/>
    <w:rsid w:val="000957D0"/>
    <w:rsid w:val="0009584D"/>
    <w:rsid w:val="0009588E"/>
    <w:rsid w:val="00095CE6"/>
    <w:rsid w:val="00095E77"/>
    <w:rsid w:val="000960BB"/>
    <w:rsid w:val="00096276"/>
    <w:rsid w:val="00096433"/>
    <w:rsid w:val="0009643D"/>
    <w:rsid w:val="00096509"/>
    <w:rsid w:val="0009671C"/>
    <w:rsid w:val="00096776"/>
    <w:rsid w:val="00096799"/>
    <w:rsid w:val="00096C5F"/>
    <w:rsid w:val="00097056"/>
    <w:rsid w:val="00097433"/>
    <w:rsid w:val="00097635"/>
    <w:rsid w:val="00097A5A"/>
    <w:rsid w:val="00097BCF"/>
    <w:rsid w:val="00097D8D"/>
    <w:rsid w:val="000A0043"/>
    <w:rsid w:val="000A0210"/>
    <w:rsid w:val="000A06E7"/>
    <w:rsid w:val="000A08DF"/>
    <w:rsid w:val="000A0B96"/>
    <w:rsid w:val="000A0D87"/>
    <w:rsid w:val="000A0DD0"/>
    <w:rsid w:val="000A0EB1"/>
    <w:rsid w:val="000A0F50"/>
    <w:rsid w:val="000A1011"/>
    <w:rsid w:val="000A110D"/>
    <w:rsid w:val="000A1158"/>
    <w:rsid w:val="000A1290"/>
    <w:rsid w:val="000A1455"/>
    <w:rsid w:val="000A1600"/>
    <w:rsid w:val="000A1A23"/>
    <w:rsid w:val="000A1DEA"/>
    <w:rsid w:val="000A2194"/>
    <w:rsid w:val="000A2197"/>
    <w:rsid w:val="000A21AF"/>
    <w:rsid w:val="000A254F"/>
    <w:rsid w:val="000A292E"/>
    <w:rsid w:val="000A295D"/>
    <w:rsid w:val="000A2ABA"/>
    <w:rsid w:val="000A2AE0"/>
    <w:rsid w:val="000A2B69"/>
    <w:rsid w:val="000A3265"/>
    <w:rsid w:val="000A3563"/>
    <w:rsid w:val="000A3CB3"/>
    <w:rsid w:val="000A3F76"/>
    <w:rsid w:val="000A40AD"/>
    <w:rsid w:val="000A450E"/>
    <w:rsid w:val="000A4B5F"/>
    <w:rsid w:val="000A5476"/>
    <w:rsid w:val="000A54F7"/>
    <w:rsid w:val="000A56E3"/>
    <w:rsid w:val="000A59D6"/>
    <w:rsid w:val="000A5A2E"/>
    <w:rsid w:val="000A6012"/>
    <w:rsid w:val="000A6255"/>
    <w:rsid w:val="000A62E6"/>
    <w:rsid w:val="000A63EF"/>
    <w:rsid w:val="000A6732"/>
    <w:rsid w:val="000A6939"/>
    <w:rsid w:val="000A7052"/>
    <w:rsid w:val="000A7457"/>
    <w:rsid w:val="000A74D1"/>
    <w:rsid w:val="000A76CE"/>
    <w:rsid w:val="000A7ABD"/>
    <w:rsid w:val="000A7B79"/>
    <w:rsid w:val="000B02CF"/>
    <w:rsid w:val="000B0458"/>
    <w:rsid w:val="000B05E8"/>
    <w:rsid w:val="000B05F3"/>
    <w:rsid w:val="000B08A6"/>
    <w:rsid w:val="000B0D17"/>
    <w:rsid w:val="000B0D63"/>
    <w:rsid w:val="000B0F29"/>
    <w:rsid w:val="000B11BC"/>
    <w:rsid w:val="000B1475"/>
    <w:rsid w:val="000B1770"/>
    <w:rsid w:val="000B1AB3"/>
    <w:rsid w:val="000B1CCE"/>
    <w:rsid w:val="000B1D09"/>
    <w:rsid w:val="000B1EFD"/>
    <w:rsid w:val="000B20F1"/>
    <w:rsid w:val="000B2399"/>
    <w:rsid w:val="000B2916"/>
    <w:rsid w:val="000B2CF2"/>
    <w:rsid w:val="000B2D4B"/>
    <w:rsid w:val="000B30C0"/>
    <w:rsid w:val="000B3178"/>
    <w:rsid w:val="000B31B7"/>
    <w:rsid w:val="000B32E8"/>
    <w:rsid w:val="000B3379"/>
    <w:rsid w:val="000B3548"/>
    <w:rsid w:val="000B395D"/>
    <w:rsid w:val="000B3D55"/>
    <w:rsid w:val="000B427E"/>
    <w:rsid w:val="000B435B"/>
    <w:rsid w:val="000B4A38"/>
    <w:rsid w:val="000B4ECE"/>
    <w:rsid w:val="000B4FB1"/>
    <w:rsid w:val="000B5403"/>
    <w:rsid w:val="000B5650"/>
    <w:rsid w:val="000B58B4"/>
    <w:rsid w:val="000B5BB2"/>
    <w:rsid w:val="000B5C28"/>
    <w:rsid w:val="000B5D03"/>
    <w:rsid w:val="000B5E06"/>
    <w:rsid w:val="000B5E1B"/>
    <w:rsid w:val="000B6150"/>
    <w:rsid w:val="000B6233"/>
    <w:rsid w:val="000B63AD"/>
    <w:rsid w:val="000B6573"/>
    <w:rsid w:val="000B661C"/>
    <w:rsid w:val="000B6894"/>
    <w:rsid w:val="000B690B"/>
    <w:rsid w:val="000B6A07"/>
    <w:rsid w:val="000B730C"/>
    <w:rsid w:val="000B7CB9"/>
    <w:rsid w:val="000B7D94"/>
    <w:rsid w:val="000B7EDC"/>
    <w:rsid w:val="000B7EFA"/>
    <w:rsid w:val="000C0444"/>
    <w:rsid w:val="000C0455"/>
    <w:rsid w:val="000C0E9A"/>
    <w:rsid w:val="000C0F9C"/>
    <w:rsid w:val="000C118E"/>
    <w:rsid w:val="000C16CC"/>
    <w:rsid w:val="000C1A25"/>
    <w:rsid w:val="000C1C73"/>
    <w:rsid w:val="000C25C3"/>
    <w:rsid w:val="000C2935"/>
    <w:rsid w:val="000C2A2D"/>
    <w:rsid w:val="000C2F22"/>
    <w:rsid w:val="000C32AE"/>
    <w:rsid w:val="000C3428"/>
    <w:rsid w:val="000C3655"/>
    <w:rsid w:val="000C39C9"/>
    <w:rsid w:val="000C3ADD"/>
    <w:rsid w:val="000C3BB6"/>
    <w:rsid w:val="000C3C75"/>
    <w:rsid w:val="000C3CBE"/>
    <w:rsid w:val="000C3D89"/>
    <w:rsid w:val="000C3FFF"/>
    <w:rsid w:val="000C429F"/>
    <w:rsid w:val="000C439F"/>
    <w:rsid w:val="000C4785"/>
    <w:rsid w:val="000C479B"/>
    <w:rsid w:val="000C48AB"/>
    <w:rsid w:val="000C48EC"/>
    <w:rsid w:val="000C48F7"/>
    <w:rsid w:val="000C4B5E"/>
    <w:rsid w:val="000C4C3B"/>
    <w:rsid w:val="000C4D53"/>
    <w:rsid w:val="000C5153"/>
    <w:rsid w:val="000C5579"/>
    <w:rsid w:val="000C568F"/>
    <w:rsid w:val="000C56D6"/>
    <w:rsid w:val="000C5DC1"/>
    <w:rsid w:val="000C6687"/>
    <w:rsid w:val="000C6856"/>
    <w:rsid w:val="000C6A05"/>
    <w:rsid w:val="000C729D"/>
    <w:rsid w:val="000C7610"/>
    <w:rsid w:val="000C7667"/>
    <w:rsid w:val="000C7ACF"/>
    <w:rsid w:val="000C7FF3"/>
    <w:rsid w:val="000D021F"/>
    <w:rsid w:val="000D0481"/>
    <w:rsid w:val="000D05D4"/>
    <w:rsid w:val="000D05F2"/>
    <w:rsid w:val="000D06C0"/>
    <w:rsid w:val="000D075B"/>
    <w:rsid w:val="000D078C"/>
    <w:rsid w:val="000D07FD"/>
    <w:rsid w:val="000D1272"/>
    <w:rsid w:val="000D12FA"/>
    <w:rsid w:val="000D16C1"/>
    <w:rsid w:val="000D1880"/>
    <w:rsid w:val="000D1E69"/>
    <w:rsid w:val="000D204F"/>
    <w:rsid w:val="000D27E1"/>
    <w:rsid w:val="000D288D"/>
    <w:rsid w:val="000D28F4"/>
    <w:rsid w:val="000D290A"/>
    <w:rsid w:val="000D30DE"/>
    <w:rsid w:val="000D3266"/>
    <w:rsid w:val="000D3312"/>
    <w:rsid w:val="000D350B"/>
    <w:rsid w:val="000D3599"/>
    <w:rsid w:val="000D3604"/>
    <w:rsid w:val="000D3B62"/>
    <w:rsid w:val="000D3B70"/>
    <w:rsid w:val="000D3D49"/>
    <w:rsid w:val="000D3D7B"/>
    <w:rsid w:val="000D3E7E"/>
    <w:rsid w:val="000D4055"/>
    <w:rsid w:val="000D4249"/>
    <w:rsid w:val="000D44F5"/>
    <w:rsid w:val="000D4586"/>
    <w:rsid w:val="000D4616"/>
    <w:rsid w:val="000D49C6"/>
    <w:rsid w:val="000D49DB"/>
    <w:rsid w:val="000D4B42"/>
    <w:rsid w:val="000D4C82"/>
    <w:rsid w:val="000D4D58"/>
    <w:rsid w:val="000D4EBE"/>
    <w:rsid w:val="000D531F"/>
    <w:rsid w:val="000D5712"/>
    <w:rsid w:val="000D58E0"/>
    <w:rsid w:val="000D608E"/>
    <w:rsid w:val="000D615B"/>
    <w:rsid w:val="000D720E"/>
    <w:rsid w:val="000D737D"/>
    <w:rsid w:val="000D74BA"/>
    <w:rsid w:val="000D76A9"/>
    <w:rsid w:val="000D7707"/>
    <w:rsid w:val="000D7C8B"/>
    <w:rsid w:val="000D7D12"/>
    <w:rsid w:val="000D7E51"/>
    <w:rsid w:val="000E02B7"/>
    <w:rsid w:val="000E02E6"/>
    <w:rsid w:val="000E02F1"/>
    <w:rsid w:val="000E03F1"/>
    <w:rsid w:val="000E0786"/>
    <w:rsid w:val="000E0C12"/>
    <w:rsid w:val="000E0D60"/>
    <w:rsid w:val="000E129E"/>
    <w:rsid w:val="000E12FD"/>
    <w:rsid w:val="000E182F"/>
    <w:rsid w:val="000E19A0"/>
    <w:rsid w:val="000E1BFD"/>
    <w:rsid w:val="000E1C0F"/>
    <w:rsid w:val="000E1D69"/>
    <w:rsid w:val="000E1FC1"/>
    <w:rsid w:val="000E208B"/>
    <w:rsid w:val="000E2173"/>
    <w:rsid w:val="000E2213"/>
    <w:rsid w:val="000E223E"/>
    <w:rsid w:val="000E261A"/>
    <w:rsid w:val="000E2D5F"/>
    <w:rsid w:val="000E2D73"/>
    <w:rsid w:val="000E2F63"/>
    <w:rsid w:val="000E3290"/>
    <w:rsid w:val="000E375C"/>
    <w:rsid w:val="000E37B2"/>
    <w:rsid w:val="000E3B2E"/>
    <w:rsid w:val="000E3C16"/>
    <w:rsid w:val="000E3CAB"/>
    <w:rsid w:val="000E3CD8"/>
    <w:rsid w:val="000E4024"/>
    <w:rsid w:val="000E437E"/>
    <w:rsid w:val="000E43EA"/>
    <w:rsid w:val="000E4470"/>
    <w:rsid w:val="000E4729"/>
    <w:rsid w:val="000E487B"/>
    <w:rsid w:val="000E4CD4"/>
    <w:rsid w:val="000E4D5C"/>
    <w:rsid w:val="000E4DB4"/>
    <w:rsid w:val="000E4EE4"/>
    <w:rsid w:val="000E5069"/>
    <w:rsid w:val="000E51AE"/>
    <w:rsid w:val="000E5331"/>
    <w:rsid w:val="000E5353"/>
    <w:rsid w:val="000E53E9"/>
    <w:rsid w:val="000E57B5"/>
    <w:rsid w:val="000E6014"/>
    <w:rsid w:val="000E610E"/>
    <w:rsid w:val="000E65B3"/>
    <w:rsid w:val="000E69F4"/>
    <w:rsid w:val="000E6ED7"/>
    <w:rsid w:val="000E71B3"/>
    <w:rsid w:val="000E726C"/>
    <w:rsid w:val="000E75DF"/>
    <w:rsid w:val="000E75F9"/>
    <w:rsid w:val="000E7926"/>
    <w:rsid w:val="000E79EC"/>
    <w:rsid w:val="000F016D"/>
    <w:rsid w:val="000F020C"/>
    <w:rsid w:val="000F0D86"/>
    <w:rsid w:val="000F0D93"/>
    <w:rsid w:val="000F111F"/>
    <w:rsid w:val="000F15DD"/>
    <w:rsid w:val="000F18DF"/>
    <w:rsid w:val="000F1A9A"/>
    <w:rsid w:val="000F1BEC"/>
    <w:rsid w:val="000F1CEA"/>
    <w:rsid w:val="000F1ECB"/>
    <w:rsid w:val="000F1F4A"/>
    <w:rsid w:val="000F2069"/>
    <w:rsid w:val="000F2425"/>
    <w:rsid w:val="000F293A"/>
    <w:rsid w:val="000F2AA7"/>
    <w:rsid w:val="000F2E16"/>
    <w:rsid w:val="000F2E60"/>
    <w:rsid w:val="000F31B4"/>
    <w:rsid w:val="000F31FE"/>
    <w:rsid w:val="000F32C9"/>
    <w:rsid w:val="000F32F8"/>
    <w:rsid w:val="000F348B"/>
    <w:rsid w:val="000F368F"/>
    <w:rsid w:val="000F3AD6"/>
    <w:rsid w:val="000F3B2A"/>
    <w:rsid w:val="000F3C13"/>
    <w:rsid w:val="000F3CF3"/>
    <w:rsid w:val="000F41DB"/>
    <w:rsid w:val="000F426C"/>
    <w:rsid w:val="000F443F"/>
    <w:rsid w:val="000F4725"/>
    <w:rsid w:val="000F4A22"/>
    <w:rsid w:val="000F4A97"/>
    <w:rsid w:val="000F5066"/>
    <w:rsid w:val="000F5164"/>
    <w:rsid w:val="000F52B7"/>
    <w:rsid w:val="000F5329"/>
    <w:rsid w:val="000F5607"/>
    <w:rsid w:val="000F5674"/>
    <w:rsid w:val="000F5AA9"/>
    <w:rsid w:val="000F5AAF"/>
    <w:rsid w:val="000F5B0D"/>
    <w:rsid w:val="000F5CFC"/>
    <w:rsid w:val="000F6063"/>
    <w:rsid w:val="000F608C"/>
    <w:rsid w:val="000F6339"/>
    <w:rsid w:val="000F6537"/>
    <w:rsid w:val="000F65FD"/>
    <w:rsid w:val="000F66DD"/>
    <w:rsid w:val="000F66E1"/>
    <w:rsid w:val="000F7770"/>
    <w:rsid w:val="000F7CA5"/>
    <w:rsid w:val="00100127"/>
    <w:rsid w:val="001001F3"/>
    <w:rsid w:val="0010021E"/>
    <w:rsid w:val="0010050F"/>
    <w:rsid w:val="0010062E"/>
    <w:rsid w:val="00100698"/>
    <w:rsid w:val="00100808"/>
    <w:rsid w:val="001008ED"/>
    <w:rsid w:val="00100A1F"/>
    <w:rsid w:val="00100B57"/>
    <w:rsid w:val="00100B59"/>
    <w:rsid w:val="00100BEA"/>
    <w:rsid w:val="00100F9A"/>
    <w:rsid w:val="00101028"/>
    <w:rsid w:val="00101279"/>
    <w:rsid w:val="00101487"/>
    <w:rsid w:val="00101562"/>
    <w:rsid w:val="00101766"/>
    <w:rsid w:val="0010176B"/>
    <w:rsid w:val="00101845"/>
    <w:rsid w:val="00101CE6"/>
    <w:rsid w:val="0010218F"/>
    <w:rsid w:val="001023F7"/>
    <w:rsid w:val="00102506"/>
    <w:rsid w:val="00102A63"/>
    <w:rsid w:val="00102CA1"/>
    <w:rsid w:val="00102CB5"/>
    <w:rsid w:val="0010307D"/>
    <w:rsid w:val="001030F5"/>
    <w:rsid w:val="00103304"/>
    <w:rsid w:val="001035CD"/>
    <w:rsid w:val="00103CB5"/>
    <w:rsid w:val="00103ED5"/>
    <w:rsid w:val="00103F9C"/>
    <w:rsid w:val="00104949"/>
    <w:rsid w:val="00104989"/>
    <w:rsid w:val="00104A9A"/>
    <w:rsid w:val="00104AE3"/>
    <w:rsid w:val="00104C65"/>
    <w:rsid w:val="00104E97"/>
    <w:rsid w:val="00105035"/>
    <w:rsid w:val="00105458"/>
    <w:rsid w:val="001055B9"/>
    <w:rsid w:val="00105BEA"/>
    <w:rsid w:val="00105C77"/>
    <w:rsid w:val="00105DC5"/>
    <w:rsid w:val="00105FC8"/>
    <w:rsid w:val="001061A6"/>
    <w:rsid w:val="001064D4"/>
    <w:rsid w:val="001064E2"/>
    <w:rsid w:val="001066B1"/>
    <w:rsid w:val="0010678D"/>
    <w:rsid w:val="001069FA"/>
    <w:rsid w:val="00106C2B"/>
    <w:rsid w:val="001071B9"/>
    <w:rsid w:val="00107307"/>
    <w:rsid w:val="0010746A"/>
    <w:rsid w:val="00107529"/>
    <w:rsid w:val="00107899"/>
    <w:rsid w:val="0010799A"/>
    <w:rsid w:val="00107AC9"/>
    <w:rsid w:val="00107B04"/>
    <w:rsid w:val="00107B82"/>
    <w:rsid w:val="00107F1C"/>
    <w:rsid w:val="00110180"/>
    <w:rsid w:val="00110396"/>
    <w:rsid w:val="00110820"/>
    <w:rsid w:val="0011093E"/>
    <w:rsid w:val="00110C4A"/>
    <w:rsid w:val="00110DF5"/>
    <w:rsid w:val="00110DF8"/>
    <w:rsid w:val="0011123D"/>
    <w:rsid w:val="001112ED"/>
    <w:rsid w:val="00111721"/>
    <w:rsid w:val="001118F6"/>
    <w:rsid w:val="00111F06"/>
    <w:rsid w:val="00112044"/>
    <w:rsid w:val="00112E81"/>
    <w:rsid w:val="00112EAE"/>
    <w:rsid w:val="00112F94"/>
    <w:rsid w:val="00113216"/>
    <w:rsid w:val="001132A6"/>
    <w:rsid w:val="001132FA"/>
    <w:rsid w:val="00113371"/>
    <w:rsid w:val="001133A3"/>
    <w:rsid w:val="00113727"/>
    <w:rsid w:val="0011377B"/>
    <w:rsid w:val="00113889"/>
    <w:rsid w:val="00113DB1"/>
    <w:rsid w:val="0011429E"/>
    <w:rsid w:val="00114412"/>
    <w:rsid w:val="001144D8"/>
    <w:rsid w:val="00114C8C"/>
    <w:rsid w:val="00115AB3"/>
    <w:rsid w:val="00115D4F"/>
    <w:rsid w:val="0011612C"/>
    <w:rsid w:val="001162BA"/>
    <w:rsid w:val="00116484"/>
    <w:rsid w:val="0011698E"/>
    <w:rsid w:val="00116999"/>
    <w:rsid w:val="00116B95"/>
    <w:rsid w:val="00116F02"/>
    <w:rsid w:val="00116F18"/>
    <w:rsid w:val="001170FD"/>
    <w:rsid w:val="00117109"/>
    <w:rsid w:val="001173B4"/>
    <w:rsid w:val="0011743E"/>
    <w:rsid w:val="001176C3"/>
    <w:rsid w:val="0011793F"/>
    <w:rsid w:val="00117AB5"/>
    <w:rsid w:val="00117B6A"/>
    <w:rsid w:val="00117CC8"/>
    <w:rsid w:val="00117D2C"/>
    <w:rsid w:val="00117D5A"/>
    <w:rsid w:val="00117ECB"/>
    <w:rsid w:val="00120176"/>
    <w:rsid w:val="00120488"/>
    <w:rsid w:val="001204DE"/>
    <w:rsid w:val="00120683"/>
    <w:rsid w:val="0012072A"/>
    <w:rsid w:val="00120D78"/>
    <w:rsid w:val="0012104F"/>
    <w:rsid w:val="001211B9"/>
    <w:rsid w:val="0012128D"/>
    <w:rsid w:val="0012130A"/>
    <w:rsid w:val="001213A8"/>
    <w:rsid w:val="001217AF"/>
    <w:rsid w:val="001217D8"/>
    <w:rsid w:val="0012191B"/>
    <w:rsid w:val="0012250F"/>
    <w:rsid w:val="0012259B"/>
    <w:rsid w:val="001227C4"/>
    <w:rsid w:val="00123077"/>
    <w:rsid w:val="00123251"/>
    <w:rsid w:val="00123439"/>
    <w:rsid w:val="00123729"/>
    <w:rsid w:val="00123814"/>
    <w:rsid w:val="001238B0"/>
    <w:rsid w:val="0012396C"/>
    <w:rsid w:val="00123E4C"/>
    <w:rsid w:val="00123FA4"/>
    <w:rsid w:val="00124747"/>
    <w:rsid w:val="00125042"/>
    <w:rsid w:val="0012523C"/>
    <w:rsid w:val="0012544D"/>
    <w:rsid w:val="00125546"/>
    <w:rsid w:val="001256DE"/>
    <w:rsid w:val="00125840"/>
    <w:rsid w:val="00125A51"/>
    <w:rsid w:val="00125A53"/>
    <w:rsid w:val="00125B60"/>
    <w:rsid w:val="00125EE7"/>
    <w:rsid w:val="00125FF0"/>
    <w:rsid w:val="001260EA"/>
    <w:rsid w:val="00126192"/>
    <w:rsid w:val="0012724A"/>
    <w:rsid w:val="00127326"/>
    <w:rsid w:val="0012761B"/>
    <w:rsid w:val="00127736"/>
    <w:rsid w:val="001278CD"/>
    <w:rsid w:val="00127D55"/>
    <w:rsid w:val="00127E5A"/>
    <w:rsid w:val="00127F45"/>
    <w:rsid w:val="0013002E"/>
    <w:rsid w:val="00130145"/>
    <w:rsid w:val="0013015A"/>
    <w:rsid w:val="0013026D"/>
    <w:rsid w:val="001302D2"/>
    <w:rsid w:val="0013070A"/>
    <w:rsid w:val="00130725"/>
    <w:rsid w:val="00130783"/>
    <w:rsid w:val="00130909"/>
    <w:rsid w:val="00130B63"/>
    <w:rsid w:val="00130E86"/>
    <w:rsid w:val="00130F7B"/>
    <w:rsid w:val="001311F6"/>
    <w:rsid w:val="001312D2"/>
    <w:rsid w:val="001315B5"/>
    <w:rsid w:val="00131816"/>
    <w:rsid w:val="00131A8F"/>
    <w:rsid w:val="00131B99"/>
    <w:rsid w:val="00131D16"/>
    <w:rsid w:val="00131D38"/>
    <w:rsid w:val="00131E41"/>
    <w:rsid w:val="001325D7"/>
    <w:rsid w:val="001328A3"/>
    <w:rsid w:val="00132E8E"/>
    <w:rsid w:val="00132FD4"/>
    <w:rsid w:val="0013314B"/>
    <w:rsid w:val="001333CF"/>
    <w:rsid w:val="001335F8"/>
    <w:rsid w:val="001339E3"/>
    <w:rsid w:val="00133B00"/>
    <w:rsid w:val="00133C21"/>
    <w:rsid w:val="00133F24"/>
    <w:rsid w:val="0013412C"/>
    <w:rsid w:val="001344FD"/>
    <w:rsid w:val="00134646"/>
    <w:rsid w:val="0013472F"/>
    <w:rsid w:val="0013489B"/>
    <w:rsid w:val="00134D4E"/>
    <w:rsid w:val="00134EAB"/>
    <w:rsid w:val="00134EAD"/>
    <w:rsid w:val="00135068"/>
    <w:rsid w:val="001354FB"/>
    <w:rsid w:val="0013559B"/>
    <w:rsid w:val="001359DA"/>
    <w:rsid w:val="00135C36"/>
    <w:rsid w:val="00135DDF"/>
    <w:rsid w:val="0013610E"/>
    <w:rsid w:val="0013682C"/>
    <w:rsid w:val="00136A00"/>
    <w:rsid w:val="00136AC5"/>
    <w:rsid w:val="00136DEF"/>
    <w:rsid w:val="00136FD3"/>
    <w:rsid w:val="00137198"/>
    <w:rsid w:val="00137474"/>
    <w:rsid w:val="001374DD"/>
    <w:rsid w:val="0013779D"/>
    <w:rsid w:val="001377E1"/>
    <w:rsid w:val="001379EC"/>
    <w:rsid w:val="001379FA"/>
    <w:rsid w:val="00137A87"/>
    <w:rsid w:val="00137AA1"/>
    <w:rsid w:val="00137DF7"/>
    <w:rsid w:val="00137EA8"/>
    <w:rsid w:val="00137FE7"/>
    <w:rsid w:val="001401BE"/>
    <w:rsid w:val="00140535"/>
    <w:rsid w:val="001406BB"/>
    <w:rsid w:val="001407CE"/>
    <w:rsid w:val="00140824"/>
    <w:rsid w:val="0014088E"/>
    <w:rsid w:val="00140CD5"/>
    <w:rsid w:val="00140F7A"/>
    <w:rsid w:val="001410F8"/>
    <w:rsid w:val="0014137B"/>
    <w:rsid w:val="00141455"/>
    <w:rsid w:val="00141555"/>
    <w:rsid w:val="001415A3"/>
    <w:rsid w:val="0014162B"/>
    <w:rsid w:val="001416EC"/>
    <w:rsid w:val="00141866"/>
    <w:rsid w:val="00141ADD"/>
    <w:rsid w:val="00142017"/>
    <w:rsid w:val="0014209B"/>
    <w:rsid w:val="001424AE"/>
    <w:rsid w:val="00142563"/>
    <w:rsid w:val="00142719"/>
    <w:rsid w:val="0014299C"/>
    <w:rsid w:val="00142BFB"/>
    <w:rsid w:val="00142D91"/>
    <w:rsid w:val="00143151"/>
    <w:rsid w:val="001436E2"/>
    <w:rsid w:val="00143727"/>
    <w:rsid w:val="00143830"/>
    <w:rsid w:val="00143BB2"/>
    <w:rsid w:val="00143BD7"/>
    <w:rsid w:val="00143FF9"/>
    <w:rsid w:val="00144002"/>
    <w:rsid w:val="0014490C"/>
    <w:rsid w:val="00144AF0"/>
    <w:rsid w:val="001455D3"/>
    <w:rsid w:val="0014573F"/>
    <w:rsid w:val="00145C1E"/>
    <w:rsid w:val="00145D8D"/>
    <w:rsid w:val="00145FED"/>
    <w:rsid w:val="0014607B"/>
    <w:rsid w:val="0014607D"/>
    <w:rsid w:val="001462C9"/>
    <w:rsid w:val="001464CD"/>
    <w:rsid w:val="001465CD"/>
    <w:rsid w:val="00146789"/>
    <w:rsid w:val="00146791"/>
    <w:rsid w:val="00146A6B"/>
    <w:rsid w:val="00146BDC"/>
    <w:rsid w:val="00146DE3"/>
    <w:rsid w:val="00147226"/>
    <w:rsid w:val="0014723F"/>
    <w:rsid w:val="0014725E"/>
    <w:rsid w:val="001473A2"/>
    <w:rsid w:val="00147709"/>
    <w:rsid w:val="001478D7"/>
    <w:rsid w:val="001478FA"/>
    <w:rsid w:val="0014798A"/>
    <w:rsid w:val="00147A51"/>
    <w:rsid w:val="00147E75"/>
    <w:rsid w:val="00147EA9"/>
    <w:rsid w:val="00147F5C"/>
    <w:rsid w:val="00150034"/>
    <w:rsid w:val="001503AF"/>
    <w:rsid w:val="00150613"/>
    <w:rsid w:val="0015062F"/>
    <w:rsid w:val="001507F0"/>
    <w:rsid w:val="0015087A"/>
    <w:rsid w:val="00150F9B"/>
    <w:rsid w:val="00151043"/>
    <w:rsid w:val="00151120"/>
    <w:rsid w:val="0015136F"/>
    <w:rsid w:val="0015139C"/>
    <w:rsid w:val="001513FE"/>
    <w:rsid w:val="001514CB"/>
    <w:rsid w:val="001514F3"/>
    <w:rsid w:val="00151850"/>
    <w:rsid w:val="00151A17"/>
    <w:rsid w:val="00151A85"/>
    <w:rsid w:val="00151AAD"/>
    <w:rsid w:val="001520B6"/>
    <w:rsid w:val="001520E1"/>
    <w:rsid w:val="00152511"/>
    <w:rsid w:val="00152573"/>
    <w:rsid w:val="001525FB"/>
    <w:rsid w:val="0015298E"/>
    <w:rsid w:val="00152A8A"/>
    <w:rsid w:val="00152B8E"/>
    <w:rsid w:val="00152C41"/>
    <w:rsid w:val="00152FDD"/>
    <w:rsid w:val="00153412"/>
    <w:rsid w:val="001535FB"/>
    <w:rsid w:val="0015362D"/>
    <w:rsid w:val="0015386E"/>
    <w:rsid w:val="001539EE"/>
    <w:rsid w:val="00153B56"/>
    <w:rsid w:val="00154181"/>
    <w:rsid w:val="00154284"/>
    <w:rsid w:val="001543A7"/>
    <w:rsid w:val="0015443F"/>
    <w:rsid w:val="001547FD"/>
    <w:rsid w:val="001548F9"/>
    <w:rsid w:val="00154CD4"/>
    <w:rsid w:val="001550C2"/>
    <w:rsid w:val="001550E3"/>
    <w:rsid w:val="001551ED"/>
    <w:rsid w:val="001552FC"/>
    <w:rsid w:val="001556D0"/>
    <w:rsid w:val="001556F7"/>
    <w:rsid w:val="00155E23"/>
    <w:rsid w:val="00155F8D"/>
    <w:rsid w:val="00156160"/>
    <w:rsid w:val="001561C6"/>
    <w:rsid w:val="0015622C"/>
    <w:rsid w:val="001563C6"/>
    <w:rsid w:val="0015655C"/>
    <w:rsid w:val="00156869"/>
    <w:rsid w:val="00156886"/>
    <w:rsid w:val="00156BCD"/>
    <w:rsid w:val="00156DF8"/>
    <w:rsid w:val="00156E33"/>
    <w:rsid w:val="00157055"/>
    <w:rsid w:val="00157513"/>
    <w:rsid w:val="00157654"/>
    <w:rsid w:val="00157676"/>
    <w:rsid w:val="00157759"/>
    <w:rsid w:val="0015784E"/>
    <w:rsid w:val="0015786F"/>
    <w:rsid w:val="00157B12"/>
    <w:rsid w:val="00160167"/>
    <w:rsid w:val="00160592"/>
    <w:rsid w:val="001605A2"/>
    <w:rsid w:val="001605DC"/>
    <w:rsid w:val="0016069E"/>
    <w:rsid w:val="00160C04"/>
    <w:rsid w:val="00160FD4"/>
    <w:rsid w:val="001610C3"/>
    <w:rsid w:val="00161454"/>
    <w:rsid w:val="0016173A"/>
    <w:rsid w:val="001617D5"/>
    <w:rsid w:val="00161882"/>
    <w:rsid w:val="0016189C"/>
    <w:rsid w:val="00161AB5"/>
    <w:rsid w:val="00161B14"/>
    <w:rsid w:val="00161BA2"/>
    <w:rsid w:val="00161BAE"/>
    <w:rsid w:val="00161F7C"/>
    <w:rsid w:val="0016207C"/>
    <w:rsid w:val="00162352"/>
    <w:rsid w:val="00162663"/>
    <w:rsid w:val="0016287E"/>
    <w:rsid w:val="001629D2"/>
    <w:rsid w:val="00162A42"/>
    <w:rsid w:val="00162C21"/>
    <w:rsid w:val="00162FE8"/>
    <w:rsid w:val="00163058"/>
    <w:rsid w:val="00163116"/>
    <w:rsid w:val="0016326B"/>
    <w:rsid w:val="00163331"/>
    <w:rsid w:val="00163523"/>
    <w:rsid w:val="001635AC"/>
    <w:rsid w:val="00163D05"/>
    <w:rsid w:val="00163F3F"/>
    <w:rsid w:val="00164310"/>
    <w:rsid w:val="00164353"/>
    <w:rsid w:val="001643C1"/>
    <w:rsid w:val="00164411"/>
    <w:rsid w:val="001646C9"/>
    <w:rsid w:val="001647B6"/>
    <w:rsid w:val="001648F7"/>
    <w:rsid w:val="00164AB3"/>
    <w:rsid w:val="00164E88"/>
    <w:rsid w:val="00165000"/>
    <w:rsid w:val="00165170"/>
    <w:rsid w:val="00165325"/>
    <w:rsid w:val="001655DE"/>
    <w:rsid w:val="00165AD7"/>
    <w:rsid w:val="00165EE2"/>
    <w:rsid w:val="00166229"/>
    <w:rsid w:val="001668C2"/>
    <w:rsid w:val="00166E9D"/>
    <w:rsid w:val="00167606"/>
    <w:rsid w:val="001678A7"/>
    <w:rsid w:val="00167D00"/>
    <w:rsid w:val="00167E8D"/>
    <w:rsid w:val="00167EAD"/>
    <w:rsid w:val="00170221"/>
    <w:rsid w:val="001702FC"/>
    <w:rsid w:val="001704B6"/>
    <w:rsid w:val="001705C8"/>
    <w:rsid w:val="001709DF"/>
    <w:rsid w:val="00170DB2"/>
    <w:rsid w:val="001715FB"/>
    <w:rsid w:val="001718E7"/>
    <w:rsid w:val="00171A6E"/>
    <w:rsid w:val="00171BE7"/>
    <w:rsid w:val="00171DC7"/>
    <w:rsid w:val="00171FCC"/>
    <w:rsid w:val="00172573"/>
    <w:rsid w:val="00172662"/>
    <w:rsid w:val="0017270B"/>
    <w:rsid w:val="00172A0D"/>
    <w:rsid w:val="00172CC8"/>
    <w:rsid w:val="00172D46"/>
    <w:rsid w:val="0017318A"/>
    <w:rsid w:val="00173B1C"/>
    <w:rsid w:val="00173B2C"/>
    <w:rsid w:val="00173D49"/>
    <w:rsid w:val="00173F05"/>
    <w:rsid w:val="00174084"/>
    <w:rsid w:val="00174266"/>
    <w:rsid w:val="00174338"/>
    <w:rsid w:val="00174456"/>
    <w:rsid w:val="0017484F"/>
    <w:rsid w:val="00174877"/>
    <w:rsid w:val="001748FD"/>
    <w:rsid w:val="00174A81"/>
    <w:rsid w:val="00174B3F"/>
    <w:rsid w:val="00174B56"/>
    <w:rsid w:val="00174BF8"/>
    <w:rsid w:val="00174D8E"/>
    <w:rsid w:val="00175308"/>
    <w:rsid w:val="001753AC"/>
    <w:rsid w:val="0017547C"/>
    <w:rsid w:val="00175946"/>
    <w:rsid w:val="00175AED"/>
    <w:rsid w:val="001760B2"/>
    <w:rsid w:val="001767F9"/>
    <w:rsid w:val="001769F9"/>
    <w:rsid w:val="00176A83"/>
    <w:rsid w:val="00176E4A"/>
    <w:rsid w:val="00177067"/>
    <w:rsid w:val="001776C8"/>
    <w:rsid w:val="001777F1"/>
    <w:rsid w:val="00177829"/>
    <w:rsid w:val="00177B25"/>
    <w:rsid w:val="00177BA1"/>
    <w:rsid w:val="001802AA"/>
    <w:rsid w:val="001805F6"/>
    <w:rsid w:val="00180CCB"/>
    <w:rsid w:val="00181156"/>
    <w:rsid w:val="0018136D"/>
    <w:rsid w:val="00181429"/>
    <w:rsid w:val="001817A4"/>
    <w:rsid w:val="001818D1"/>
    <w:rsid w:val="00181BAC"/>
    <w:rsid w:val="00181F60"/>
    <w:rsid w:val="00182200"/>
    <w:rsid w:val="001822E6"/>
    <w:rsid w:val="00182373"/>
    <w:rsid w:val="001824BC"/>
    <w:rsid w:val="001824F9"/>
    <w:rsid w:val="0018263C"/>
    <w:rsid w:val="00182832"/>
    <w:rsid w:val="00182B1F"/>
    <w:rsid w:val="00182C85"/>
    <w:rsid w:val="00182D5F"/>
    <w:rsid w:val="00182EE2"/>
    <w:rsid w:val="00183076"/>
    <w:rsid w:val="00183207"/>
    <w:rsid w:val="00183395"/>
    <w:rsid w:val="00183437"/>
    <w:rsid w:val="00183438"/>
    <w:rsid w:val="0018352B"/>
    <w:rsid w:val="0018356D"/>
    <w:rsid w:val="001837EB"/>
    <w:rsid w:val="00183827"/>
    <w:rsid w:val="00184191"/>
    <w:rsid w:val="0018419D"/>
    <w:rsid w:val="001843FD"/>
    <w:rsid w:val="00184838"/>
    <w:rsid w:val="00184DB8"/>
    <w:rsid w:val="00184F14"/>
    <w:rsid w:val="0018524A"/>
    <w:rsid w:val="00185341"/>
    <w:rsid w:val="00185400"/>
    <w:rsid w:val="0018577F"/>
    <w:rsid w:val="00185AF6"/>
    <w:rsid w:val="00185EEB"/>
    <w:rsid w:val="00186039"/>
    <w:rsid w:val="00186285"/>
    <w:rsid w:val="0018686E"/>
    <w:rsid w:val="001868D8"/>
    <w:rsid w:val="00186A7C"/>
    <w:rsid w:val="00186B6B"/>
    <w:rsid w:val="00186D01"/>
    <w:rsid w:val="00186EE9"/>
    <w:rsid w:val="00187320"/>
    <w:rsid w:val="001873E5"/>
    <w:rsid w:val="001873FF"/>
    <w:rsid w:val="00187BA6"/>
    <w:rsid w:val="00187CA9"/>
    <w:rsid w:val="00187DEE"/>
    <w:rsid w:val="00187F83"/>
    <w:rsid w:val="00190707"/>
    <w:rsid w:val="001907C0"/>
    <w:rsid w:val="00190989"/>
    <w:rsid w:val="00190D7A"/>
    <w:rsid w:val="00190EAA"/>
    <w:rsid w:val="00191023"/>
    <w:rsid w:val="00191213"/>
    <w:rsid w:val="00191855"/>
    <w:rsid w:val="00191B0B"/>
    <w:rsid w:val="00191C58"/>
    <w:rsid w:val="00191D8A"/>
    <w:rsid w:val="00191D8E"/>
    <w:rsid w:val="00192328"/>
    <w:rsid w:val="00192785"/>
    <w:rsid w:val="0019286D"/>
    <w:rsid w:val="00192954"/>
    <w:rsid w:val="00192A11"/>
    <w:rsid w:val="00192B74"/>
    <w:rsid w:val="00192C22"/>
    <w:rsid w:val="00192CC4"/>
    <w:rsid w:val="00192CE5"/>
    <w:rsid w:val="00192CEA"/>
    <w:rsid w:val="001931EB"/>
    <w:rsid w:val="0019324D"/>
    <w:rsid w:val="001935FF"/>
    <w:rsid w:val="001936D9"/>
    <w:rsid w:val="001936EA"/>
    <w:rsid w:val="00193738"/>
    <w:rsid w:val="0019384E"/>
    <w:rsid w:val="00193BEC"/>
    <w:rsid w:val="00194010"/>
    <w:rsid w:val="0019439F"/>
    <w:rsid w:val="001943F4"/>
    <w:rsid w:val="00194D58"/>
    <w:rsid w:val="00194F35"/>
    <w:rsid w:val="00194FAB"/>
    <w:rsid w:val="00195174"/>
    <w:rsid w:val="001955A3"/>
    <w:rsid w:val="001958F1"/>
    <w:rsid w:val="00195A29"/>
    <w:rsid w:val="00195A35"/>
    <w:rsid w:val="00195B2E"/>
    <w:rsid w:val="00196307"/>
    <w:rsid w:val="0019638D"/>
    <w:rsid w:val="001965F0"/>
    <w:rsid w:val="00196868"/>
    <w:rsid w:val="00196B07"/>
    <w:rsid w:val="00196E04"/>
    <w:rsid w:val="001975B1"/>
    <w:rsid w:val="001975BD"/>
    <w:rsid w:val="00197956"/>
    <w:rsid w:val="00197C2F"/>
    <w:rsid w:val="00197CE4"/>
    <w:rsid w:val="00197EB4"/>
    <w:rsid w:val="00197EE5"/>
    <w:rsid w:val="001A00E4"/>
    <w:rsid w:val="001A02C5"/>
    <w:rsid w:val="001A0303"/>
    <w:rsid w:val="001A05F9"/>
    <w:rsid w:val="001A06B7"/>
    <w:rsid w:val="001A06C1"/>
    <w:rsid w:val="001A0A8A"/>
    <w:rsid w:val="001A130E"/>
    <w:rsid w:val="001A13F8"/>
    <w:rsid w:val="001A14B9"/>
    <w:rsid w:val="001A15F9"/>
    <w:rsid w:val="001A17D2"/>
    <w:rsid w:val="001A19D9"/>
    <w:rsid w:val="001A1C0C"/>
    <w:rsid w:val="001A2502"/>
    <w:rsid w:val="001A265F"/>
    <w:rsid w:val="001A2757"/>
    <w:rsid w:val="001A2774"/>
    <w:rsid w:val="001A28A4"/>
    <w:rsid w:val="001A2AEB"/>
    <w:rsid w:val="001A2B34"/>
    <w:rsid w:val="001A2E1F"/>
    <w:rsid w:val="001A2F83"/>
    <w:rsid w:val="001A3121"/>
    <w:rsid w:val="001A32AD"/>
    <w:rsid w:val="001A33E0"/>
    <w:rsid w:val="001A345E"/>
    <w:rsid w:val="001A35C5"/>
    <w:rsid w:val="001A365F"/>
    <w:rsid w:val="001A3B3A"/>
    <w:rsid w:val="001A3D1F"/>
    <w:rsid w:val="001A3E1F"/>
    <w:rsid w:val="001A3E70"/>
    <w:rsid w:val="001A3E88"/>
    <w:rsid w:val="001A3F22"/>
    <w:rsid w:val="001A40FC"/>
    <w:rsid w:val="001A43A9"/>
    <w:rsid w:val="001A447C"/>
    <w:rsid w:val="001A457F"/>
    <w:rsid w:val="001A47D6"/>
    <w:rsid w:val="001A49C2"/>
    <w:rsid w:val="001A4AAD"/>
    <w:rsid w:val="001A4AD8"/>
    <w:rsid w:val="001A4AFA"/>
    <w:rsid w:val="001A4BC2"/>
    <w:rsid w:val="001A4C1F"/>
    <w:rsid w:val="001A4C23"/>
    <w:rsid w:val="001A4E01"/>
    <w:rsid w:val="001A500C"/>
    <w:rsid w:val="001A55EC"/>
    <w:rsid w:val="001A560B"/>
    <w:rsid w:val="001A5B8C"/>
    <w:rsid w:val="001A5C68"/>
    <w:rsid w:val="001A5E23"/>
    <w:rsid w:val="001A60BB"/>
    <w:rsid w:val="001A62B8"/>
    <w:rsid w:val="001A64D6"/>
    <w:rsid w:val="001A672F"/>
    <w:rsid w:val="001A6758"/>
    <w:rsid w:val="001A69F0"/>
    <w:rsid w:val="001A6E28"/>
    <w:rsid w:val="001A6EC3"/>
    <w:rsid w:val="001A724A"/>
    <w:rsid w:val="001A7AA1"/>
    <w:rsid w:val="001A7C01"/>
    <w:rsid w:val="001B00F4"/>
    <w:rsid w:val="001B030F"/>
    <w:rsid w:val="001B052B"/>
    <w:rsid w:val="001B082D"/>
    <w:rsid w:val="001B0875"/>
    <w:rsid w:val="001B0894"/>
    <w:rsid w:val="001B0BE0"/>
    <w:rsid w:val="001B0D19"/>
    <w:rsid w:val="001B1169"/>
    <w:rsid w:val="001B11EF"/>
    <w:rsid w:val="001B12B1"/>
    <w:rsid w:val="001B17BC"/>
    <w:rsid w:val="001B1E59"/>
    <w:rsid w:val="001B223C"/>
    <w:rsid w:val="001B2652"/>
    <w:rsid w:val="001B279F"/>
    <w:rsid w:val="001B2BC4"/>
    <w:rsid w:val="001B2C33"/>
    <w:rsid w:val="001B2E1E"/>
    <w:rsid w:val="001B2E8A"/>
    <w:rsid w:val="001B2FD0"/>
    <w:rsid w:val="001B3285"/>
    <w:rsid w:val="001B3421"/>
    <w:rsid w:val="001B3699"/>
    <w:rsid w:val="001B37CF"/>
    <w:rsid w:val="001B3954"/>
    <w:rsid w:val="001B3A82"/>
    <w:rsid w:val="001B3B79"/>
    <w:rsid w:val="001B3BB9"/>
    <w:rsid w:val="001B3CA0"/>
    <w:rsid w:val="001B3D47"/>
    <w:rsid w:val="001B41CE"/>
    <w:rsid w:val="001B42CD"/>
    <w:rsid w:val="001B45F1"/>
    <w:rsid w:val="001B4BE2"/>
    <w:rsid w:val="001B4C16"/>
    <w:rsid w:val="001B4E61"/>
    <w:rsid w:val="001B4FCF"/>
    <w:rsid w:val="001B501E"/>
    <w:rsid w:val="001B579A"/>
    <w:rsid w:val="001B5A5A"/>
    <w:rsid w:val="001B5D88"/>
    <w:rsid w:val="001B5F0D"/>
    <w:rsid w:val="001B5F3D"/>
    <w:rsid w:val="001B6407"/>
    <w:rsid w:val="001B6863"/>
    <w:rsid w:val="001B6B00"/>
    <w:rsid w:val="001B6D87"/>
    <w:rsid w:val="001B6EBD"/>
    <w:rsid w:val="001B6EFC"/>
    <w:rsid w:val="001B70EE"/>
    <w:rsid w:val="001B7151"/>
    <w:rsid w:val="001B73ED"/>
    <w:rsid w:val="001B73F6"/>
    <w:rsid w:val="001B7998"/>
    <w:rsid w:val="001B7B6B"/>
    <w:rsid w:val="001B7DE0"/>
    <w:rsid w:val="001C0181"/>
    <w:rsid w:val="001C01D3"/>
    <w:rsid w:val="001C02AF"/>
    <w:rsid w:val="001C0470"/>
    <w:rsid w:val="001C0964"/>
    <w:rsid w:val="001C0A3C"/>
    <w:rsid w:val="001C0A5C"/>
    <w:rsid w:val="001C0A71"/>
    <w:rsid w:val="001C0ACF"/>
    <w:rsid w:val="001C113C"/>
    <w:rsid w:val="001C1273"/>
    <w:rsid w:val="001C1295"/>
    <w:rsid w:val="001C12C4"/>
    <w:rsid w:val="001C13D7"/>
    <w:rsid w:val="001C13EB"/>
    <w:rsid w:val="001C150B"/>
    <w:rsid w:val="001C1C9B"/>
    <w:rsid w:val="001C1D38"/>
    <w:rsid w:val="001C1DC2"/>
    <w:rsid w:val="001C1F0D"/>
    <w:rsid w:val="001C1F75"/>
    <w:rsid w:val="001C21D3"/>
    <w:rsid w:val="001C24C7"/>
    <w:rsid w:val="001C25E3"/>
    <w:rsid w:val="001C2649"/>
    <w:rsid w:val="001C28FC"/>
    <w:rsid w:val="001C2F12"/>
    <w:rsid w:val="001C2FF6"/>
    <w:rsid w:val="001C348C"/>
    <w:rsid w:val="001C35E6"/>
    <w:rsid w:val="001C38A4"/>
    <w:rsid w:val="001C3A42"/>
    <w:rsid w:val="001C3C13"/>
    <w:rsid w:val="001C412F"/>
    <w:rsid w:val="001C4592"/>
    <w:rsid w:val="001C4860"/>
    <w:rsid w:val="001C4AB5"/>
    <w:rsid w:val="001C4B94"/>
    <w:rsid w:val="001C4ECB"/>
    <w:rsid w:val="001C4FA3"/>
    <w:rsid w:val="001C508D"/>
    <w:rsid w:val="001C52F6"/>
    <w:rsid w:val="001C54B1"/>
    <w:rsid w:val="001C553D"/>
    <w:rsid w:val="001C5606"/>
    <w:rsid w:val="001C570B"/>
    <w:rsid w:val="001C575D"/>
    <w:rsid w:val="001C578C"/>
    <w:rsid w:val="001C582D"/>
    <w:rsid w:val="001C5C23"/>
    <w:rsid w:val="001C60FB"/>
    <w:rsid w:val="001C61B2"/>
    <w:rsid w:val="001C62F1"/>
    <w:rsid w:val="001C6537"/>
    <w:rsid w:val="001C672E"/>
    <w:rsid w:val="001C68DD"/>
    <w:rsid w:val="001C6CC6"/>
    <w:rsid w:val="001C7098"/>
    <w:rsid w:val="001C715B"/>
    <w:rsid w:val="001C717C"/>
    <w:rsid w:val="001C7348"/>
    <w:rsid w:val="001C77AD"/>
    <w:rsid w:val="001C7C49"/>
    <w:rsid w:val="001C7F5C"/>
    <w:rsid w:val="001D00CA"/>
    <w:rsid w:val="001D0392"/>
    <w:rsid w:val="001D03DE"/>
    <w:rsid w:val="001D05A6"/>
    <w:rsid w:val="001D0A04"/>
    <w:rsid w:val="001D0BC2"/>
    <w:rsid w:val="001D0BDA"/>
    <w:rsid w:val="001D0D22"/>
    <w:rsid w:val="001D0FF4"/>
    <w:rsid w:val="001D1029"/>
    <w:rsid w:val="001D10BE"/>
    <w:rsid w:val="001D1199"/>
    <w:rsid w:val="001D17CD"/>
    <w:rsid w:val="001D18A1"/>
    <w:rsid w:val="001D1ABC"/>
    <w:rsid w:val="001D1AE3"/>
    <w:rsid w:val="001D1AFA"/>
    <w:rsid w:val="001D1BFD"/>
    <w:rsid w:val="001D1C73"/>
    <w:rsid w:val="001D1CC8"/>
    <w:rsid w:val="001D1D39"/>
    <w:rsid w:val="001D20B0"/>
    <w:rsid w:val="001D215F"/>
    <w:rsid w:val="001D22DA"/>
    <w:rsid w:val="001D23C8"/>
    <w:rsid w:val="001D2557"/>
    <w:rsid w:val="001D292E"/>
    <w:rsid w:val="001D294A"/>
    <w:rsid w:val="001D2C73"/>
    <w:rsid w:val="001D3007"/>
    <w:rsid w:val="001D30B2"/>
    <w:rsid w:val="001D3575"/>
    <w:rsid w:val="001D35B3"/>
    <w:rsid w:val="001D3997"/>
    <w:rsid w:val="001D3A21"/>
    <w:rsid w:val="001D3D36"/>
    <w:rsid w:val="001D3ED1"/>
    <w:rsid w:val="001D3F5E"/>
    <w:rsid w:val="001D403C"/>
    <w:rsid w:val="001D409C"/>
    <w:rsid w:val="001D427B"/>
    <w:rsid w:val="001D453F"/>
    <w:rsid w:val="001D45A3"/>
    <w:rsid w:val="001D45B4"/>
    <w:rsid w:val="001D45DB"/>
    <w:rsid w:val="001D4611"/>
    <w:rsid w:val="001D46F3"/>
    <w:rsid w:val="001D473D"/>
    <w:rsid w:val="001D49CC"/>
    <w:rsid w:val="001D4C70"/>
    <w:rsid w:val="001D4CDF"/>
    <w:rsid w:val="001D4F68"/>
    <w:rsid w:val="001D53C5"/>
    <w:rsid w:val="001D579D"/>
    <w:rsid w:val="001D5876"/>
    <w:rsid w:val="001D5915"/>
    <w:rsid w:val="001D5A1E"/>
    <w:rsid w:val="001D5EAA"/>
    <w:rsid w:val="001D5FD6"/>
    <w:rsid w:val="001D62C7"/>
    <w:rsid w:val="001D6660"/>
    <w:rsid w:val="001D6B36"/>
    <w:rsid w:val="001D6BBB"/>
    <w:rsid w:val="001D6C5E"/>
    <w:rsid w:val="001D6D3F"/>
    <w:rsid w:val="001D6E12"/>
    <w:rsid w:val="001D6FAE"/>
    <w:rsid w:val="001D7094"/>
    <w:rsid w:val="001D7444"/>
    <w:rsid w:val="001D7635"/>
    <w:rsid w:val="001D7653"/>
    <w:rsid w:val="001D7B81"/>
    <w:rsid w:val="001D7BBE"/>
    <w:rsid w:val="001D7CE3"/>
    <w:rsid w:val="001E0173"/>
    <w:rsid w:val="001E01B5"/>
    <w:rsid w:val="001E042D"/>
    <w:rsid w:val="001E0544"/>
    <w:rsid w:val="001E05FB"/>
    <w:rsid w:val="001E060F"/>
    <w:rsid w:val="001E061D"/>
    <w:rsid w:val="001E066D"/>
    <w:rsid w:val="001E0793"/>
    <w:rsid w:val="001E0B71"/>
    <w:rsid w:val="001E0DA6"/>
    <w:rsid w:val="001E151F"/>
    <w:rsid w:val="001E1860"/>
    <w:rsid w:val="001E1A4A"/>
    <w:rsid w:val="001E1AEA"/>
    <w:rsid w:val="001E1B20"/>
    <w:rsid w:val="001E1D38"/>
    <w:rsid w:val="001E1D9D"/>
    <w:rsid w:val="001E1F02"/>
    <w:rsid w:val="001E2166"/>
    <w:rsid w:val="001E21BD"/>
    <w:rsid w:val="001E21EA"/>
    <w:rsid w:val="001E22B9"/>
    <w:rsid w:val="001E22C8"/>
    <w:rsid w:val="001E22F2"/>
    <w:rsid w:val="001E2542"/>
    <w:rsid w:val="001E2749"/>
    <w:rsid w:val="001E2956"/>
    <w:rsid w:val="001E2E3A"/>
    <w:rsid w:val="001E3271"/>
    <w:rsid w:val="001E338B"/>
    <w:rsid w:val="001E3464"/>
    <w:rsid w:val="001E36FC"/>
    <w:rsid w:val="001E39DA"/>
    <w:rsid w:val="001E39EC"/>
    <w:rsid w:val="001E3B0C"/>
    <w:rsid w:val="001E3C07"/>
    <w:rsid w:val="001E3D8A"/>
    <w:rsid w:val="001E41E3"/>
    <w:rsid w:val="001E456F"/>
    <w:rsid w:val="001E4712"/>
    <w:rsid w:val="001E47C6"/>
    <w:rsid w:val="001E4C94"/>
    <w:rsid w:val="001E4FB3"/>
    <w:rsid w:val="001E55A0"/>
    <w:rsid w:val="001E55B5"/>
    <w:rsid w:val="001E5609"/>
    <w:rsid w:val="001E56AA"/>
    <w:rsid w:val="001E5898"/>
    <w:rsid w:val="001E59E7"/>
    <w:rsid w:val="001E5E4E"/>
    <w:rsid w:val="001E5EFE"/>
    <w:rsid w:val="001E6155"/>
    <w:rsid w:val="001E6225"/>
    <w:rsid w:val="001E6338"/>
    <w:rsid w:val="001E66E7"/>
    <w:rsid w:val="001E68CF"/>
    <w:rsid w:val="001E709A"/>
    <w:rsid w:val="001E71D6"/>
    <w:rsid w:val="001E735E"/>
    <w:rsid w:val="001E742C"/>
    <w:rsid w:val="001E75D8"/>
    <w:rsid w:val="001E76FF"/>
    <w:rsid w:val="001E7B65"/>
    <w:rsid w:val="001E7B78"/>
    <w:rsid w:val="001E7E22"/>
    <w:rsid w:val="001F0045"/>
    <w:rsid w:val="001F0069"/>
    <w:rsid w:val="001F05E8"/>
    <w:rsid w:val="001F07D7"/>
    <w:rsid w:val="001F08ED"/>
    <w:rsid w:val="001F0A75"/>
    <w:rsid w:val="001F0C7D"/>
    <w:rsid w:val="001F0DD2"/>
    <w:rsid w:val="001F1143"/>
    <w:rsid w:val="001F1180"/>
    <w:rsid w:val="001F1407"/>
    <w:rsid w:val="001F1912"/>
    <w:rsid w:val="001F2055"/>
    <w:rsid w:val="001F2231"/>
    <w:rsid w:val="001F2317"/>
    <w:rsid w:val="001F25AB"/>
    <w:rsid w:val="001F2A38"/>
    <w:rsid w:val="001F2A97"/>
    <w:rsid w:val="001F2AB9"/>
    <w:rsid w:val="001F2D78"/>
    <w:rsid w:val="001F3000"/>
    <w:rsid w:val="001F3066"/>
    <w:rsid w:val="001F32CA"/>
    <w:rsid w:val="001F3891"/>
    <w:rsid w:val="001F3F50"/>
    <w:rsid w:val="001F3FCD"/>
    <w:rsid w:val="001F3FFD"/>
    <w:rsid w:val="001F40F4"/>
    <w:rsid w:val="001F41B4"/>
    <w:rsid w:val="001F42AD"/>
    <w:rsid w:val="001F42C7"/>
    <w:rsid w:val="001F444C"/>
    <w:rsid w:val="001F4518"/>
    <w:rsid w:val="001F469F"/>
    <w:rsid w:val="001F4753"/>
    <w:rsid w:val="001F4808"/>
    <w:rsid w:val="001F489C"/>
    <w:rsid w:val="001F48A1"/>
    <w:rsid w:val="001F4AB0"/>
    <w:rsid w:val="001F50B2"/>
    <w:rsid w:val="001F5403"/>
    <w:rsid w:val="001F59AC"/>
    <w:rsid w:val="001F5AC2"/>
    <w:rsid w:val="001F6071"/>
    <w:rsid w:val="001F6723"/>
    <w:rsid w:val="001F6877"/>
    <w:rsid w:val="001F6884"/>
    <w:rsid w:val="001F7158"/>
    <w:rsid w:val="001F73E0"/>
    <w:rsid w:val="001F73EE"/>
    <w:rsid w:val="001F74A0"/>
    <w:rsid w:val="001F79FC"/>
    <w:rsid w:val="001F7B9D"/>
    <w:rsid w:val="001F7F09"/>
    <w:rsid w:val="002002E6"/>
    <w:rsid w:val="0020039D"/>
    <w:rsid w:val="00200794"/>
    <w:rsid w:val="00200920"/>
    <w:rsid w:val="00200D27"/>
    <w:rsid w:val="00200D6D"/>
    <w:rsid w:val="00200D75"/>
    <w:rsid w:val="00200DCE"/>
    <w:rsid w:val="00201020"/>
    <w:rsid w:val="0020158B"/>
    <w:rsid w:val="002017BD"/>
    <w:rsid w:val="00201800"/>
    <w:rsid w:val="0020181D"/>
    <w:rsid w:val="002019A4"/>
    <w:rsid w:val="00201B36"/>
    <w:rsid w:val="00201C2F"/>
    <w:rsid w:val="00202130"/>
    <w:rsid w:val="00202165"/>
    <w:rsid w:val="00202194"/>
    <w:rsid w:val="002021BE"/>
    <w:rsid w:val="0020234E"/>
    <w:rsid w:val="002023BD"/>
    <w:rsid w:val="00202DBC"/>
    <w:rsid w:val="002030CF"/>
    <w:rsid w:val="00203156"/>
    <w:rsid w:val="0020337C"/>
    <w:rsid w:val="002036B0"/>
    <w:rsid w:val="002037B6"/>
    <w:rsid w:val="002039EB"/>
    <w:rsid w:val="00203AC5"/>
    <w:rsid w:val="00203D33"/>
    <w:rsid w:val="00203ECB"/>
    <w:rsid w:val="00204443"/>
    <w:rsid w:val="002047FA"/>
    <w:rsid w:val="0020500C"/>
    <w:rsid w:val="00205270"/>
    <w:rsid w:val="00205445"/>
    <w:rsid w:val="00205968"/>
    <w:rsid w:val="002059A3"/>
    <w:rsid w:val="00205CEC"/>
    <w:rsid w:val="00205D18"/>
    <w:rsid w:val="00205DEC"/>
    <w:rsid w:val="00206054"/>
    <w:rsid w:val="002060B9"/>
    <w:rsid w:val="00206214"/>
    <w:rsid w:val="00206648"/>
    <w:rsid w:val="00206D81"/>
    <w:rsid w:val="00206E4D"/>
    <w:rsid w:val="002072ED"/>
    <w:rsid w:val="00207712"/>
    <w:rsid w:val="002077D0"/>
    <w:rsid w:val="00207AE3"/>
    <w:rsid w:val="002100C0"/>
    <w:rsid w:val="002103BF"/>
    <w:rsid w:val="00210925"/>
    <w:rsid w:val="00211076"/>
    <w:rsid w:val="002110E8"/>
    <w:rsid w:val="002116BE"/>
    <w:rsid w:val="0021194D"/>
    <w:rsid w:val="00211ACC"/>
    <w:rsid w:val="00211DC9"/>
    <w:rsid w:val="00211F89"/>
    <w:rsid w:val="00211FA7"/>
    <w:rsid w:val="00212041"/>
    <w:rsid w:val="00212513"/>
    <w:rsid w:val="0021275C"/>
    <w:rsid w:val="00212773"/>
    <w:rsid w:val="002129B1"/>
    <w:rsid w:val="002129FA"/>
    <w:rsid w:val="00212B10"/>
    <w:rsid w:val="002133D2"/>
    <w:rsid w:val="00213477"/>
    <w:rsid w:val="00213486"/>
    <w:rsid w:val="00213A5C"/>
    <w:rsid w:val="00213B75"/>
    <w:rsid w:val="00213C17"/>
    <w:rsid w:val="0021410A"/>
    <w:rsid w:val="00214643"/>
    <w:rsid w:val="002147FC"/>
    <w:rsid w:val="002148E1"/>
    <w:rsid w:val="002149EB"/>
    <w:rsid w:val="00214A1E"/>
    <w:rsid w:val="00214A63"/>
    <w:rsid w:val="00214AC1"/>
    <w:rsid w:val="00214CF3"/>
    <w:rsid w:val="00214F83"/>
    <w:rsid w:val="0021510E"/>
    <w:rsid w:val="00215388"/>
    <w:rsid w:val="0021545B"/>
    <w:rsid w:val="00215747"/>
    <w:rsid w:val="00215770"/>
    <w:rsid w:val="00215D26"/>
    <w:rsid w:val="00215FBD"/>
    <w:rsid w:val="0021672F"/>
    <w:rsid w:val="00216B35"/>
    <w:rsid w:val="0021716A"/>
    <w:rsid w:val="00217304"/>
    <w:rsid w:val="00217411"/>
    <w:rsid w:val="0021768E"/>
    <w:rsid w:val="00217870"/>
    <w:rsid w:val="00217E41"/>
    <w:rsid w:val="00217F05"/>
    <w:rsid w:val="00217F73"/>
    <w:rsid w:val="002200E8"/>
    <w:rsid w:val="00220290"/>
    <w:rsid w:val="00220468"/>
    <w:rsid w:val="002204D2"/>
    <w:rsid w:val="0022074E"/>
    <w:rsid w:val="00220FF6"/>
    <w:rsid w:val="002211F2"/>
    <w:rsid w:val="002217F0"/>
    <w:rsid w:val="0022185D"/>
    <w:rsid w:val="002218D3"/>
    <w:rsid w:val="002219ED"/>
    <w:rsid w:val="00221DA8"/>
    <w:rsid w:val="00221FBE"/>
    <w:rsid w:val="00221FCB"/>
    <w:rsid w:val="0022204B"/>
    <w:rsid w:val="002221A3"/>
    <w:rsid w:val="0022229F"/>
    <w:rsid w:val="00222687"/>
    <w:rsid w:val="00222BC6"/>
    <w:rsid w:val="00222ED4"/>
    <w:rsid w:val="00222F98"/>
    <w:rsid w:val="00223199"/>
    <w:rsid w:val="002232FA"/>
    <w:rsid w:val="002233F1"/>
    <w:rsid w:val="002234F3"/>
    <w:rsid w:val="00223514"/>
    <w:rsid w:val="002237BC"/>
    <w:rsid w:val="00223BE4"/>
    <w:rsid w:val="00223F23"/>
    <w:rsid w:val="00224095"/>
    <w:rsid w:val="002242EC"/>
    <w:rsid w:val="0022437B"/>
    <w:rsid w:val="0022460E"/>
    <w:rsid w:val="00224619"/>
    <w:rsid w:val="00224751"/>
    <w:rsid w:val="002254A4"/>
    <w:rsid w:val="0022575C"/>
    <w:rsid w:val="00225883"/>
    <w:rsid w:val="00225B32"/>
    <w:rsid w:val="00225FCB"/>
    <w:rsid w:val="00226156"/>
    <w:rsid w:val="00226310"/>
    <w:rsid w:val="002265A8"/>
    <w:rsid w:val="002267BF"/>
    <w:rsid w:val="00226BB4"/>
    <w:rsid w:val="00226E22"/>
    <w:rsid w:val="002270D2"/>
    <w:rsid w:val="00227358"/>
    <w:rsid w:val="00227B8B"/>
    <w:rsid w:val="00227B99"/>
    <w:rsid w:val="00227EAE"/>
    <w:rsid w:val="002304AF"/>
    <w:rsid w:val="002304C8"/>
    <w:rsid w:val="0023055D"/>
    <w:rsid w:val="00230596"/>
    <w:rsid w:val="0023097B"/>
    <w:rsid w:val="00230C20"/>
    <w:rsid w:val="00230E25"/>
    <w:rsid w:val="00230EA0"/>
    <w:rsid w:val="002310E8"/>
    <w:rsid w:val="00231109"/>
    <w:rsid w:val="002313AD"/>
    <w:rsid w:val="002314AD"/>
    <w:rsid w:val="00231E40"/>
    <w:rsid w:val="00231F53"/>
    <w:rsid w:val="00231F59"/>
    <w:rsid w:val="002325FA"/>
    <w:rsid w:val="00232B28"/>
    <w:rsid w:val="00232BAF"/>
    <w:rsid w:val="00232CF5"/>
    <w:rsid w:val="002330F4"/>
    <w:rsid w:val="002331F6"/>
    <w:rsid w:val="0023336A"/>
    <w:rsid w:val="00233577"/>
    <w:rsid w:val="002335B8"/>
    <w:rsid w:val="00233688"/>
    <w:rsid w:val="0023376C"/>
    <w:rsid w:val="0023383F"/>
    <w:rsid w:val="00233D93"/>
    <w:rsid w:val="002340AC"/>
    <w:rsid w:val="002347BD"/>
    <w:rsid w:val="00234EC2"/>
    <w:rsid w:val="00235089"/>
    <w:rsid w:val="002351B5"/>
    <w:rsid w:val="0023527A"/>
    <w:rsid w:val="00235694"/>
    <w:rsid w:val="0023604A"/>
    <w:rsid w:val="00236148"/>
    <w:rsid w:val="002362B4"/>
    <w:rsid w:val="002363FF"/>
    <w:rsid w:val="00236835"/>
    <w:rsid w:val="002368AA"/>
    <w:rsid w:val="00236A38"/>
    <w:rsid w:val="00236A75"/>
    <w:rsid w:val="00236B39"/>
    <w:rsid w:val="00236B7A"/>
    <w:rsid w:val="00236E53"/>
    <w:rsid w:val="00237E9C"/>
    <w:rsid w:val="00237F94"/>
    <w:rsid w:val="00240033"/>
    <w:rsid w:val="002403B9"/>
    <w:rsid w:val="002409EC"/>
    <w:rsid w:val="00240C6F"/>
    <w:rsid w:val="00240FA5"/>
    <w:rsid w:val="0024145C"/>
    <w:rsid w:val="0024158B"/>
    <w:rsid w:val="002415C4"/>
    <w:rsid w:val="00241851"/>
    <w:rsid w:val="00241AA4"/>
    <w:rsid w:val="00241AB0"/>
    <w:rsid w:val="00241B28"/>
    <w:rsid w:val="00241FE4"/>
    <w:rsid w:val="00242130"/>
    <w:rsid w:val="0024227F"/>
    <w:rsid w:val="00242307"/>
    <w:rsid w:val="00242508"/>
    <w:rsid w:val="0024284F"/>
    <w:rsid w:val="00242E1F"/>
    <w:rsid w:val="002430BC"/>
    <w:rsid w:val="0024316C"/>
    <w:rsid w:val="0024367A"/>
    <w:rsid w:val="00243C1E"/>
    <w:rsid w:val="00243D86"/>
    <w:rsid w:val="002442EA"/>
    <w:rsid w:val="0024486F"/>
    <w:rsid w:val="002448DA"/>
    <w:rsid w:val="00244A82"/>
    <w:rsid w:val="00244CE9"/>
    <w:rsid w:val="00244DB6"/>
    <w:rsid w:val="002451A7"/>
    <w:rsid w:val="00245273"/>
    <w:rsid w:val="0024538F"/>
    <w:rsid w:val="00245805"/>
    <w:rsid w:val="002458F4"/>
    <w:rsid w:val="00245911"/>
    <w:rsid w:val="00245C17"/>
    <w:rsid w:val="00245C39"/>
    <w:rsid w:val="00245F93"/>
    <w:rsid w:val="0024614C"/>
    <w:rsid w:val="00246336"/>
    <w:rsid w:val="002463F8"/>
    <w:rsid w:val="00246656"/>
    <w:rsid w:val="0024695D"/>
    <w:rsid w:val="00246C8A"/>
    <w:rsid w:val="00246E83"/>
    <w:rsid w:val="00246EBA"/>
    <w:rsid w:val="00246F70"/>
    <w:rsid w:val="00246FEC"/>
    <w:rsid w:val="002470EE"/>
    <w:rsid w:val="0024731F"/>
    <w:rsid w:val="00247513"/>
    <w:rsid w:val="0024761F"/>
    <w:rsid w:val="00247626"/>
    <w:rsid w:val="00247A34"/>
    <w:rsid w:val="00250006"/>
    <w:rsid w:val="00250038"/>
    <w:rsid w:val="002502E3"/>
    <w:rsid w:val="002503CC"/>
    <w:rsid w:val="002503D0"/>
    <w:rsid w:val="0025057D"/>
    <w:rsid w:val="002506DC"/>
    <w:rsid w:val="00250C26"/>
    <w:rsid w:val="00250F10"/>
    <w:rsid w:val="00251591"/>
    <w:rsid w:val="00251CA2"/>
    <w:rsid w:val="0025238C"/>
    <w:rsid w:val="0025261D"/>
    <w:rsid w:val="0025264E"/>
    <w:rsid w:val="002526E1"/>
    <w:rsid w:val="00252A31"/>
    <w:rsid w:val="00253170"/>
    <w:rsid w:val="0025348F"/>
    <w:rsid w:val="0025364C"/>
    <w:rsid w:val="00253701"/>
    <w:rsid w:val="0025388D"/>
    <w:rsid w:val="00253AF8"/>
    <w:rsid w:val="00253D0C"/>
    <w:rsid w:val="00253D95"/>
    <w:rsid w:val="0025463F"/>
    <w:rsid w:val="00254712"/>
    <w:rsid w:val="00254AFD"/>
    <w:rsid w:val="00254B3E"/>
    <w:rsid w:val="0025526B"/>
    <w:rsid w:val="002552A7"/>
    <w:rsid w:val="002552C7"/>
    <w:rsid w:val="00255616"/>
    <w:rsid w:val="002557F6"/>
    <w:rsid w:val="00255A07"/>
    <w:rsid w:val="00255C50"/>
    <w:rsid w:val="00255F44"/>
    <w:rsid w:val="00255F61"/>
    <w:rsid w:val="00255F91"/>
    <w:rsid w:val="002564BD"/>
    <w:rsid w:val="00256569"/>
    <w:rsid w:val="00256822"/>
    <w:rsid w:val="00256A1B"/>
    <w:rsid w:val="00256DCC"/>
    <w:rsid w:val="00257022"/>
    <w:rsid w:val="002570DA"/>
    <w:rsid w:val="0025715E"/>
    <w:rsid w:val="00257199"/>
    <w:rsid w:val="00257932"/>
    <w:rsid w:val="00257C57"/>
    <w:rsid w:val="00257F72"/>
    <w:rsid w:val="0026013E"/>
    <w:rsid w:val="00260566"/>
    <w:rsid w:val="002607BF"/>
    <w:rsid w:val="00260920"/>
    <w:rsid w:val="00260AF5"/>
    <w:rsid w:val="00260F52"/>
    <w:rsid w:val="0026115E"/>
    <w:rsid w:val="0026131B"/>
    <w:rsid w:val="0026139D"/>
    <w:rsid w:val="00261460"/>
    <w:rsid w:val="002614D4"/>
    <w:rsid w:val="0026166A"/>
    <w:rsid w:val="0026170E"/>
    <w:rsid w:val="00261877"/>
    <w:rsid w:val="00261BE3"/>
    <w:rsid w:val="00262092"/>
    <w:rsid w:val="002621E9"/>
    <w:rsid w:val="00262A19"/>
    <w:rsid w:val="00262CA2"/>
    <w:rsid w:val="00262DC0"/>
    <w:rsid w:val="00263061"/>
    <w:rsid w:val="00263224"/>
    <w:rsid w:val="002635BB"/>
    <w:rsid w:val="00263865"/>
    <w:rsid w:val="002639A0"/>
    <w:rsid w:val="002639D9"/>
    <w:rsid w:val="00263B73"/>
    <w:rsid w:val="00263D21"/>
    <w:rsid w:val="00263D58"/>
    <w:rsid w:val="00263E41"/>
    <w:rsid w:val="00263EC9"/>
    <w:rsid w:val="002648EA"/>
    <w:rsid w:val="00264A0C"/>
    <w:rsid w:val="00264B48"/>
    <w:rsid w:val="00264EE8"/>
    <w:rsid w:val="00264FBB"/>
    <w:rsid w:val="002652A9"/>
    <w:rsid w:val="0026551A"/>
    <w:rsid w:val="00265AE8"/>
    <w:rsid w:val="00265AEE"/>
    <w:rsid w:val="00265B18"/>
    <w:rsid w:val="00265C96"/>
    <w:rsid w:val="002660BE"/>
    <w:rsid w:val="00266328"/>
    <w:rsid w:val="00266473"/>
    <w:rsid w:val="00266789"/>
    <w:rsid w:val="00266998"/>
    <w:rsid w:val="00266A67"/>
    <w:rsid w:val="00266B5C"/>
    <w:rsid w:val="00267412"/>
    <w:rsid w:val="002674CF"/>
    <w:rsid w:val="002676BF"/>
    <w:rsid w:val="002677FB"/>
    <w:rsid w:val="00267911"/>
    <w:rsid w:val="002679A1"/>
    <w:rsid w:val="00267CD2"/>
    <w:rsid w:val="00267E33"/>
    <w:rsid w:val="00267EB4"/>
    <w:rsid w:val="00267F1A"/>
    <w:rsid w:val="00267F45"/>
    <w:rsid w:val="00270049"/>
    <w:rsid w:val="00270290"/>
    <w:rsid w:val="0027043F"/>
    <w:rsid w:val="0027047F"/>
    <w:rsid w:val="0027065B"/>
    <w:rsid w:val="002706B1"/>
    <w:rsid w:val="00270A1F"/>
    <w:rsid w:val="00270CFC"/>
    <w:rsid w:val="00271371"/>
    <w:rsid w:val="0027161D"/>
    <w:rsid w:val="00271700"/>
    <w:rsid w:val="00271870"/>
    <w:rsid w:val="00271B12"/>
    <w:rsid w:val="00271C4D"/>
    <w:rsid w:val="00271EF2"/>
    <w:rsid w:val="00271EF9"/>
    <w:rsid w:val="00271F85"/>
    <w:rsid w:val="0027218C"/>
    <w:rsid w:val="002722AB"/>
    <w:rsid w:val="00272399"/>
    <w:rsid w:val="0027257E"/>
    <w:rsid w:val="0027264A"/>
    <w:rsid w:val="002729D0"/>
    <w:rsid w:val="00272B08"/>
    <w:rsid w:val="00272C15"/>
    <w:rsid w:val="00272E29"/>
    <w:rsid w:val="00273101"/>
    <w:rsid w:val="0027322E"/>
    <w:rsid w:val="00273C79"/>
    <w:rsid w:val="00273CCC"/>
    <w:rsid w:val="00273F23"/>
    <w:rsid w:val="0027440B"/>
    <w:rsid w:val="00274424"/>
    <w:rsid w:val="00274EE2"/>
    <w:rsid w:val="00275182"/>
    <w:rsid w:val="002757EB"/>
    <w:rsid w:val="00275892"/>
    <w:rsid w:val="00275B8E"/>
    <w:rsid w:val="00275D6B"/>
    <w:rsid w:val="00276017"/>
    <w:rsid w:val="0027603B"/>
    <w:rsid w:val="0027650B"/>
    <w:rsid w:val="002765E7"/>
    <w:rsid w:val="00276766"/>
    <w:rsid w:val="00276849"/>
    <w:rsid w:val="00276CEA"/>
    <w:rsid w:val="00276CF2"/>
    <w:rsid w:val="002771D3"/>
    <w:rsid w:val="00277739"/>
    <w:rsid w:val="00277977"/>
    <w:rsid w:val="00277AFB"/>
    <w:rsid w:val="00277D50"/>
    <w:rsid w:val="00277EEA"/>
    <w:rsid w:val="00280080"/>
    <w:rsid w:val="002801F2"/>
    <w:rsid w:val="00280781"/>
    <w:rsid w:val="002807FA"/>
    <w:rsid w:val="00280985"/>
    <w:rsid w:val="00280A16"/>
    <w:rsid w:val="00280A74"/>
    <w:rsid w:val="00280D72"/>
    <w:rsid w:val="00280F32"/>
    <w:rsid w:val="00280FD5"/>
    <w:rsid w:val="002810E4"/>
    <w:rsid w:val="00281644"/>
    <w:rsid w:val="00281B01"/>
    <w:rsid w:val="00281BBB"/>
    <w:rsid w:val="00281F6E"/>
    <w:rsid w:val="0028209E"/>
    <w:rsid w:val="00282605"/>
    <w:rsid w:val="00282662"/>
    <w:rsid w:val="002828E8"/>
    <w:rsid w:val="00282D1D"/>
    <w:rsid w:val="00283537"/>
    <w:rsid w:val="002835FB"/>
    <w:rsid w:val="00283C85"/>
    <w:rsid w:val="00284009"/>
    <w:rsid w:val="00284235"/>
    <w:rsid w:val="0028434F"/>
    <w:rsid w:val="002846C9"/>
    <w:rsid w:val="00284724"/>
    <w:rsid w:val="00284845"/>
    <w:rsid w:val="002848C7"/>
    <w:rsid w:val="00284F85"/>
    <w:rsid w:val="00285006"/>
    <w:rsid w:val="00285089"/>
    <w:rsid w:val="00285253"/>
    <w:rsid w:val="00285873"/>
    <w:rsid w:val="002859A9"/>
    <w:rsid w:val="00285A2F"/>
    <w:rsid w:val="00285ED9"/>
    <w:rsid w:val="00286112"/>
    <w:rsid w:val="002863EE"/>
    <w:rsid w:val="002864A1"/>
    <w:rsid w:val="00286D02"/>
    <w:rsid w:val="00286DDD"/>
    <w:rsid w:val="00286EA2"/>
    <w:rsid w:val="0028724D"/>
    <w:rsid w:val="00287300"/>
    <w:rsid w:val="002874E1"/>
    <w:rsid w:val="0028795E"/>
    <w:rsid w:val="00287B7A"/>
    <w:rsid w:val="00287F38"/>
    <w:rsid w:val="00290014"/>
    <w:rsid w:val="00290B3B"/>
    <w:rsid w:val="00291207"/>
    <w:rsid w:val="00291214"/>
    <w:rsid w:val="00291346"/>
    <w:rsid w:val="0029174C"/>
    <w:rsid w:val="00291F68"/>
    <w:rsid w:val="00292075"/>
    <w:rsid w:val="00292163"/>
    <w:rsid w:val="00292747"/>
    <w:rsid w:val="002927BD"/>
    <w:rsid w:val="00292B04"/>
    <w:rsid w:val="00292B49"/>
    <w:rsid w:val="00292C10"/>
    <w:rsid w:val="00292CE5"/>
    <w:rsid w:val="00293206"/>
    <w:rsid w:val="002935B9"/>
    <w:rsid w:val="0029369B"/>
    <w:rsid w:val="0029370B"/>
    <w:rsid w:val="00293723"/>
    <w:rsid w:val="002937CF"/>
    <w:rsid w:val="00293B80"/>
    <w:rsid w:val="00293D6C"/>
    <w:rsid w:val="00293E0F"/>
    <w:rsid w:val="00294210"/>
    <w:rsid w:val="002948B2"/>
    <w:rsid w:val="002949EB"/>
    <w:rsid w:val="00294C66"/>
    <w:rsid w:val="00295077"/>
    <w:rsid w:val="00295301"/>
    <w:rsid w:val="002953FC"/>
    <w:rsid w:val="00295981"/>
    <w:rsid w:val="00295CB5"/>
    <w:rsid w:val="00295E19"/>
    <w:rsid w:val="00295ED1"/>
    <w:rsid w:val="00295F02"/>
    <w:rsid w:val="002965EF"/>
    <w:rsid w:val="0029663B"/>
    <w:rsid w:val="00296687"/>
    <w:rsid w:val="00296925"/>
    <w:rsid w:val="002970BF"/>
    <w:rsid w:val="002972F3"/>
    <w:rsid w:val="00297430"/>
    <w:rsid w:val="00297B5E"/>
    <w:rsid w:val="00297C38"/>
    <w:rsid w:val="00297C92"/>
    <w:rsid w:val="00297CAA"/>
    <w:rsid w:val="00297D96"/>
    <w:rsid w:val="00297EAD"/>
    <w:rsid w:val="00297FE6"/>
    <w:rsid w:val="002A046C"/>
    <w:rsid w:val="002A06B2"/>
    <w:rsid w:val="002A06F1"/>
    <w:rsid w:val="002A07ED"/>
    <w:rsid w:val="002A0845"/>
    <w:rsid w:val="002A0BCD"/>
    <w:rsid w:val="002A0C33"/>
    <w:rsid w:val="002A0C3F"/>
    <w:rsid w:val="002A0EF5"/>
    <w:rsid w:val="002A1249"/>
    <w:rsid w:val="002A1274"/>
    <w:rsid w:val="002A132C"/>
    <w:rsid w:val="002A1A58"/>
    <w:rsid w:val="002A1ACE"/>
    <w:rsid w:val="002A1B9B"/>
    <w:rsid w:val="002A1CBF"/>
    <w:rsid w:val="002A21CD"/>
    <w:rsid w:val="002A24BE"/>
    <w:rsid w:val="002A2638"/>
    <w:rsid w:val="002A27FF"/>
    <w:rsid w:val="002A280C"/>
    <w:rsid w:val="002A2B15"/>
    <w:rsid w:val="002A2ECC"/>
    <w:rsid w:val="002A2F4B"/>
    <w:rsid w:val="002A3365"/>
    <w:rsid w:val="002A3380"/>
    <w:rsid w:val="002A3547"/>
    <w:rsid w:val="002A38EA"/>
    <w:rsid w:val="002A39A9"/>
    <w:rsid w:val="002A3CFD"/>
    <w:rsid w:val="002A3FBD"/>
    <w:rsid w:val="002A4592"/>
    <w:rsid w:val="002A46C8"/>
    <w:rsid w:val="002A4715"/>
    <w:rsid w:val="002A4B22"/>
    <w:rsid w:val="002A4B74"/>
    <w:rsid w:val="002A4DF3"/>
    <w:rsid w:val="002A4E13"/>
    <w:rsid w:val="002A51AB"/>
    <w:rsid w:val="002A5985"/>
    <w:rsid w:val="002A599B"/>
    <w:rsid w:val="002A5AF8"/>
    <w:rsid w:val="002A5E01"/>
    <w:rsid w:val="002A5EBC"/>
    <w:rsid w:val="002A5EC6"/>
    <w:rsid w:val="002A5F1A"/>
    <w:rsid w:val="002A6120"/>
    <w:rsid w:val="002A63D7"/>
    <w:rsid w:val="002A64C6"/>
    <w:rsid w:val="002A6762"/>
    <w:rsid w:val="002A690A"/>
    <w:rsid w:val="002A6CA6"/>
    <w:rsid w:val="002A711D"/>
    <w:rsid w:val="002A73B2"/>
    <w:rsid w:val="002A767B"/>
    <w:rsid w:val="002A7912"/>
    <w:rsid w:val="002A793A"/>
    <w:rsid w:val="002A7FDB"/>
    <w:rsid w:val="002B074E"/>
    <w:rsid w:val="002B0B5A"/>
    <w:rsid w:val="002B0B68"/>
    <w:rsid w:val="002B0CE5"/>
    <w:rsid w:val="002B0D90"/>
    <w:rsid w:val="002B0F7F"/>
    <w:rsid w:val="002B1100"/>
    <w:rsid w:val="002B12FD"/>
    <w:rsid w:val="002B1397"/>
    <w:rsid w:val="002B156F"/>
    <w:rsid w:val="002B17D6"/>
    <w:rsid w:val="002B1A27"/>
    <w:rsid w:val="002B1DAF"/>
    <w:rsid w:val="002B1DD8"/>
    <w:rsid w:val="002B1F6E"/>
    <w:rsid w:val="002B1F75"/>
    <w:rsid w:val="002B2204"/>
    <w:rsid w:val="002B2347"/>
    <w:rsid w:val="002B23F8"/>
    <w:rsid w:val="002B2492"/>
    <w:rsid w:val="002B2823"/>
    <w:rsid w:val="002B2946"/>
    <w:rsid w:val="002B2DCB"/>
    <w:rsid w:val="002B2F63"/>
    <w:rsid w:val="002B340A"/>
    <w:rsid w:val="002B3438"/>
    <w:rsid w:val="002B34F2"/>
    <w:rsid w:val="002B3659"/>
    <w:rsid w:val="002B371E"/>
    <w:rsid w:val="002B375A"/>
    <w:rsid w:val="002B38E6"/>
    <w:rsid w:val="002B3AA7"/>
    <w:rsid w:val="002B3AC5"/>
    <w:rsid w:val="002B400B"/>
    <w:rsid w:val="002B4398"/>
    <w:rsid w:val="002B49CC"/>
    <w:rsid w:val="002B49FE"/>
    <w:rsid w:val="002B4A75"/>
    <w:rsid w:val="002B4A8B"/>
    <w:rsid w:val="002B4CE9"/>
    <w:rsid w:val="002B504F"/>
    <w:rsid w:val="002B57CB"/>
    <w:rsid w:val="002B5C25"/>
    <w:rsid w:val="002B5DCD"/>
    <w:rsid w:val="002B601A"/>
    <w:rsid w:val="002B609F"/>
    <w:rsid w:val="002B66B4"/>
    <w:rsid w:val="002B6864"/>
    <w:rsid w:val="002B687D"/>
    <w:rsid w:val="002B688F"/>
    <w:rsid w:val="002B690C"/>
    <w:rsid w:val="002B6AE5"/>
    <w:rsid w:val="002B7188"/>
    <w:rsid w:val="002B7248"/>
    <w:rsid w:val="002B7265"/>
    <w:rsid w:val="002B726C"/>
    <w:rsid w:val="002B760E"/>
    <w:rsid w:val="002B7DD3"/>
    <w:rsid w:val="002B7DEC"/>
    <w:rsid w:val="002B7F30"/>
    <w:rsid w:val="002C0164"/>
    <w:rsid w:val="002C0284"/>
    <w:rsid w:val="002C0357"/>
    <w:rsid w:val="002C06E0"/>
    <w:rsid w:val="002C0808"/>
    <w:rsid w:val="002C16B2"/>
    <w:rsid w:val="002C170F"/>
    <w:rsid w:val="002C17A3"/>
    <w:rsid w:val="002C187A"/>
    <w:rsid w:val="002C19A6"/>
    <w:rsid w:val="002C1A1B"/>
    <w:rsid w:val="002C1C79"/>
    <w:rsid w:val="002C1CD2"/>
    <w:rsid w:val="002C2120"/>
    <w:rsid w:val="002C2208"/>
    <w:rsid w:val="002C2401"/>
    <w:rsid w:val="002C2521"/>
    <w:rsid w:val="002C2591"/>
    <w:rsid w:val="002C25D1"/>
    <w:rsid w:val="002C2666"/>
    <w:rsid w:val="002C2901"/>
    <w:rsid w:val="002C2C9E"/>
    <w:rsid w:val="002C2D3C"/>
    <w:rsid w:val="002C2ED6"/>
    <w:rsid w:val="002C36B0"/>
    <w:rsid w:val="002C3892"/>
    <w:rsid w:val="002C38F3"/>
    <w:rsid w:val="002C3CD4"/>
    <w:rsid w:val="002C4117"/>
    <w:rsid w:val="002C4204"/>
    <w:rsid w:val="002C42CC"/>
    <w:rsid w:val="002C42FB"/>
    <w:rsid w:val="002C50C8"/>
    <w:rsid w:val="002C51CD"/>
    <w:rsid w:val="002C55B2"/>
    <w:rsid w:val="002C590A"/>
    <w:rsid w:val="002C591E"/>
    <w:rsid w:val="002C5932"/>
    <w:rsid w:val="002C5CE6"/>
    <w:rsid w:val="002C5F5C"/>
    <w:rsid w:val="002C6069"/>
    <w:rsid w:val="002C6458"/>
    <w:rsid w:val="002C66CD"/>
    <w:rsid w:val="002C6711"/>
    <w:rsid w:val="002C6B56"/>
    <w:rsid w:val="002C6E2A"/>
    <w:rsid w:val="002C6E64"/>
    <w:rsid w:val="002C6F64"/>
    <w:rsid w:val="002C7125"/>
    <w:rsid w:val="002C7280"/>
    <w:rsid w:val="002C747B"/>
    <w:rsid w:val="002C7756"/>
    <w:rsid w:val="002C7BA3"/>
    <w:rsid w:val="002C7E8F"/>
    <w:rsid w:val="002C7E9A"/>
    <w:rsid w:val="002D00EA"/>
    <w:rsid w:val="002D01EC"/>
    <w:rsid w:val="002D0230"/>
    <w:rsid w:val="002D06B2"/>
    <w:rsid w:val="002D0770"/>
    <w:rsid w:val="002D0993"/>
    <w:rsid w:val="002D0C0D"/>
    <w:rsid w:val="002D0D4D"/>
    <w:rsid w:val="002D0EB8"/>
    <w:rsid w:val="002D0F09"/>
    <w:rsid w:val="002D12E9"/>
    <w:rsid w:val="002D139B"/>
    <w:rsid w:val="002D1618"/>
    <w:rsid w:val="002D1654"/>
    <w:rsid w:val="002D171D"/>
    <w:rsid w:val="002D1874"/>
    <w:rsid w:val="002D1974"/>
    <w:rsid w:val="002D19CA"/>
    <w:rsid w:val="002D1A11"/>
    <w:rsid w:val="002D1A9A"/>
    <w:rsid w:val="002D1AD5"/>
    <w:rsid w:val="002D1AEA"/>
    <w:rsid w:val="002D1B04"/>
    <w:rsid w:val="002D26E6"/>
    <w:rsid w:val="002D2703"/>
    <w:rsid w:val="002D2847"/>
    <w:rsid w:val="002D292E"/>
    <w:rsid w:val="002D2CB6"/>
    <w:rsid w:val="002D2CE5"/>
    <w:rsid w:val="002D2E09"/>
    <w:rsid w:val="002D2FBE"/>
    <w:rsid w:val="002D3146"/>
    <w:rsid w:val="002D32AF"/>
    <w:rsid w:val="002D32E8"/>
    <w:rsid w:val="002D3633"/>
    <w:rsid w:val="002D377B"/>
    <w:rsid w:val="002D3B07"/>
    <w:rsid w:val="002D3BB9"/>
    <w:rsid w:val="002D3D56"/>
    <w:rsid w:val="002D3DAB"/>
    <w:rsid w:val="002D3DE4"/>
    <w:rsid w:val="002D41A4"/>
    <w:rsid w:val="002D442D"/>
    <w:rsid w:val="002D4750"/>
    <w:rsid w:val="002D47FD"/>
    <w:rsid w:val="002D484D"/>
    <w:rsid w:val="002D4A4B"/>
    <w:rsid w:val="002D5208"/>
    <w:rsid w:val="002D5301"/>
    <w:rsid w:val="002D586C"/>
    <w:rsid w:val="002D5A42"/>
    <w:rsid w:val="002D5A61"/>
    <w:rsid w:val="002D5BD5"/>
    <w:rsid w:val="002D5C2E"/>
    <w:rsid w:val="002D5F29"/>
    <w:rsid w:val="002D6022"/>
    <w:rsid w:val="002D6284"/>
    <w:rsid w:val="002D6295"/>
    <w:rsid w:val="002D6591"/>
    <w:rsid w:val="002D6B78"/>
    <w:rsid w:val="002D6E3C"/>
    <w:rsid w:val="002D6E79"/>
    <w:rsid w:val="002D6EE8"/>
    <w:rsid w:val="002D6F9C"/>
    <w:rsid w:val="002D7413"/>
    <w:rsid w:val="002D7719"/>
    <w:rsid w:val="002D775B"/>
    <w:rsid w:val="002D7CC4"/>
    <w:rsid w:val="002E00C0"/>
    <w:rsid w:val="002E01C6"/>
    <w:rsid w:val="002E02A2"/>
    <w:rsid w:val="002E070F"/>
    <w:rsid w:val="002E0C25"/>
    <w:rsid w:val="002E0D74"/>
    <w:rsid w:val="002E0D8B"/>
    <w:rsid w:val="002E0EB3"/>
    <w:rsid w:val="002E0ED1"/>
    <w:rsid w:val="002E0FEA"/>
    <w:rsid w:val="002E13BC"/>
    <w:rsid w:val="002E13E9"/>
    <w:rsid w:val="002E16B2"/>
    <w:rsid w:val="002E188B"/>
    <w:rsid w:val="002E1C2A"/>
    <w:rsid w:val="002E1CBD"/>
    <w:rsid w:val="002E2A43"/>
    <w:rsid w:val="002E2D78"/>
    <w:rsid w:val="002E2E8F"/>
    <w:rsid w:val="002E322B"/>
    <w:rsid w:val="002E36D8"/>
    <w:rsid w:val="002E38BF"/>
    <w:rsid w:val="002E393D"/>
    <w:rsid w:val="002E3BBD"/>
    <w:rsid w:val="002E4171"/>
    <w:rsid w:val="002E4185"/>
    <w:rsid w:val="002E41A7"/>
    <w:rsid w:val="002E41CE"/>
    <w:rsid w:val="002E4235"/>
    <w:rsid w:val="002E4262"/>
    <w:rsid w:val="002E4357"/>
    <w:rsid w:val="002E46A9"/>
    <w:rsid w:val="002E4CF6"/>
    <w:rsid w:val="002E4D2E"/>
    <w:rsid w:val="002E4F71"/>
    <w:rsid w:val="002E505B"/>
    <w:rsid w:val="002E5071"/>
    <w:rsid w:val="002E5238"/>
    <w:rsid w:val="002E52E3"/>
    <w:rsid w:val="002E54A6"/>
    <w:rsid w:val="002E5591"/>
    <w:rsid w:val="002E59C5"/>
    <w:rsid w:val="002E59DF"/>
    <w:rsid w:val="002E5ACC"/>
    <w:rsid w:val="002E5B61"/>
    <w:rsid w:val="002E5BA2"/>
    <w:rsid w:val="002E5FA4"/>
    <w:rsid w:val="002E6001"/>
    <w:rsid w:val="002E66EC"/>
    <w:rsid w:val="002E6BE3"/>
    <w:rsid w:val="002E7189"/>
    <w:rsid w:val="002E7329"/>
    <w:rsid w:val="002E7604"/>
    <w:rsid w:val="002E781B"/>
    <w:rsid w:val="002E799B"/>
    <w:rsid w:val="002E7A45"/>
    <w:rsid w:val="002E7CD1"/>
    <w:rsid w:val="002E7E44"/>
    <w:rsid w:val="002E7ED1"/>
    <w:rsid w:val="002E7F31"/>
    <w:rsid w:val="002E7F4C"/>
    <w:rsid w:val="002F0154"/>
    <w:rsid w:val="002F01D1"/>
    <w:rsid w:val="002F0263"/>
    <w:rsid w:val="002F0278"/>
    <w:rsid w:val="002F03C1"/>
    <w:rsid w:val="002F087C"/>
    <w:rsid w:val="002F0A69"/>
    <w:rsid w:val="002F0AF5"/>
    <w:rsid w:val="002F0BEF"/>
    <w:rsid w:val="002F12CE"/>
    <w:rsid w:val="002F14DA"/>
    <w:rsid w:val="002F186E"/>
    <w:rsid w:val="002F1BE0"/>
    <w:rsid w:val="002F1CBB"/>
    <w:rsid w:val="002F1D5F"/>
    <w:rsid w:val="002F1D88"/>
    <w:rsid w:val="002F1D94"/>
    <w:rsid w:val="002F1DF5"/>
    <w:rsid w:val="002F1E53"/>
    <w:rsid w:val="002F2090"/>
    <w:rsid w:val="002F2754"/>
    <w:rsid w:val="002F282D"/>
    <w:rsid w:val="002F2E5D"/>
    <w:rsid w:val="002F2E89"/>
    <w:rsid w:val="002F320E"/>
    <w:rsid w:val="002F3331"/>
    <w:rsid w:val="002F3478"/>
    <w:rsid w:val="002F3556"/>
    <w:rsid w:val="002F35AF"/>
    <w:rsid w:val="002F38AA"/>
    <w:rsid w:val="002F3F2D"/>
    <w:rsid w:val="002F4366"/>
    <w:rsid w:val="002F47A5"/>
    <w:rsid w:val="002F5347"/>
    <w:rsid w:val="002F53A0"/>
    <w:rsid w:val="002F53D8"/>
    <w:rsid w:val="002F5408"/>
    <w:rsid w:val="002F5624"/>
    <w:rsid w:val="002F5774"/>
    <w:rsid w:val="002F5779"/>
    <w:rsid w:val="002F577A"/>
    <w:rsid w:val="002F58A8"/>
    <w:rsid w:val="002F5AAA"/>
    <w:rsid w:val="002F5AE3"/>
    <w:rsid w:val="002F5D85"/>
    <w:rsid w:val="002F612A"/>
    <w:rsid w:val="002F61AF"/>
    <w:rsid w:val="002F6254"/>
    <w:rsid w:val="002F63C2"/>
    <w:rsid w:val="002F666C"/>
    <w:rsid w:val="002F67F9"/>
    <w:rsid w:val="002F6B8A"/>
    <w:rsid w:val="002F6BC6"/>
    <w:rsid w:val="002F6BEC"/>
    <w:rsid w:val="002F704E"/>
    <w:rsid w:val="002F7500"/>
    <w:rsid w:val="002F75B5"/>
    <w:rsid w:val="002F76F7"/>
    <w:rsid w:val="002F7A25"/>
    <w:rsid w:val="003000BB"/>
    <w:rsid w:val="00300270"/>
    <w:rsid w:val="003004C4"/>
    <w:rsid w:val="00300591"/>
    <w:rsid w:val="003006C9"/>
    <w:rsid w:val="00300743"/>
    <w:rsid w:val="0030079F"/>
    <w:rsid w:val="003007BA"/>
    <w:rsid w:val="00300C94"/>
    <w:rsid w:val="00300E83"/>
    <w:rsid w:val="003010E5"/>
    <w:rsid w:val="00301507"/>
    <w:rsid w:val="0030161A"/>
    <w:rsid w:val="00301FE3"/>
    <w:rsid w:val="003020E8"/>
    <w:rsid w:val="0030258E"/>
    <w:rsid w:val="003025F4"/>
    <w:rsid w:val="003025F6"/>
    <w:rsid w:val="00302621"/>
    <w:rsid w:val="00302D9D"/>
    <w:rsid w:val="00302DA2"/>
    <w:rsid w:val="00302F91"/>
    <w:rsid w:val="00303877"/>
    <w:rsid w:val="00303AF3"/>
    <w:rsid w:val="0030441E"/>
    <w:rsid w:val="003046E5"/>
    <w:rsid w:val="0030475D"/>
    <w:rsid w:val="0030478B"/>
    <w:rsid w:val="00305178"/>
    <w:rsid w:val="00305184"/>
    <w:rsid w:val="00305560"/>
    <w:rsid w:val="003059E1"/>
    <w:rsid w:val="00305A63"/>
    <w:rsid w:val="00305B9C"/>
    <w:rsid w:val="003061E0"/>
    <w:rsid w:val="003063C0"/>
    <w:rsid w:val="003063C7"/>
    <w:rsid w:val="003063D1"/>
    <w:rsid w:val="003064F0"/>
    <w:rsid w:val="003065CC"/>
    <w:rsid w:val="00306916"/>
    <w:rsid w:val="00306BC7"/>
    <w:rsid w:val="00306D04"/>
    <w:rsid w:val="00306E2C"/>
    <w:rsid w:val="00306E7D"/>
    <w:rsid w:val="003071DA"/>
    <w:rsid w:val="0030753E"/>
    <w:rsid w:val="0030788A"/>
    <w:rsid w:val="00307B48"/>
    <w:rsid w:val="00307BC6"/>
    <w:rsid w:val="00307D22"/>
    <w:rsid w:val="00307E89"/>
    <w:rsid w:val="00310249"/>
    <w:rsid w:val="00310736"/>
    <w:rsid w:val="00310D7B"/>
    <w:rsid w:val="00311110"/>
    <w:rsid w:val="0031140C"/>
    <w:rsid w:val="0031160E"/>
    <w:rsid w:val="00311684"/>
    <w:rsid w:val="00311719"/>
    <w:rsid w:val="00311823"/>
    <w:rsid w:val="00311E84"/>
    <w:rsid w:val="0031239C"/>
    <w:rsid w:val="00312648"/>
    <w:rsid w:val="00312FDB"/>
    <w:rsid w:val="00313279"/>
    <w:rsid w:val="003133A7"/>
    <w:rsid w:val="0031342A"/>
    <w:rsid w:val="00313664"/>
    <w:rsid w:val="003137A4"/>
    <w:rsid w:val="0031398E"/>
    <w:rsid w:val="00313AA2"/>
    <w:rsid w:val="00313C58"/>
    <w:rsid w:val="00313EA1"/>
    <w:rsid w:val="0031401B"/>
    <w:rsid w:val="003155B6"/>
    <w:rsid w:val="0031599C"/>
    <w:rsid w:val="0031637C"/>
    <w:rsid w:val="003165FC"/>
    <w:rsid w:val="0031687B"/>
    <w:rsid w:val="003169BE"/>
    <w:rsid w:val="003169E6"/>
    <w:rsid w:val="003171CB"/>
    <w:rsid w:val="00317233"/>
    <w:rsid w:val="0031726F"/>
    <w:rsid w:val="00317335"/>
    <w:rsid w:val="003174E9"/>
    <w:rsid w:val="003175E4"/>
    <w:rsid w:val="003178AC"/>
    <w:rsid w:val="00317F1C"/>
    <w:rsid w:val="00320118"/>
    <w:rsid w:val="00320233"/>
    <w:rsid w:val="003202D0"/>
    <w:rsid w:val="003204E5"/>
    <w:rsid w:val="00320A91"/>
    <w:rsid w:val="00320F43"/>
    <w:rsid w:val="003216CA"/>
    <w:rsid w:val="00321759"/>
    <w:rsid w:val="003218B2"/>
    <w:rsid w:val="003218E0"/>
    <w:rsid w:val="0032199F"/>
    <w:rsid w:val="00321A4A"/>
    <w:rsid w:val="00321C98"/>
    <w:rsid w:val="003221D0"/>
    <w:rsid w:val="00322232"/>
    <w:rsid w:val="0032237E"/>
    <w:rsid w:val="00322616"/>
    <w:rsid w:val="00322A43"/>
    <w:rsid w:val="00322CB1"/>
    <w:rsid w:val="003230E5"/>
    <w:rsid w:val="003231B3"/>
    <w:rsid w:val="00323252"/>
    <w:rsid w:val="00323299"/>
    <w:rsid w:val="0032336D"/>
    <w:rsid w:val="003233DB"/>
    <w:rsid w:val="003233DF"/>
    <w:rsid w:val="00323620"/>
    <w:rsid w:val="00323704"/>
    <w:rsid w:val="0032380D"/>
    <w:rsid w:val="003239A8"/>
    <w:rsid w:val="003241F6"/>
    <w:rsid w:val="0032434D"/>
    <w:rsid w:val="00324424"/>
    <w:rsid w:val="003246A6"/>
    <w:rsid w:val="003246EE"/>
    <w:rsid w:val="00324730"/>
    <w:rsid w:val="0032496A"/>
    <w:rsid w:val="00324B29"/>
    <w:rsid w:val="00324D81"/>
    <w:rsid w:val="00324F81"/>
    <w:rsid w:val="003253A0"/>
    <w:rsid w:val="00325424"/>
    <w:rsid w:val="0032553A"/>
    <w:rsid w:val="00325AED"/>
    <w:rsid w:val="003260B4"/>
    <w:rsid w:val="00326146"/>
    <w:rsid w:val="003262C5"/>
    <w:rsid w:val="00326494"/>
    <w:rsid w:val="0032675F"/>
    <w:rsid w:val="003268AC"/>
    <w:rsid w:val="00326B29"/>
    <w:rsid w:val="00326C3A"/>
    <w:rsid w:val="0032704F"/>
    <w:rsid w:val="0032752B"/>
    <w:rsid w:val="00327751"/>
    <w:rsid w:val="003277D6"/>
    <w:rsid w:val="003278B7"/>
    <w:rsid w:val="00327A85"/>
    <w:rsid w:val="00327B36"/>
    <w:rsid w:val="00327BE8"/>
    <w:rsid w:val="00327D17"/>
    <w:rsid w:val="00327E8F"/>
    <w:rsid w:val="00330051"/>
    <w:rsid w:val="0033013A"/>
    <w:rsid w:val="00330463"/>
    <w:rsid w:val="0033086D"/>
    <w:rsid w:val="003308CC"/>
    <w:rsid w:val="0033096C"/>
    <w:rsid w:val="00330B78"/>
    <w:rsid w:val="00330B92"/>
    <w:rsid w:val="00330DB4"/>
    <w:rsid w:val="00331246"/>
    <w:rsid w:val="00331382"/>
    <w:rsid w:val="0033169A"/>
    <w:rsid w:val="003317C9"/>
    <w:rsid w:val="0033181B"/>
    <w:rsid w:val="00331AF0"/>
    <w:rsid w:val="00331CF5"/>
    <w:rsid w:val="00332075"/>
    <w:rsid w:val="00332484"/>
    <w:rsid w:val="0033254C"/>
    <w:rsid w:val="003325FB"/>
    <w:rsid w:val="003326C1"/>
    <w:rsid w:val="0033283B"/>
    <w:rsid w:val="00332A25"/>
    <w:rsid w:val="00332B82"/>
    <w:rsid w:val="00332F8A"/>
    <w:rsid w:val="00333B57"/>
    <w:rsid w:val="00333E65"/>
    <w:rsid w:val="00333FCE"/>
    <w:rsid w:val="00334B80"/>
    <w:rsid w:val="00334E97"/>
    <w:rsid w:val="00334F5F"/>
    <w:rsid w:val="003350CA"/>
    <w:rsid w:val="003353CA"/>
    <w:rsid w:val="003354A5"/>
    <w:rsid w:val="00335681"/>
    <w:rsid w:val="003358ED"/>
    <w:rsid w:val="00335AE3"/>
    <w:rsid w:val="00335B36"/>
    <w:rsid w:val="00335D17"/>
    <w:rsid w:val="00335FCC"/>
    <w:rsid w:val="00336031"/>
    <w:rsid w:val="003360DC"/>
    <w:rsid w:val="0033629A"/>
    <w:rsid w:val="0033673A"/>
    <w:rsid w:val="00336BCE"/>
    <w:rsid w:val="00336D4B"/>
    <w:rsid w:val="00336DFC"/>
    <w:rsid w:val="00336FED"/>
    <w:rsid w:val="003370A8"/>
    <w:rsid w:val="00337377"/>
    <w:rsid w:val="00337E9A"/>
    <w:rsid w:val="00337EB4"/>
    <w:rsid w:val="00337FE1"/>
    <w:rsid w:val="00340284"/>
    <w:rsid w:val="0034068B"/>
    <w:rsid w:val="003406BC"/>
    <w:rsid w:val="0034080E"/>
    <w:rsid w:val="00340EB1"/>
    <w:rsid w:val="0034100C"/>
    <w:rsid w:val="003411F0"/>
    <w:rsid w:val="0034162F"/>
    <w:rsid w:val="00341833"/>
    <w:rsid w:val="00341AD3"/>
    <w:rsid w:val="00341AD8"/>
    <w:rsid w:val="00341D1A"/>
    <w:rsid w:val="00341E25"/>
    <w:rsid w:val="00341FCE"/>
    <w:rsid w:val="00342644"/>
    <w:rsid w:val="00342F10"/>
    <w:rsid w:val="003435FB"/>
    <w:rsid w:val="00343EE5"/>
    <w:rsid w:val="00343F7D"/>
    <w:rsid w:val="00343F93"/>
    <w:rsid w:val="003441D4"/>
    <w:rsid w:val="00344337"/>
    <w:rsid w:val="0034471E"/>
    <w:rsid w:val="003447DA"/>
    <w:rsid w:val="003448FE"/>
    <w:rsid w:val="00344BBB"/>
    <w:rsid w:val="00344DA7"/>
    <w:rsid w:val="00344FE2"/>
    <w:rsid w:val="00345210"/>
    <w:rsid w:val="003452CF"/>
    <w:rsid w:val="003453EB"/>
    <w:rsid w:val="0034563B"/>
    <w:rsid w:val="003456F4"/>
    <w:rsid w:val="0034595C"/>
    <w:rsid w:val="003461F9"/>
    <w:rsid w:val="003463C0"/>
    <w:rsid w:val="00346C46"/>
    <w:rsid w:val="00346DAB"/>
    <w:rsid w:val="00346F6D"/>
    <w:rsid w:val="00346F78"/>
    <w:rsid w:val="0034714D"/>
    <w:rsid w:val="003473FB"/>
    <w:rsid w:val="003474E8"/>
    <w:rsid w:val="0034766B"/>
    <w:rsid w:val="00347689"/>
    <w:rsid w:val="003476CC"/>
    <w:rsid w:val="0034782A"/>
    <w:rsid w:val="00347952"/>
    <w:rsid w:val="003479A6"/>
    <w:rsid w:val="003479D2"/>
    <w:rsid w:val="00347F4E"/>
    <w:rsid w:val="00347F93"/>
    <w:rsid w:val="0035013A"/>
    <w:rsid w:val="00350556"/>
    <w:rsid w:val="00350A00"/>
    <w:rsid w:val="00350B4A"/>
    <w:rsid w:val="00350FCD"/>
    <w:rsid w:val="0035135B"/>
    <w:rsid w:val="00351852"/>
    <w:rsid w:val="003519CC"/>
    <w:rsid w:val="00351B2D"/>
    <w:rsid w:val="00351E53"/>
    <w:rsid w:val="00352252"/>
    <w:rsid w:val="00352421"/>
    <w:rsid w:val="003524C9"/>
    <w:rsid w:val="00352615"/>
    <w:rsid w:val="003526B8"/>
    <w:rsid w:val="003526D0"/>
    <w:rsid w:val="003527AE"/>
    <w:rsid w:val="00352B22"/>
    <w:rsid w:val="00352B2F"/>
    <w:rsid w:val="00352E4F"/>
    <w:rsid w:val="00353331"/>
    <w:rsid w:val="0035334D"/>
    <w:rsid w:val="00353657"/>
    <w:rsid w:val="003536E7"/>
    <w:rsid w:val="00353721"/>
    <w:rsid w:val="00353DB0"/>
    <w:rsid w:val="00353F27"/>
    <w:rsid w:val="00354468"/>
    <w:rsid w:val="00354492"/>
    <w:rsid w:val="003545D7"/>
    <w:rsid w:val="00354677"/>
    <w:rsid w:val="003546B7"/>
    <w:rsid w:val="003546DB"/>
    <w:rsid w:val="00354C44"/>
    <w:rsid w:val="00354D68"/>
    <w:rsid w:val="00354EB5"/>
    <w:rsid w:val="00354FA9"/>
    <w:rsid w:val="00355253"/>
    <w:rsid w:val="00355402"/>
    <w:rsid w:val="0035580A"/>
    <w:rsid w:val="00355927"/>
    <w:rsid w:val="00355A78"/>
    <w:rsid w:val="00355B99"/>
    <w:rsid w:val="00355DFB"/>
    <w:rsid w:val="0035617E"/>
    <w:rsid w:val="00356236"/>
    <w:rsid w:val="003563B7"/>
    <w:rsid w:val="00356908"/>
    <w:rsid w:val="00356A72"/>
    <w:rsid w:val="00356C77"/>
    <w:rsid w:val="00356D1F"/>
    <w:rsid w:val="00356D45"/>
    <w:rsid w:val="00356DFE"/>
    <w:rsid w:val="00356F0D"/>
    <w:rsid w:val="0035704F"/>
    <w:rsid w:val="00357095"/>
    <w:rsid w:val="00357278"/>
    <w:rsid w:val="003573ED"/>
    <w:rsid w:val="003573F3"/>
    <w:rsid w:val="003574D3"/>
    <w:rsid w:val="003575E3"/>
    <w:rsid w:val="0035774D"/>
    <w:rsid w:val="0035795B"/>
    <w:rsid w:val="00357BA7"/>
    <w:rsid w:val="00357D63"/>
    <w:rsid w:val="00357EBA"/>
    <w:rsid w:val="00360185"/>
    <w:rsid w:val="00360911"/>
    <w:rsid w:val="00360BC3"/>
    <w:rsid w:val="00360C15"/>
    <w:rsid w:val="00360C2D"/>
    <w:rsid w:val="00360C8F"/>
    <w:rsid w:val="00360E57"/>
    <w:rsid w:val="003612B0"/>
    <w:rsid w:val="003614C0"/>
    <w:rsid w:val="00361570"/>
    <w:rsid w:val="003616AF"/>
    <w:rsid w:val="003616F2"/>
    <w:rsid w:val="00361F42"/>
    <w:rsid w:val="00361F83"/>
    <w:rsid w:val="00362876"/>
    <w:rsid w:val="00362B12"/>
    <w:rsid w:val="00362BAA"/>
    <w:rsid w:val="00362C4A"/>
    <w:rsid w:val="00362CE9"/>
    <w:rsid w:val="00362EE3"/>
    <w:rsid w:val="00363290"/>
    <w:rsid w:val="0036330E"/>
    <w:rsid w:val="00363675"/>
    <w:rsid w:val="00363AC0"/>
    <w:rsid w:val="003640F6"/>
    <w:rsid w:val="003641B1"/>
    <w:rsid w:val="00364270"/>
    <w:rsid w:val="003643FC"/>
    <w:rsid w:val="00364437"/>
    <w:rsid w:val="003644FE"/>
    <w:rsid w:val="00364865"/>
    <w:rsid w:val="00364D42"/>
    <w:rsid w:val="00365246"/>
    <w:rsid w:val="003653E0"/>
    <w:rsid w:val="003654D3"/>
    <w:rsid w:val="00365522"/>
    <w:rsid w:val="0036553B"/>
    <w:rsid w:val="003657B7"/>
    <w:rsid w:val="003657D7"/>
    <w:rsid w:val="0036609F"/>
    <w:rsid w:val="00366352"/>
    <w:rsid w:val="00366581"/>
    <w:rsid w:val="003668DC"/>
    <w:rsid w:val="003668EB"/>
    <w:rsid w:val="00367181"/>
    <w:rsid w:val="003671EA"/>
    <w:rsid w:val="003671FC"/>
    <w:rsid w:val="0036727D"/>
    <w:rsid w:val="00367348"/>
    <w:rsid w:val="003673DB"/>
    <w:rsid w:val="003674A3"/>
    <w:rsid w:val="003675C2"/>
    <w:rsid w:val="003676C6"/>
    <w:rsid w:val="00367849"/>
    <w:rsid w:val="00367A89"/>
    <w:rsid w:val="003702BF"/>
    <w:rsid w:val="003711E7"/>
    <w:rsid w:val="00371945"/>
    <w:rsid w:val="00371AA5"/>
    <w:rsid w:val="00371B94"/>
    <w:rsid w:val="00371E19"/>
    <w:rsid w:val="00372226"/>
    <w:rsid w:val="003722A4"/>
    <w:rsid w:val="00372395"/>
    <w:rsid w:val="00372640"/>
    <w:rsid w:val="003727BA"/>
    <w:rsid w:val="00372D1C"/>
    <w:rsid w:val="00372E57"/>
    <w:rsid w:val="00372FD6"/>
    <w:rsid w:val="00373189"/>
    <w:rsid w:val="00373541"/>
    <w:rsid w:val="003739B3"/>
    <w:rsid w:val="00373A2D"/>
    <w:rsid w:val="00373C29"/>
    <w:rsid w:val="00373DE6"/>
    <w:rsid w:val="00373E81"/>
    <w:rsid w:val="00373EB4"/>
    <w:rsid w:val="00373F6E"/>
    <w:rsid w:val="00374175"/>
    <w:rsid w:val="00374675"/>
    <w:rsid w:val="00374787"/>
    <w:rsid w:val="00374B5F"/>
    <w:rsid w:val="00374C26"/>
    <w:rsid w:val="00374DD9"/>
    <w:rsid w:val="00374F49"/>
    <w:rsid w:val="00375044"/>
    <w:rsid w:val="00375219"/>
    <w:rsid w:val="0037522F"/>
    <w:rsid w:val="00375328"/>
    <w:rsid w:val="003753C6"/>
    <w:rsid w:val="0037541F"/>
    <w:rsid w:val="003756C9"/>
    <w:rsid w:val="003757A1"/>
    <w:rsid w:val="00375838"/>
    <w:rsid w:val="00375CAE"/>
    <w:rsid w:val="00375D7E"/>
    <w:rsid w:val="00375E2F"/>
    <w:rsid w:val="00375E4C"/>
    <w:rsid w:val="00375EF9"/>
    <w:rsid w:val="003760DC"/>
    <w:rsid w:val="00376649"/>
    <w:rsid w:val="003766AC"/>
    <w:rsid w:val="00376895"/>
    <w:rsid w:val="003768DE"/>
    <w:rsid w:val="00376C5B"/>
    <w:rsid w:val="0037707D"/>
    <w:rsid w:val="003773C0"/>
    <w:rsid w:val="003775ED"/>
    <w:rsid w:val="00377E0F"/>
    <w:rsid w:val="00377F03"/>
    <w:rsid w:val="0038006E"/>
    <w:rsid w:val="003802E8"/>
    <w:rsid w:val="003809F3"/>
    <w:rsid w:val="00380B33"/>
    <w:rsid w:val="00380D7B"/>
    <w:rsid w:val="0038108E"/>
    <w:rsid w:val="00381366"/>
    <w:rsid w:val="003814AB"/>
    <w:rsid w:val="003814C8"/>
    <w:rsid w:val="00381770"/>
    <w:rsid w:val="003817DF"/>
    <w:rsid w:val="00381CE2"/>
    <w:rsid w:val="00381DB2"/>
    <w:rsid w:val="00381DE4"/>
    <w:rsid w:val="003823C7"/>
    <w:rsid w:val="00382677"/>
    <w:rsid w:val="0038283A"/>
    <w:rsid w:val="00382925"/>
    <w:rsid w:val="003830FC"/>
    <w:rsid w:val="0038342B"/>
    <w:rsid w:val="0038357C"/>
    <w:rsid w:val="003835F6"/>
    <w:rsid w:val="003838A8"/>
    <w:rsid w:val="00383AEA"/>
    <w:rsid w:val="00383C0D"/>
    <w:rsid w:val="00383FF4"/>
    <w:rsid w:val="0038406D"/>
    <w:rsid w:val="00384AA1"/>
    <w:rsid w:val="00384C0C"/>
    <w:rsid w:val="00384CA6"/>
    <w:rsid w:val="00384E42"/>
    <w:rsid w:val="00385668"/>
    <w:rsid w:val="0038576A"/>
    <w:rsid w:val="003859E4"/>
    <w:rsid w:val="00385B4E"/>
    <w:rsid w:val="00385CF1"/>
    <w:rsid w:val="00385DC8"/>
    <w:rsid w:val="00385E1B"/>
    <w:rsid w:val="00385FF5"/>
    <w:rsid w:val="00386033"/>
    <w:rsid w:val="0038616D"/>
    <w:rsid w:val="00386687"/>
    <w:rsid w:val="003866AE"/>
    <w:rsid w:val="0038679E"/>
    <w:rsid w:val="003869CB"/>
    <w:rsid w:val="00386C02"/>
    <w:rsid w:val="00386C07"/>
    <w:rsid w:val="00386DB1"/>
    <w:rsid w:val="00387257"/>
    <w:rsid w:val="0038743D"/>
    <w:rsid w:val="003875A5"/>
    <w:rsid w:val="003875D8"/>
    <w:rsid w:val="003879BB"/>
    <w:rsid w:val="003879EA"/>
    <w:rsid w:val="00387ABD"/>
    <w:rsid w:val="00387D60"/>
    <w:rsid w:val="00387FB7"/>
    <w:rsid w:val="0039041E"/>
    <w:rsid w:val="0039050D"/>
    <w:rsid w:val="0039057D"/>
    <w:rsid w:val="00390660"/>
    <w:rsid w:val="00390ACA"/>
    <w:rsid w:val="00390E42"/>
    <w:rsid w:val="00391338"/>
    <w:rsid w:val="00391A60"/>
    <w:rsid w:val="00391A8D"/>
    <w:rsid w:val="00391AD3"/>
    <w:rsid w:val="003920DB"/>
    <w:rsid w:val="00392249"/>
    <w:rsid w:val="0039282F"/>
    <w:rsid w:val="003928F5"/>
    <w:rsid w:val="00392DF6"/>
    <w:rsid w:val="003930B4"/>
    <w:rsid w:val="0039318F"/>
    <w:rsid w:val="00393490"/>
    <w:rsid w:val="00393804"/>
    <w:rsid w:val="00393D4F"/>
    <w:rsid w:val="0039405F"/>
    <w:rsid w:val="00394345"/>
    <w:rsid w:val="0039454D"/>
    <w:rsid w:val="003946E2"/>
    <w:rsid w:val="0039486F"/>
    <w:rsid w:val="00394890"/>
    <w:rsid w:val="00395056"/>
    <w:rsid w:val="003950D5"/>
    <w:rsid w:val="00395499"/>
    <w:rsid w:val="003955FC"/>
    <w:rsid w:val="003956EF"/>
    <w:rsid w:val="00395913"/>
    <w:rsid w:val="003959F2"/>
    <w:rsid w:val="0039615E"/>
    <w:rsid w:val="00396657"/>
    <w:rsid w:val="00396874"/>
    <w:rsid w:val="00396878"/>
    <w:rsid w:val="00396A25"/>
    <w:rsid w:val="00396B01"/>
    <w:rsid w:val="00396D6D"/>
    <w:rsid w:val="00396DE2"/>
    <w:rsid w:val="00396FF6"/>
    <w:rsid w:val="003971E5"/>
    <w:rsid w:val="00397451"/>
    <w:rsid w:val="00397536"/>
    <w:rsid w:val="00397CC2"/>
    <w:rsid w:val="003A00AD"/>
    <w:rsid w:val="003A0143"/>
    <w:rsid w:val="003A03B0"/>
    <w:rsid w:val="003A0613"/>
    <w:rsid w:val="003A07F3"/>
    <w:rsid w:val="003A0A9B"/>
    <w:rsid w:val="003A0FCD"/>
    <w:rsid w:val="003A1068"/>
    <w:rsid w:val="003A131C"/>
    <w:rsid w:val="003A14A1"/>
    <w:rsid w:val="003A1900"/>
    <w:rsid w:val="003A1C5A"/>
    <w:rsid w:val="003A20F1"/>
    <w:rsid w:val="003A21EC"/>
    <w:rsid w:val="003A23DD"/>
    <w:rsid w:val="003A24CB"/>
    <w:rsid w:val="003A254F"/>
    <w:rsid w:val="003A2602"/>
    <w:rsid w:val="003A2676"/>
    <w:rsid w:val="003A278B"/>
    <w:rsid w:val="003A2B03"/>
    <w:rsid w:val="003A2BED"/>
    <w:rsid w:val="003A2D41"/>
    <w:rsid w:val="003A31C0"/>
    <w:rsid w:val="003A33C8"/>
    <w:rsid w:val="003A34C0"/>
    <w:rsid w:val="003A37B3"/>
    <w:rsid w:val="003A3955"/>
    <w:rsid w:val="003A398A"/>
    <w:rsid w:val="003A3CB6"/>
    <w:rsid w:val="003A3DBF"/>
    <w:rsid w:val="003A3FBC"/>
    <w:rsid w:val="003A42A5"/>
    <w:rsid w:val="003A4480"/>
    <w:rsid w:val="003A448D"/>
    <w:rsid w:val="003A4600"/>
    <w:rsid w:val="003A4978"/>
    <w:rsid w:val="003A4D48"/>
    <w:rsid w:val="003A4F90"/>
    <w:rsid w:val="003A4FAF"/>
    <w:rsid w:val="003A4FF0"/>
    <w:rsid w:val="003A5082"/>
    <w:rsid w:val="003A5109"/>
    <w:rsid w:val="003A578C"/>
    <w:rsid w:val="003A588F"/>
    <w:rsid w:val="003A5938"/>
    <w:rsid w:val="003A5B0F"/>
    <w:rsid w:val="003A5D28"/>
    <w:rsid w:val="003A5D29"/>
    <w:rsid w:val="003A5FDA"/>
    <w:rsid w:val="003A6006"/>
    <w:rsid w:val="003A6184"/>
    <w:rsid w:val="003A6222"/>
    <w:rsid w:val="003A6780"/>
    <w:rsid w:val="003A67CA"/>
    <w:rsid w:val="003A682D"/>
    <w:rsid w:val="003A6987"/>
    <w:rsid w:val="003A6B3F"/>
    <w:rsid w:val="003A6BE2"/>
    <w:rsid w:val="003A6D4D"/>
    <w:rsid w:val="003A6D96"/>
    <w:rsid w:val="003A78E2"/>
    <w:rsid w:val="003A7A36"/>
    <w:rsid w:val="003A7B75"/>
    <w:rsid w:val="003A7C51"/>
    <w:rsid w:val="003B011B"/>
    <w:rsid w:val="003B0247"/>
    <w:rsid w:val="003B045A"/>
    <w:rsid w:val="003B054A"/>
    <w:rsid w:val="003B05C5"/>
    <w:rsid w:val="003B05D0"/>
    <w:rsid w:val="003B0913"/>
    <w:rsid w:val="003B09AF"/>
    <w:rsid w:val="003B0FE8"/>
    <w:rsid w:val="003B11C9"/>
    <w:rsid w:val="003B1723"/>
    <w:rsid w:val="003B1C83"/>
    <w:rsid w:val="003B1E4C"/>
    <w:rsid w:val="003B1EF7"/>
    <w:rsid w:val="003B1F32"/>
    <w:rsid w:val="003B21CB"/>
    <w:rsid w:val="003B22AA"/>
    <w:rsid w:val="003B24EA"/>
    <w:rsid w:val="003B281A"/>
    <w:rsid w:val="003B2A06"/>
    <w:rsid w:val="003B2EC0"/>
    <w:rsid w:val="003B2F2C"/>
    <w:rsid w:val="003B2F6E"/>
    <w:rsid w:val="003B315A"/>
    <w:rsid w:val="003B34BF"/>
    <w:rsid w:val="003B354B"/>
    <w:rsid w:val="003B3768"/>
    <w:rsid w:val="003B3AE6"/>
    <w:rsid w:val="003B3DE7"/>
    <w:rsid w:val="003B4133"/>
    <w:rsid w:val="003B4135"/>
    <w:rsid w:val="003B41F0"/>
    <w:rsid w:val="003B4560"/>
    <w:rsid w:val="003B46AD"/>
    <w:rsid w:val="003B4A98"/>
    <w:rsid w:val="003B4B24"/>
    <w:rsid w:val="003B4CD1"/>
    <w:rsid w:val="003B4D00"/>
    <w:rsid w:val="003B4D95"/>
    <w:rsid w:val="003B4DDB"/>
    <w:rsid w:val="003B52AD"/>
    <w:rsid w:val="003B555C"/>
    <w:rsid w:val="003B5F5B"/>
    <w:rsid w:val="003B6111"/>
    <w:rsid w:val="003B614B"/>
    <w:rsid w:val="003B6386"/>
    <w:rsid w:val="003B649C"/>
    <w:rsid w:val="003B64B6"/>
    <w:rsid w:val="003B697E"/>
    <w:rsid w:val="003B6BD4"/>
    <w:rsid w:val="003B6D43"/>
    <w:rsid w:val="003B72BB"/>
    <w:rsid w:val="003B7746"/>
    <w:rsid w:val="003B7AEF"/>
    <w:rsid w:val="003B7B60"/>
    <w:rsid w:val="003B7CE4"/>
    <w:rsid w:val="003C0634"/>
    <w:rsid w:val="003C0672"/>
    <w:rsid w:val="003C0866"/>
    <w:rsid w:val="003C0876"/>
    <w:rsid w:val="003C0901"/>
    <w:rsid w:val="003C0A86"/>
    <w:rsid w:val="003C0BED"/>
    <w:rsid w:val="003C0C32"/>
    <w:rsid w:val="003C0E45"/>
    <w:rsid w:val="003C1038"/>
    <w:rsid w:val="003C1343"/>
    <w:rsid w:val="003C13EC"/>
    <w:rsid w:val="003C15FD"/>
    <w:rsid w:val="003C1A26"/>
    <w:rsid w:val="003C1B3D"/>
    <w:rsid w:val="003C1C6D"/>
    <w:rsid w:val="003C254F"/>
    <w:rsid w:val="003C26F5"/>
    <w:rsid w:val="003C291C"/>
    <w:rsid w:val="003C2969"/>
    <w:rsid w:val="003C2DD9"/>
    <w:rsid w:val="003C304C"/>
    <w:rsid w:val="003C305F"/>
    <w:rsid w:val="003C310E"/>
    <w:rsid w:val="003C3A89"/>
    <w:rsid w:val="003C3ADB"/>
    <w:rsid w:val="003C3D0F"/>
    <w:rsid w:val="003C3EFD"/>
    <w:rsid w:val="003C3F44"/>
    <w:rsid w:val="003C408F"/>
    <w:rsid w:val="003C40FD"/>
    <w:rsid w:val="003C442C"/>
    <w:rsid w:val="003C4600"/>
    <w:rsid w:val="003C4869"/>
    <w:rsid w:val="003C4B5C"/>
    <w:rsid w:val="003C4DE3"/>
    <w:rsid w:val="003C502C"/>
    <w:rsid w:val="003C51F2"/>
    <w:rsid w:val="003C521E"/>
    <w:rsid w:val="003C5221"/>
    <w:rsid w:val="003C5253"/>
    <w:rsid w:val="003C5A59"/>
    <w:rsid w:val="003C5A74"/>
    <w:rsid w:val="003C5B8F"/>
    <w:rsid w:val="003C6264"/>
    <w:rsid w:val="003C6470"/>
    <w:rsid w:val="003C64A4"/>
    <w:rsid w:val="003C675B"/>
    <w:rsid w:val="003C680A"/>
    <w:rsid w:val="003C68A0"/>
    <w:rsid w:val="003C6926"/>
    <w:rsid w:val="003C6958"/>
    <w:rsid w:val="003C6DE8"/>
    <w:rsid w:val="003C7074"/>
    <w:rsid w:val="003C70A5"/>
    <w:rsid w:val="003C725D"/>
    <w:rsid w:val="003C73E9"/>
    <w:rsid w:val="003C797C"/>
    <w:rsid w:val="003C79D4"/>
    <w:rsid w:val="003C7E31"/>
    <w:rsid w:val="003D0449"/>
    <w:rsid w:val="003D045D"/>
    <w:rsid w:val="003D04DC"/>
    <w:rsid w:val="003D0CB5"/>
    <w:rsid w:val="003D0DE5"/>
    <w:rsid w:val="003D0DEC"/>
    <w:rsid w:val="003D0FBD"/>
    <w:rsid w:val="003D0FEC"/>
    <w:rsid w:val="003D1158"/>
    <w:rsid w:val="003D17A3"/>
    <w:rsid w:val="003D1816"/>
    <w:rsid w:val="003D18F0"/>
    <w:rsid w:val="003D18F1"/>
    <w:rsid w:val="003D1BAF"/>
    <w:rsid w:val="003D226E"/>
    <w:rsid w:val="003D269C"/>
    <w:rsid w:val="003D26D8"/>
    <w:rsid w:val="003D28E5"/>
    <w:rsid w:val="003D2A51"/>
    <w:rsid w:val="003D2B7D"/>
    <w:rsid w:val="003D36FB"/>
    <w:rsid w:val="003D3824"/>
    <w:rsid w:val="003D3B0C"/>
    <w:rsid w:val="003D3B24"/>
    <w:rsid w:val="003D3B68"/>
    <w:rsid w:val="003D3C62"/>
    <w:rsid w:val="003D4224"/>
    <w:rsid w:val="003D4622"/>
    <w:rsid w:val="003D480A"/>
    <w:rsid w:val="003D4A59"/>
    <w:rsid w:val="003D4A81"/>
    <w:rsid w:val="003D4ADD"/>
    <w:rsid w:val="003D4D43"/>
    <w:rsid w:val="003D4F52"/>
    <w:rsid w:val="003D5193"/>
    <w:rsid w:val="003D5500"/>
    <w:rsid w:val="003D560C"/>
    <w:rsid w:val="003D58D2"/>
    <w:rsid w:val="003D5A29"/>
    <w:rsid w:val="003D5A34"/>
    <w:rsid w:val="003D5AB1"/>
    <w:rsid w:val="003D5CF3"/>
    <w:rsid w:val="003D5D9D"/>
    <w:rsid w:val="003D5EC3"/>
    <w:rsid w:val="003D6030"/>
    <w:rsid w:val="003D60A1"/>
    <w:rsid w:val="003D6483"/>
    <w:rsid w:val="003D6747"/>
    <w:rsid w:val="003D6967"/>
    <w:rsid w:val="003D69BF"/>
    <w:rsid w:val="003D6A2A"/>
    <w:rsid w:val="003D6B82"/>
    <w:rsid w:val="003D6B84"/>
    <w:rsid w:val="003D6B85"/>
    <w:rsid w:val="003D75EB"/>
    <w:rsid w:val="003D7641"/>
    <w:rsid w:val="003D78C1"/>
    <w:rsid w:val="003D7A0B"/>
    <w:rsid w:val="003D7C38"/>
    <w:rsid w:val="003D7CD8"/>
    <w:rsid w:val="003E01DB"/>
    <w:rsid w:val="003E0451"/>
    <w:rsid w:val="003E0652"/>
    <w:rsid w:val="003E0C47"/>
    <w:rsid w:val="003E0F56"/>
    <w:rsid w:val="003E14E3"/>
    <w:rsid w:val="003E151D"/>
    <w:rsid w:val="003E1859"/>
    <w:rsid w:val="003E1CC4"/>
    <w:rsid w:val="003E220A"/>
    <w:rsid w:val="003E2614"/>
    <w:rsid w:val="003E26A0"/>
    <w:rsid w:val="003E2830"/>
    <w:rsid w:val="003E296D"/>
    <w:rsid w:val="003E2A71"/>
    <w:rsid w:val="003E2B8A"/>
    <w:rsid w:val="003E2BB0"/>
    <w:rsid w:val="003E2E3F"/>
    <w:rsid w:val="003E2F03"/>
    <w:rsid w:val="003E31F3"/>
    <w:rsid w:val="003E406A"/>
    <w:rsid w:val="003E40E9"/>
    <w:rsid w:val="003E41C2"/>
    <w:rsid w:val="003E41E2"/>
    <w:rsid w:val="003E48C7"/>
    <w:rsid w:val="003E4BFE"/>
    <w:rsid w:val="003E4F8B"/>
    <w:rsid w:val="003E54DC"/>
    <w:rsid w:val="003E5893"/>
    <w:rsid w:val="003E5F71"/>
    <w:rsid w:val="003E603A"/>
    <w:rsid w:val="003E6339"/>
    <w:rsid w:val="003E66B0"/>
    <w:rsid w:val="003E6702"/>
    <w:rsid w:val="003E674E"/>
    <w:rsid w:val="003E6855"/>
    <w:rsid w:val="003E68D8"/>
    <w:rsid w:val="003E6AB2"/>
    <w:rsid w:val="003E6CDA"/>
    <w:rsid w:val="003E744E"/>
    <w:rsid w:val="003E754D"/>
    <w:rsid w:val="003E76F0"/>
    <w:rsid w:val="003E77E2"/>
    <w:rsid w:val="003F03B2"/>
    <w:rsid w:val="003F0472"/>
    <w:rsid w:val="003F0687"/>
    <w:rsid w:val="003F0C91"/>
    <w:rsid w:val="003F0EA1"/>
    <w:rsid w:val="003F1392"/>
    <w:rsid w:val="003F1730"/>
    <w:rsid w:val="003F1B49"/>
    <w:rsid w:val="003F1E91"/>
    <w:rsid w:val="003F224C"/>
    <w:rsid w:val="003F23AE"/>
    <w:rsid w:val="003F254C"/>
    <w:rsid w:val="003F2583"/>
    <w:rsid w:val="003F25AA"/>
    <w:rsid w:val="003F2D73"/>
    <w:rsid w:val="003F368E"/>
    <w:rsid w:val="003F3C4E"/>
    <w:rsid w:val="003F3D05"/>
    <w:rsid w:val="003F3FCA"/>
    <w:rsid w:val="003F44DB"/>
    <w:rsid w:val="003F4C13"/>
    <w:rsid w:val="003F5320"/>
    <w:rsid w:val="003F539F"/>
    <w:rsid w:val="003F53B6"/>
    <w:rsid w:val="003F54B6"/>
    <w:rsid w:val="003F56EA"/>
    <w:rsid w:val="003F5A65"/>
    <w:rsid w:val="003F5C5D"/>
    <w:rsid w:val="003F6077"/>
    <w:rsid w:val="003F6108"/>
    <w:rsid w:val="003F6583"/>
    <w:rsid w:val="003F671D"/>
    <w:rsid w:val="003F6813"/>
    <w:rsid w:val="003F712F"/>
    <w:rsid w:val="003F7473"/>
    <w:rsid w:val="003F7520"/>
    <w:rsid w:val="003F75BB"/>
    <w:rsid w:val="003F78E7"/>
    <w:rsid w:val="003F7D14"/>
    <w:rsid w:val="003F7EA9"/>
    <w:rsid w:val="003F7F6A"/>
    <w:rsid w:val="00400096"/>
    <w:rsid w:val="00400850"/>
    <w:rsid w:val="0040096F"/>
    <w:rsid w:val="00400B25"/>
    <w:rsid w:val="00400B63"/>
    <w:rsid w:val="00400FB9"/>
    <w:rsid w:val="0040164E"/>
    <w:rsid w:val="00401CF1"/>
    <w:rsid w:val="00401FF9"/>
    <w:rsid w:val="0040213E"/>
    <w:rsid w:val="00402171"/>
    <w:rsid w:val="00402AB9"/>
    <w:rsid w:val="00402D06"/>
    <w:rsid w:val="00402E39"/>
    <w:rsid w:val="00402FA1"/>
    <w:rsid w:val="004030C3"/>
    <w:rsid w:val="0040322E"/>
    <w:rsid w:val="004038BD"/>
    <w:rsid w:val="0040397C"/>
    <w:rsid w:val="00403AD5"/>
    <w:rsid w:val="00403CC1"/>
    <w:rsid w:val="00403F39"/>
    <w:rsid w:val="00404131"/>
    <w:rsid w:val="00404189"/>
    <w:rsid w:val="00404270"/>
    <w:rsid w:val="00404489"/>
    <w:rsid w:val="004045AE"/>
    <w:rsid w:val="004049D6"/>
    <w:rsid w:val="00404A45"/>
    <w:rsid w:val="00404B83"/>
    <w:rsid w:val="00404EC4"/>
    <w:rsid w:val="00404EDA"/>
    <w:rsid w:val="0040509A"/>
    <w:rsid w:val="004051EA"/>
    <w:rsid w:val="00405693"/>
    <w:rsid w:val="004057BF"/>
    <w:rsid w:val="00405A7E"/>
    <w:rsid w:val="00405D26"/>
    <w:rsid w:val="00406111"/>
    <w:rsid w:val="00406140"/>
    <w:rsid w:val="00406169"/>
    <w:rsid w:val="004066EE"/>
    <w:rsid w:val="0040672E"/>
    <w:rsid w:val="004069D4"/>
    <w:rsid w:val="00406B03"/>
    <w:rsid w:val="00406C2F"/>
    <w:rsid w:val="004070EE"/>
    <w:rsid w:val="00407129"/>
    <w:rsid w:val="004072DA"/>
    <w:rsid w:val="00407482"/>
    <w:rsid w:val="00407A2F"/>
    <w:rsid w:val="00407B17"/>
    <w:rsid w:val="00407BAF"/>
    <w:rsid w:val="00407C90"/>
    <w:rsid w:val="00407D7A"/>
    <w:rsid w:val="00407E29"/>
    <w:rsid w:val="0041016F"/>
    <w:rsid w:val="00410517"/>
    <w:rsid w:val="00410664"/>
    <w:rsid w:val="004107C4"/>
    <w:rsid w:val="0041085F"/>
    <w:rsid w:val="004108C0"/>
    <w:rsid w:val="00410A87"/>
    <w:rsid w:val="00410ABE"/>
    <w:rsid w:val="00410BC9"/>
    <w:rsid w:val="00410E5C"/>
    <w:rsid w:val="00410E96"/>
    <w:rsid w:val="00410F01"/>
    <w:rsid w:val="00410F52"/>
    <w:rsid w:val="004111BA"/>
    <w:rsid w:val="00411284"/>
    <w:rsid w:val="004118CB"/>
    <w:rsid w:val="00411948"/>
    <w:rsid w:val="00411A48"/>
    <w:rsid w:val="00411AD0"/>
    <w:rsid w:val="00411CC7"/>
    <w:rsid w:val="00411EC3"/>
    <w:rsid w:val="00412002"/>
    <w:rsid w:val="0041209A"/>
    <w:rsid w:val="00412653"/>
    <w:rsid w:val="00412F33"/>
    <w:rsid w:val="00413412"/>
    <w:rsid w:val="00413417"/>
    <w:rsid w:val="00413578"/>
    <w:rsid w:val="004136D7"/>
    <w:rsid w:val="004137DA"/>
    <w:rsid w:val="0041395F"/>
    <w:rsid w:val="00413C6E"/>
    <w:rsid w:val="00413C98"/>
    <w:rsid w:val="00413EF6"/>
    <w:rsid w:val="004140A9"/>
    <w:rsid w:val="0041468D"/>
    <w:rsid w:val="00414736"/>
    <w:rsid w:val="004149E1"/>
    <w:rsid w:val="00414EE0"/>
    <w:rsid w:val="00415580"/>
    <w:rsid w:val="00415821"/>
    <w:rsid w:val="00415AC3"/>
    <w:rsid w:val="00415B23"/>
    <w:rsid w:val="00415C53"/>
    <w:rsid w:val="00416486"/>
    <w:rsid w:val="004165B4"/>
    <w:rsid w:val="0041661F"/>
    <w:rsid w:val="004166E3"/>
    <w:rsid w:val="004167CB"/>
    <w:rsid w:val="00416870"/>
    <w:rsid w:val="00416911"/>
    <w:rsid w:val="00416DAD"/>
    <w:rsid w:val="00416DC0"/>
    <w:rsid w:val="004170B2"/>
    <w:rsid w:val="0041728E"/>
    <w:rsid w:val="00417682"/>
    <w:rsid w:val="00417D93"/>
    <w:rsid w:val="00420484"/>
    <w:rsid w:val="00420690"/>
    <w:rsid w:val="00420726"/>
    <w:rsid w:val="0042092F"/>
    <w:rsid w:val="00420E50"/>
    <w:rsid w:val="0042104C"/>
    <w:rsid w:val="0042125E"/>
    <w:rsid w:val="0042142E"/>
    <w:rsid w:val="00421435"/>
    <w:rsid w:val="00421489"/>
    <w:rsid w:val="004216EA"/>
    <w:rsid w:val="00421920"/>
    <w:rsid w:val="00421BBE"/>
    <w:rsid w:val="00421E08"/>
    <w:rsid w:val="00421FBA"/>
    <w:rsid w:val="00422058"/>
    <w:rsid w:val="00422096"/>
    <w:rsid w:val="00422759"/>
    <w:rsid w:val="00422A55"/>
    <w:rsid w:val="0042327A"/>
    <w:rsid w:val="0042333C"/>
    <w:rsid w:val="004233D8"/>
    <w:rsid w:val="0042379C"/>
    <w:rsid w:val="004237FA"/>
    <w:rsid w:val="00423865"/>
    <w:rsid w:val="00423EE7"/>
    <w:rsid w:val="0042410C"/>
    <w:rsid w:val="004241FE"/>
    <w:rsid w:val="004244B2"/>
    <w:rsid w:val="00424510"/>
    <w:rsid w:val="00424C0C"/>
    <w:rsid w:val="00424E0A"/>
    <w:rsid w:val="00424F05"/>
    <w:rsid w:val="004250BF"/>
    <w:rsid w:val="004254F0"/>
    <w:rsid w:val="00425606"/>
    <w:rsid w:val="0042570D"/>
    <w:rsid w:val="00425724"/>
    <w:rsid w:val="0042580C"/>
    <w:rsid w:val="00425962"/>
    <w:rsid w:val="00425EBB"/>
    <w:rsid w:val="004261FC"/>
    <w:rsid w:val="00426332"/>
    <w:rsid w:val="004267DD"/>
    <w:rsid w:val="00426857"/>
    <w:rsid w:val="0042688E"/>
    <w:rsid w:val="0042772B"/>
    <w:rsid w:val="004279F0"/>
    <w:rsid w:val="00427B03"/>
    <w:rsid w:val="00427B27"/>
    <w:rsid w:val="00427B69"/>
    <w:rsid w:val="00427B76"/>
    <w:rsid w:val="00427E59"/>
    <w:rsid w:val="00427FDB"/>
    <w:rsid w:val="00427FF8"/>
    <w:rsid w:val="004300B7"/>
    <w:rsid w:val="00430228"/>
    <w:rsid w:val="00430709"/>
    <w:rsid w:val="00430967"/>
    <w:rsid w:val="00430A21"/>
    <w:rsid w:val="00430AAF"/>
    <w:rsid w:val="00430D22"/>
    <w:rsid w:val="00430EC3"/>
    <w:rsid w:val="00431094"/>
    <w:rsid w:val="0043115E"/>
    <w:rsid w:val="004311D8"/>
    <w:rsid w:val="00431608"/>
    <w:rsid w:val="00431924"/>
    <w:rsid w:val="00431B51"/>
    <w:rsid w:val="00431C79"/>
    <w:rsid w:val="004324AB"/>
    <w:rsid w:val="00432C56"/>
    <w:rsid w:val="00432D14"/>
    <w:rsid w:val="00432FD2"/>
    <w:rsid w:val="004333F5"/>
    <w:rsid w:val="00433688"/>
    <w:rsid w:val="004336B3"/>
    <w:rsid w:val="00433907"/>
    <w:rsid w:val="00433A2E"/>
    <w:rsid w:val="00433A46"/>
    <w:rsid w:val="00433BBD"/>
    <w:rsid w:val="004341A1"/>
    <w:rsid w:val="0043429E"/>
    <w:rsid w:val="0043444F"/>
    <w:rsid w:val="00434567"/>
    <w:rsid w:val="00434828"/>
    <w:rsid w:val="00434B2A"/>
    <w:rsid w:val="00434BEB"/>
    <w:rsid w:val="00434C5C"/>
    <w:rsid w:val="00434CCC"/>
    <w:rsid w:val="004354B0"/>
    <w:rsid w:val="004358F4"/>
    <w:rsid w:val="00435A7C"/>
    <w:rsid w:val="00435BBA"/>
    <w:rsid w:val="00436136"/>
    <w:rsid w:val="00436233"/>
    <w:rsid w:val="004364CE"/>
    <w:rsid w:val="004368E2"/>
    <w:rsid w:val="004369EF"/>
    <w:rsid w:val="00436CD8"/>
    <w:rsid w:val="00436FDB"/>
    <w:rsid w:val="004371A6"/>
    <w:rsid w:val="00437675"/>
    <w:rsid w:val="004377DC"/>
    <w:rsid w:val="00437893"/>
    <w:rsid w:val="004379C0"/>
    <w:rsid w:val="00437DAE"/>
    <w:rsid w:val="0044034A"/>
    <w:rsid w:val="004403AE"/>
    <w:rsid w:val="0044090C"/>
    <w:rsid w:val="00440AFA"/>
    <w:rsid w:val="00440CCE"/>
    <w:rsid w:val="004411F6"/>
    <w:rsid w:val="004416FB"/>
    <w:rsid w:val="00441703"/>
    <w:rsid w:val="00441906"/>
    <w:rsid w:val="00441DB3"/>
    <w:rsid w:val="0044249D"/>
    <w:rsid w:val="00442699"/>
    <w:rsid w:val="00442989"/>
    <w:rsid w:val="004429F9"/>
    <w:rsid w:val="00442D8D"/>
    <w:rsid w:val="00442F1A"/>
    <w:rsid w:val="00442F79"/>
    <w:rsid w:val="00442F7C"/>
    <w:rsid w:val="00443116"/>
    <w:rsid w:val="00443A17"/>
    <w:rsid w:val="00443F79"/>
    <w:rsid w:val="0044467B"/>
    <w:rsid w:val="00444CAB"/>
    <w:rsid w:val="00444F67"/>
    <w:rsid w:val="00444F99"/>
    <w:rsid w:val="00445392"/>
    <w:rsid w:val="004456F3"/>
    <w:rsid w:val="00445C83"/>
    <w:rsid w:val="00445D3F"/>
    <w:rsid w:val="00445DA4"/>
    <w:rsid w:val="00445E73"/>
    <w:rsid w:val="004462D0"/>
    <w:rsid w:val="004465BF"/>
    <w:rsid w:val="0044695B"/>
    <w:rsid w:val="00446C68"/>
    <w:rsid w:val="00446EE1"/>
    <w:rsid w:val="00446F84"/>
    <w:rsid w:val="00447080"/>
    <w:rsid w:val="004472F6"/>
    <w:rsid w:val="0044758B"/>
    <w:rsid w:val="00447698"/>
    <w:rsid w:val="00447A16"/>
    <w:rsid w:val="004500E3"/>
    <w:rsid w:val="00450203"/>
    <w:rsid w:val="00450576"/>
    <w:rsid w:val="00450783"/>
    <w:rsid w:val="004508F7"/>
    <w:rsid w:val="004509DA"/>
    <w:rsid w:val="00450DB7"/>
    <w:rsid w:val="0045104A"/>
    <w:rsid w:val="004510B4"/>
    <w:rsid w:val="004517CA"/>
    <w:rsid w:val="00451FFF"/>
    <w:rsid w:val="00452203"/>
    <w:rsid w:val="004523F1"/>
    <w:rsid w:val="00452768"/>
    <w:rsid w:val="00452AFE"/>
    <w:rsid w:val="00452F0F"/>
    <w:rsid w:val="00453162"/>
    <w:rsid w:val="00453184"/>
    <w:rsid w:val="00453376"/>
    <w:rsid w:val="00453613"/>
    <w:rsid w:val="00453FC7"/>
    <w:rsid w:val="0045400C"/>
    <w:rsid w:val="004540B5"/>
    <w:rsid w:val="00454872"/>
    <w:rsid w:val="00454D15"/>
    <w:rsid w:val="00455027"/>
    <w:rsid w:val="00455089"/>
    <w:rsid w:val="00455417"/>
    <w:rsid w:val="0045543A"/>
    <w:rsid w:val="00455909"/>
    <w:rsid w:val="00455C6C"/>
    <w:rsid w:val="00456539"/>
    <w:rsid w:val="00456FE3"/>
    <w:rsid w:val="00457092"/>
    <w:rsid w:val="00457275"/>
    <w:rsid w:val="004574EA"/>
    <w:rsid w:val="004575F2"/>
    <w:rsid w:val="00457730"/>
    <w:rsid w:val="0045798B"/>
    <w:rsid w:val="00457EC8"/>
    <w:rsid w:val="00460824"/>
    <w:rsid w:val="004609B7"/>
    <w:rsid w:val="00460A3D"/>
    <w:rsid w:val="00460F80"/>
    <w:rsid w:val="00461221"/>
    <w:rsid w:val="0046138C"/>
    <w:rsid w:val="004613B7"/>
    <w:rsid w:val="004615C0"/>
    <w:rsid w:val="00461945"/>
    <w:rsid w:val="00461A09"/>
    <w:rsid w:val="004622B9"/>
    <w:rsid w:val="00462F0B"/>
    <w:rsid w:val="00462F95"/>
    <w:rsid w:val="0046339A"/>
    <w:rsid w:val="00463506"/>
    <w:rsid w:val="004636C0"/>
    <w:rsid w:val="0046375F"/>
    <w:rsid w:val="00463A9A"/>
    <w:rsid w:val="00463D5F"/>
    <w:rsid w:val="00463D6F"/>
    <w:rsid w:val="00463DA5"/>
    <w:rsid w:val="00463DE1"/>
    <w:rsid w:val="00463DF1"/>
    <w:rsid w:val="00464528"/>
    <w:rsid w:val="00464564"/>
    <w:rsid w:val="004645F5"/>
    <w:rsid w:val="004647D7"/>
    <w:rsid w:val="00464A66"/>
    <w:rsid w:val="00464B71"/>
    <w:rsid w:val="00464BAA"/>
    <w:rsid w:val="00464C30"/>
    <w:rsid w:val="00464D5F"/>
    <w:rsid w:val="00464FF3"/>
    <w:rsid w:val="00465200"/>
    <w:rsid w:val="00465582"/>
    <w:rsid w:val="00465B49"/>
    <w:rsid w:val="00465ED1"/>
    <w:rsid w:val="00465FF3"/>
    <w:rsid w:val="004664F1"/>
    <w:rsid w:val="00466758"/>
    <w:rsid w:val="004667CA"/>
    <w:rsid w:val="0046688F"/>
    <w:rsid w:val="004672D4"/>
    <w:rsid w:val="0046760D"/>
    <w:rsid w:val="004678A2"/>
    <w:rsid w:val="00467D95"/>
    <w:rsid w:val="00467FD7"/>
    <w:rsid w:val="00467FEA"/>
    <w:rsid w:val="0047001F"/>
    <w:rsid w:val="00470180"/>
    <w:rsid w:val="004701D1"/>
    <w:rsid w:val="0047054D"/>
    <w:rsid w:val="00470552"/>
    <w:rsid w:val="004706A7"/>
    <w:rsid w:val="004706ED"/>
    <w:rsid w:val="00470775"/>
    <w:rsid w:val="004708CC"/>
    <w:rsid w:val="00470DD1"/>
    <w:rsid w:val="00470EBB"/>
    <w:rsid w:val="00470F45"/>
    <w:rsid w:val="00471282"/>
    <w:rsid w:val="004715D0"/>
    <w:rsid w:val="004716A5"/>
    <w:rsid w:val="004721C1"/>
    <w:rsid w:val="00472B04"/>
    <w:rsid w:val="004730F2"/>
    <w:rsid w:val="00473395"/>
    <w:rsid w:val="004734D4"/>
    <w:rsid w:val="004735CB"/>
    <w:rsid w:val="0047360F"/>
    <w:rsid w:val="00473828"/>
    <w:rsid w:val="00473892"/>
    <w:rsid w:val="00473991"/>
    <w:rsid w:val="00473C3D"/>
    <w:rsid w:val="00473E0A"/>
    <w:rsid w:val="00473FB2"/>
    <w:rsid w:val="004741C3"/>
    <w:rsid w:val="004741E8"/>
    <w:rsid w:val="004744C1"/>
    <w:rsid w:val="004747A2"/>
    <w:rsid w:val="00474A24"/>
    <w:rsid w:val="00474CAE"/>
    <w:rsid w:val="00474D6C"/>
    <w:rsid w:val="00474D7F"/>
    <w:rsid w:val="00475064"/>
    <w:rsid w:val="004750A3"/>
    <w:rsid w:val="00475AA5"/>
    <w:rsid w:val="00475B90"/>
    <w:rsid w:val="00475D4F"/>
    <w:rsid w:val="00475ED9"/>
    <w:rsid w:val="004762DE"/>
    <w:rsid w:val="0047657C"/>
    <w:rsid w:val="00476A83"/>
    <w:rsid w:val="00476B91"/>
    <w:rsid w:val="00476F6C"/>
    <w:rsid w:val="00476F82"/>
    <w:rsid w:val="004770EA"/>
    <w:rsid w:val="004771F0"/>
    <w:rsid w:val="0047732C"/>
    <w:rsid w:val="00477375"/>
    <w:rsid w:val="0047784D"/>
    <w:rsid w:val="00477C5D"/>
    <w:rsid w:val="00480040"/>
    <w:rsid w:val="0048025D"/>
    <w:rsid w:val="0048034C"/>
    <w:rsid w:val="00480353"/>
    <w:rsid w:val="0048043C"/>
    <w:rsid w:val="0048091D"/>
    <w:rsid w:val="00480BED"/>
    <w:rsid w:val="004810A3"/>
    <w:rsid w:val="0048162B"/>
    <w:rsid w:val="00481772"/>
    <w:rsid w:val="004817A8"/>
    <w:rsid w:val="00481829"/>
    <w:rsid w:val="00481832"/>
    <w:rsid w:val="00481D0C"/>
    <w:rsid w:val="004820D5"/>
    <w:rsid w:val="00482237"/>
    <w:rsid w:val="00482431"/>
    <w:rsid w:val="00482602"/>
    <w:rsid w:val="00482691"/>
    <w:rsid w:val="00482EE5"/>
    <w:rsid w:val="00483091"/>
    <w:rsid w:val="0048315F"/>
    <w:rsid w:val="004833DA"/>
    <w:rsid w:val="004834B1"/>
    <w:rsid w:val="00483550"/>
    <w:rsid w:val="0048361B"/>
    <w:rsid w:val="00483A7E"/>
    <w:rsid w:val="00483B81"/>
    <w:rsid w:val="004842C1"/>
    <w:rsid w:val="004844B3"/>
    <w:rsid w:val="004845F2"/>
    <w:rsid w:val="0048470D"/>
    <w:rsid w:val="0048479A"/>
    <w:rsid w:val="00484CB2"/>
    <w:rsid w:val="00484FE2"/>
    <w:rsid w:val="004850B6"/>
    <w:rsid w:val="00485D98"/>
    <w:rsid w:val="00485F2A"/>
    <w:rsid w:val="00485FC9"/>
    <w:rsid w:val="0048644F"/>
    <w:rsid w:val="00486491"/>
    <w:rsid w:val="0048671A"/>
    <w:rsid w:val="004867D3"/>
    <w:rsid w:val="00486802"/>
    <w:rsid w:val="0048684E"/>
    <w:rsid w:val="00486BA9"/>
    <w:rsid w:val="00486EC3"/>
    <w:rsid w:val="00487712"/>
    <w:rsid w:val="0048775D"/>
    <w:rsid w:val="00487865"/>
    <w:rsid w:val="004879AD"/>
    <w:rsid w:val="00487A05"/>
    <w:rsid w:val="00487B6B"/>
    <w:rsid w:val="00487E1E"/>
    <w:rsid w:val="00487E65"/>
    <w:rsid w:val="00490009"/>
    <w:rsid w:val="00490099"/>
    <w:rsid w:val="004900EC"/>
    <w:rsid w:val="00490142"/>
    <w:rsid w:val="0049025C"/>
    <w:rsid w:val="004902A0"/>
    <w:rsid w:val="004902B0"/>
    <w:rsid w:val="004902F2"/>
    <w:rsid w:val="00490310"/>
    <w:rsid w:val="0049035D"/>
    <w:rsid w:val="0049041C"/>
    <w:rsid w:val="00490428"/>
    <w:rsid w:val="00490472"/>
    <w:rsid w:val="00490588"/>
    <w:rsid w:val="00490791"/>
    <w:rsid w:val="00490D01"/>
    <w:rsid w:val="00490F18"/>
    <w:rsid w:val="00490F44"/>
    <w:rsid w:val="004910DF"/>
    <w:rsid w:val="0049112E"/>
    <w:rsid w:val="0049130F"/>
    <w:rsid w:val="00491406"/>
    <w:rsid w:val="00491563"/>
    <w:rsid w:val="0049178B"/>
    <w:rsid w:val="0049199C"/>
    <w:rsid w:val="004919C4"/>
    <w:rsid w:val="004919C9"/>
    <w:rsid w:val="004919F0"/>
    <w:rsid w:val="00491B3D"/>
    <w:rsid w:val="00491D90"/>
    <w:rsid w:val="00492027"/>
    <w:rsid w:val="004922B4"/>
    <w:rsid w:val="00492869"/>
    <w:rsid w:val="00492C76"/>
    <w:rsid w:val="00492E56"/>
    <w:rsid w:val="00493344"/>
    <w:rsid w:val="004937B7"/>
    <w:rsid w:val="00493843"/>
    <w:rsid w:val="00493A6E"/>
    <w:rsid w:val="00493BF1"/>
    <w:rsid w:val="00493CB0"/>
    <w:rsid w:val="0049416E"/>
    <w:rsid w:val="00494183"/>
    <w:rsid w:val="0049444F"/>
    <w:rsid w:val="00494507"/>
    <w:rsid w:val="004946F9"/>
    <w:rsid w:val="00494777"/>
    <w:rsid w:val="004951CA"/>
    <w:rsid w:val="00495241"/>
    <w:rsid w:val="0049556B"/>
    <w:rsid w:val="00495570"/>
    <w:rsid w:val="004959AA"/>
    <w:rsid w:val="00495A57"/>
    <w:rsid w:val="00495CCA"/>
    <w:rsid w:val="004963BD"/>
    <w:rsid w:val="004966A5"/>
    <w:rsid w:val="0049673B"/>
    <w:rsid w:val="00496AAB"/>
    <w:rsid w:val="00496B0B"/>
    <w:rsid w:val="00497465"/>
    <w:rsid w:val="004974D4"/>
    <w:rsid w:val="004A03A9"/>
    <w:rsid w:val="004A03E2"/>
    <w:rsid w:val="004A06C7"/>
    <w:rsid w:val="004A0CFC"/>
    <w:rsid w:val="004A12BD"/>
    <w:rsid w:val="004A13EA"/>
    <w:rsid w:val="004A153D"/>
    <w:rsid w:val="004A1766"/>
    <w:rsid w:val="004A220B"/>
    <w:rsid w:val="004A2250"/>
    <w:rsid w:val="004A2493"/>
    <w:rsid w:val="004A26BA"/>
    <w:rsid w:val="004A2840"/>
    <w:rsid w:val="004A28A8"/>
    <w:rsid w:val="004A2AAB"/>
    <w:rsid w:val="004A2E55"/>
    <w:rsid w:val="004A2FF3"/>
    <w:rsid w:val="004A3089"/>
    <w:rsid w:val="004A32CE"/>
    <w:rsid w:val="004A398F"/>
    <w:rsid w:val="004A3B36"/>
    <w:rsid w:val="004A3C32"/>
    <w:rsid w:val="004A3D97"/>
    <w:rsid w:val="004A4372"/>
    <w:rsid w:val="004A45B7"/>
    <w:rsid w:val="004A45CB"/>
    <w:rsid w:val="004A4710"/>
    <w:rsid w:val="004A489E"/>
    <w:rsid w:val="004A48AC"/>
    <w:rsid w:val="004A510D"/>
    <w:rsid w:val="004A515E"/>
    <w:rsid w:val="004A52E6"/>
    <w:rsid w:val="004A53EE"/>
    <w:rsid w:val="004A66B5"/>
    <w:rsid w:val="004A6A32"/>
    <w:rsid w:val="004A6D3E"/>
    <w:rsid w:val="004A705B"/>
    <w:rsid w:val="004A774E"/>
    <w:rsid w:val="004A7A88"/>
    <w:rsid w:val="004A7A8E"/>
    <w:rsid w:val="004A7C12"/>
    <w:rsid w:val="004A7E41"/>
    <w:rsid w:val="004B014A"/>
    <w:rsid w:val="004B01C7"/>
    <w:rsid w:val="004B0249"/>
    <w:rsid w:val="004B04D1"/>
    <w:rsid w:val="004B0551"/>
    <w:rsid w:val="004B06C5"/>
    <w:rsid w:val="004B0A89"/>
    <w:rsid w:val="004B0BDD"/>
    <w:rsid w:val="004B0FF8"/>
    <w:rsid w:val="004B1588"/>
    <w:rsid w:val="004B1A44"/>
    <w:rsid w:val="004B1E94"/>
    <w:rsid w:val="004B1F1E"/>
    <w:rsid w:val="004B2090"/>
    <w:rsid w:val="004B218C"/>
    <w:rsid w:val="004B2262"/>
    <w:rsid w:val="004B2680"/>
    <w:rsid w:val="004B274D"/>
    <w:rsid w:val="004B27E2"/>
    <w:rsid w:val="004B2AD0"/>
    <w:rsid w:val="004B2C0C"/>
    <w:rsid w:val="004B2D18"/>
    <w:rsid w:val="004B317E"/>
    <w:rsid w:val="004B3378"/>
    <w:rsid w:val="004B35D5"/>
    <w:rsid w:val="004B3603"/>
    <w:rsid w:val="004B3DC3"/>
    <w:rsid w:val="004B4323"/>
    <w:rsid w:val="004B43A2"/>
    <w:rsid w:val="004B43B0"/>
    <w:rsid w:val="004B4579"/>
    <w:rsid w:val="004B49E5"/>
    <w:rsid w:val="004B4C6C"/>
    <w:rsid w:val="004B5253"/>
    <w:rsid w:val="004B5540"/>
    <w:rsid w:val="004B5C5B"/>
    <w:rsid w:val="004B5E05"/>
    <w:rsid w:val="004B608A"/>
    <w:rsid w:val="004B611C"/>
    <w:rsid w:val="004B6128"/>
    <w:rsid w:val="004B619D"/>
    <w:rsid w:val="004B64C5"/>
    <w:rsid w:val="004B64E6"/>
    <w:rsid w:val="004B64F8"/>
    <w:rsid w:val="004B66B7"/>
    <w:rsid w:val="004B6A5C"/>
    <w:rsid w:val="004B6C05"/>
    <w:rsid w:val="004B6C46"/>
    <w:rsid w:val="004B6C7F"/>
    <w:rsid w:val="004B7371"/>
    <w:rsid w:val="004B7758"/>
    <w:rsid w:val="004B77F1"/>
    <w:rsid w:val="004B784F"/>
    <w:rsid w:val="004B796D"/>
    <w:rsid w:val="004B79B9"/>
    <w:rsid w:val="004B7B7E"/>
    <w:rsid w:val="004C0162"/>
    <w:rsid w:val="004C046F"/>
    <w:rsid w:val="004C064D"/>
    <w:rsid w:val="004C08D8"/>
    <w:rsid w:val="004C0AA4"/>
    <w:rsid w:val="004C0C06"/>
    <w:rsid w:val="004C0C25"/>
    <w:rsid w:val="004C0E29"/>
    <w:rsid w:val="004C12B7"/>
    <w:rsid w:val="004C1676"/>
    <w:rsid w:val="004C1849"/>
    <w:rsid w:val="004C19E6"/>
    <w:rsid w:val="004C1A10"/>
    <w:rsid w:val="004C1AA9"/>
    <w:rsid w:val="004C1D05"/>
    <w:rsid w:val="004C1D3E"/>
    <w:rsid w:val="004C1D96"/>
    <w:rsid w:val="004C2020"/>
    <w:rsid w:val="004C254E"/>
    <w:rsid w:val="004C26BA"/>
    <w:rsid w:val="004C2723"/>
    <w:rsid w:val="004C27D7"/>
    <w:rsid w:val="004C299D"/>
    <w:rsid w:val="004C2DBC"/>
    <w:rsid w:val="004C2DCA"/>
    <w:rsid w:val="004C2E98"/>
    <w:rsid w:val="004C2EE7"/>
    <w:rsid w:val="004C31FB"/>
    <w:rsid w:val="004C34BA"/>
    <w:rsid w:val="004C36F1"/>
    <w:rsid w:val="004C380B"/>
    <w:rsid w:val="004C3825"/>
    <w:rsid w:val="004C3A0E"/>
    <w:rsid w:val="004C3AC2"/>
    <w:rsid w:val="004C3C50"/>
    <w:rsid w:val="004C3CD7"/>
    <w:rsid w:val="004C44DE"/>
    <w:rsid w:val="004C4942"/>
    <w:rsid w:val="004C49FB"/>
    <w:rsid w:val="004C4B41"/>
    <w:rsid w:val="004C5280"/>
    <w:rsid w:val="004C54C2"/>
    <w:rsid w:val="004C54F6"/>
    <w:rsid w:val="004C55BC"/>
    <w:rsid w:val="004C5A03"/>
    <w:rsid w:val="004C5A60"/>
    <w:rsid w:val="004C5B2A"/>
    <w:rsid w:val="004C5CB4"/>
    <w:rsid w:val="004C5CF2"/>
    <w:rsid w:val="004C5D36"/>
    <w:rsid w:val="004C5DB8"/>
    <w:rsid w:val="004C6102"/>
    <w:rsid w:val="004C63D7"/>
    <w:rsid w:val="004C656E"/>
    <w:rsid w:val="004C65DB"/>
    <w:rsid w:val="004C67DA"/>
    <w:rsid w:val="004C6867"/>
    <w:rsid w:val="004C6BEF"/>
    <w:rsid w:val="004C6C50"/>
    <w:rsid w:val="004C6DFC"/>
    <w:rsid w:val="004C705B"/>
    <w:rsid w:val="004C73EA"/>
    <w:rsid w:val="004C77C4"/>
    <w:rsid w:val="004C7809"/>
    <w:rsid w:val="004C7A74"/>
    <w:rsid w:val="004C7AC5"/>
    <w:rsid w:val="004C7B41"/>
    <w:rsid w:val="004C7C8A"/>
    <w:rsid w:val="004C7CE0"/>
    <w:rsid w:val="004C7FE5"/>
    <w:rsid w:val="004D0309"/>
    <w:rsid w:val="004D0785"/>
    <w:rsid w:val="004D078F"/>
    <w:rsid w:val="004D080F"/>
    <w:rsid w:val="004D08EF"/>
    <w:rsid w:val="004D0A30"/>
    <w:rsid w:val="004D0B55"/>
    <w:rsid w:val="004D0C5B"/>
    <w:rsid w:val="004D110D"/>
    <w:rsid w:val="004D11CC"/>
    <w:rsid w:val="004D12FE"/>
    <w:rsid w:val="004D1552"/>
    <w:rsid w:val="004D15A1"/>
    <w:rsid w:val="004D15CE"/>
    <w:rsid w:val="004D177E"/>
    <w:rsid w:val="004D17A9"/>
    <w:rsid w:val="004D1EBE"/>
    <w:rsid w:val="004D245A"/>
    <w:rsid w:val="004D24CD"/>
    <w:rsid w:val="004D276A"/>
    <w:rsid w:val="004D28C0"/>
    <w:rsid w:val="004D2A81"/>
    <w:rsid w:val="004D2CF2"/>
    <w:rsid w:val="004D2F02"/>
    <w:rsid w:val="004D302F"/>
    <w:rsid w:val="004D3128"/>
    <w:rsid w:val="004D319A"/>
    <w:rsid w:val="004D32B6"/>
    <w:rsid w:val="004D34B2"/>
    <w:rsid w:val="004D366F"/>
    <w:rsid w:val="004D368C"/>
    <w:rsid w:val="004D378F"/>
    <w:rsid w:val="004D3A15"/>
    <w:rsid w:val="004D3A72"/>
    <w:rsid w:val="004D3AEF"/>
    <w:rsid w:val="004D3F3F"/>
    <w:rsid w:val="004D4261"/>
    <w:rsid w:val="004D456F"/>
    <w:rsid w:val="004D4A7C"/>
    <w:rsid w:val="004D4E38"/>
    <w:rsid w:val="004D4EFC"/>
    <w:rsid w:val="004D50F7"/>
    <w:rsid w:val="004D516B"/>
    <w:rsid w:val="004D51E4"/>
    <w:rsid w:val="004D5326"/>
    <w:rsid w:val="004D5696"/>
    <w:rsid w:val="004D58D9"/>
    <w:rsid w:val="004D5D59"/>
    <w:rsid w:val="004D5E6B"/>
    <w:rsid w:val="004D6242"/>
    <w:rsid w:val="004D6360"/>
    <w:rsid w:val="004D6391"/>
    <w:rsid w:val="004D6473"/>
    <w:rsid w:val="004D650E"/>
    <w:rsid w:val="004D68A4"/>
    <w:rsid w:val="004D6BDA"/>
    <w:rsid w:val="004D72F7"/>
    <w:rsid w:val="004D7595"/>
    <w:rsid w:val="004D7856"/>
    <w:rsid w:val="004D7981"/>
    <w:rsid w:val="004D7B77"/>
    <w:rsid w:val="004D7BB8"/>
    <w:rsid w:val="004D7E61"/>
    <w:rsid w:val="004E0061"/>
    <w:rsid w:val="004E00D8"/>
    <w:rsid w:val="004E0127"/>
    <w:rsid w:val="004E01B8"/>
    <w:rsid w:val="004E0245"/>
    <w:rsid w:val="004E0411"/>
    <w:rsid w:val="004E05EA"/>
    <w:rsid w:val="004E06F4"/>
    <w:rsid w:val="004E0E22"/>
    <w:rsid w:val="004E14DD"/>
    <w:rsid w:val="004E1586"/>
    <w:rsid w:val="004E15C9"/>
    <w:rsid w:val="004E1679"/>
    <w:rsid w:val="004E17DF"/>
    <w:rsid w:val="004E19A3"/>
    <w:rsid w:val="004E1C0A"/>
    <w:rsid w:val="004E1E2E"/>
    <w:rsid w:val="004E1F40"/>
    <w:rsid w:val="004E22BF"/>
    <w:rsid w:val="004E25F2"/>
    <w:rsid w:val="004E2940"/>
    <w:rsid w:val="004E309B"/>
    <w:rsid w:val="004E33C9"/>
    <w:rsid w:val="004E3AF3"/>
    <w:rsid w:val="004E3B66"/>
    <w:rsid w:val="004E3E48"/>
    <w:rsid w:val="004E4039"/>
    <w:rsid w:val="004E424F"/>
    <w:rsid w:val="004E42C5"/>
    <w:rsid w:val="004E446B"/>
    <w:rsid w:val="004E4474"/>
    <w:rsid w:val="004E4838"/>
    <w:rsid w:val="004E49A8"/>
    <w:rsid w:val="004E4DE1"/>
    <w:rsid w:val="004E4E91"/>
    <w:rsid w:val="004E523F"/>
    <w:rsid w:val="004E52F8"/>
    <w:rsid w:val="004E56D6"/>
    <w:rsid w:val="004E5E14"/>
    <w:rsid w:val="004E61AB"/>
    <w:rsid w:val="004E626A"/>
    <w:rsid w:val="004E6317"/>
    <w:rsid w:val="004E63FA"/>
    <w:rsid w:val="004E6557"/>
    <w:rsid w:val="004E67AD"/>
    <w:rsid w:val="004E69A1"/>
    <w:rsid w:val="004E6B41"/>
    <w:rsid w:val="004E6E56"/>
    <w:rsid w:val="004E70B5"/>
    <w:rsid w:val="004E70FE"/>
    <w:rsid w:val="004E716B"/>
    <w:rsid w:val="004E720E"/>
    <w:rsid w:val="004E729E"/>
    <w:rsid w:val="004E73C9"/>
    <w:rsid w:val="004E747F"/>
    <w:rsid w:val="004E76C1"/>
    <w:rsid w:val="004E7CDE"/>
    <w:rsid w:val="004E7D88"/>
    <w:rsid w:val="004E7F73"/>
    <w:rsid w:val="004F0052"/>
    <w:rsid w:val="004F07FC"/>
    <w:rsid w:val="004F0DA4"/>
    <w:rsid w:val="004F117B"/>
    <w:rsid w:val="004F1260"/>
    <w:rsid w:val="004F1D89"/>
    <w:rsid w:val="004F1E6A"/>
    <w:rsid w:val="004F208A"/>
    <w:rsid w:val="004F21E7"/>
    <w:rsid w:val="004F22DC"/>
    <w:rsid w:val="004F251B"/>
    <w:rsid w:val="004F2A09"/>
    <w:rsid w:val="004F2CDD"/>
    <w:rsid w:val="004F2DB4"/>
    <w:rsid w:val="004F2F2B"/>
    <w:rsid w:val="004F313C"/>
    <w:rsid w:val="004F3879"/>
    <w:rsid w:val="004F3D47"/>
    <w:rsid w:val="004F3E4B"/>
    <w:rsid w:val="004F4306"/>
    <w:rsid w:val="004F4A5A"/>
    <w:rsid w:val="004F517D"/>
    <w:rsid w:val="004F5539"/>
    <w:rsid w:val="004F59B9"/>
    <w:rsid w:val="004F59ED"/>
    <w:rsid w:val="004F5AE1"/>
    <w:rsid w:val="004F5AF5"/>
    <w:rsid w:val="004F5B2B"/>
    <w:rsid w:val="004F5F19"/>
    <w:rsid w:val="004F61ED"/>
    <w:rsid w:val="004F6395"/>
    <w:rsid w:val="004F6678"/>
    <w:rsid w:val="004F6AD4"/>
    <w:rsid w:val="004F6C75"/>
    <w:rsid w:val="004F70E1"/>
    <w:rsid w:val="004F74EE"/>
    <w:rsid w:val="004F753D"/>
    <w:rsid w:val="004F759B"/>
    <w:rsid w:val="004F776B"/>
    <w:rsid w:val="004F7A5D"/>
    <w:rsid w:val="004F7AE1"/>
    <w:rsid w:val="004F7B51"/>
    <w:rsid w:val="004F7CA1"/>
    <w:rsid w:val="00500143"/>
    <w:rsid w:val="005001B1"/>
    <w:rsid w:val="00500513"/>
    <w:rsid w:val="005007FD"/>
    <w:rsid w:val="00500973"/>
    <w:rsid w:val="00500DB4"/>
    <w:rsid w:val="00500E8E"/>
    <w:rsid w:val="00500F21"/>
    <w:rsid w:val="00500F8B"/>
    <w:rsid w:val="00501059"/>
    <w:rsid w:val="005013CE"/>
    <w:rsid w:val="0050169D"/>
    <w:rsid w:val="00501B17"/>
    <w:rsid w:val="00501CDD"/>
    <w:rsid w:val="00501E38"/>
    <w:rsid w:val="00501E8C"/>
    <w:rsid w:val="00501F5D"/>
    <w:rsid w:val="0050211F"/>
    <w:rsid w:val="0050241B"/>
    <w:rsid w:val="005024A7"/>
    <w:rsid w:val="00502513"/>
    <w:rsid w:val="005025B6"/>
    <w:rsid w:val="005026CB"/>
    <w:rsid w:val="0050290C"/>
    <w:rsid w:val="0050325B"/>
    <w:rsid w:val="005034A2"/>
    <w:rsid w:val="005036D7"/>
    <w:rsid w:val="0050371A"/>
    <w:rsid w:val="00503734"/>
    <w:rsid w:val="00503868"/>
    <w:rsid w:val="00503ACF"/>
    <w:rsid w:val="00503C1B"/>
    <w:rsid w:val="00503F96"/>
    <w:rsid w:val="0050403F"/>
    <w:rsid w:val="00504107"/>
    <w:rsid w:val="00504551"/>
    <w:rsid w:val="00504A7F"/>
    <w:rsid w:val="00504C0C"/>
    <w:rsid w:val="00504FAF"/>
    <w:rsid w:val="00504FD5"/>
    <w:rsid w:val="00505100"/>
    <w:rsid w:val="00505120"/>
    <w:rsid w:val="0050541B"/>
    <w:rsid w:val="00505D8B"/>
    <w:rsid w:val="00505FC3"/>
    <w:rsid w:val="00505FE6"/>
    <w:rsid w:val="0050620F"/>
    <w:rsid w:val="00506390"/>
    <w:rsid w:val="00506755"/>
    <w:rsid w:val="00506AC4"/>
    <w:rsid w:val="00506EEB"/>
    <w:rsid w:val="005101AE"/>
    <w:rsid w:val="005103C3"/>
    <w:rsid w:val="00510980"/>
    <w:rsid w:val="00510A0E"/>
    <w:rsid w:val="00510C53"/>
    <w:rsid w:val="00510E86"/>
    <w:rsid w:val="00510F0A"/>
    <w:rsid w:val="0051100B"/>
    <w:rsid w:val="005110AB"/>
    <w:rsid w:val="00511655"/>
    <w:rsid w:val="00511CAB"/>
    <w:rsid w:val="00511D30"/>
    <w:rsid w:val="00511D39"/>
    <w:rsid w:val="005122A3"/>
    <w:rsid w:val="00512679"/>
    <w:rsid w:val="005128BC"/>
    <w:rsid w:val="00512D7D"/>
    <w:rsid w:val="00512DF4"/>
    <w:rsid w:val="00512E21"/>
    <w:rsid w:val="00512F03"/>
    <w:rsid w:val="005134BB"/>
    <w:rsid w:val="00513663"/>
    <w:rsid w:val="0051366D"/>
    <w:rsid w:val="00513818"/>
    <w:rsid w:val="005139BE"/>
    <w:rsid w:val="00513E82"/>
    <w:rsid w:val="0051418E"/>
    <w:rsid w:val="005142A5"/>
    <w:rsid w:val="0051442D"/>
    <w:rsid w:val="00514A34"/>
    <w:rsid w:val="00514ACD"/>
    <w:rsid w:val="00514B9E"/>
    <w:rsid w:val="00514C3A"/>
    <w:rsid w:val="00514EB1"/>
    <w:rsid w:val="00514EC2"/>
    <w:rsid w:val="00515298"/>
    <w:rsid w:val="00515355"/>
    <w:rsid w:val="00515BE8"/>
    <w:rsid w:val="00515D94"/>
    <w:rsid w:val="00516318"/>
    <w:rsid w:val="0051662E"/>
    <w:rsid w:val="00516A52"/>
    <w:rsid w:val="00516A67"/>
    <w:rsid w:val="00516C5A"/>
    <w:rsid w:val="00516D06"/>
    <w:rsid w:val="00516D18"/>
    <w:rsid w:val="00516F4F"/>
    <w:rsid w:val="0051771D"/>
    <w:rsid w:val="00517ACB"/>
    <w:rsid w:val="00517E1E"/>
    <w:rsid w:val="00517FCC"/>
    <w:rsid w:val="00517FD9"/>
    <w:rsid w:val="00520500"/>
    <w:rsid w:val="005205C7"/>
    <w:rsid w:val="00520695"/>
    <w:rsid w:val="00520A38"/>
    <w:rsid w:val="00521036"/>
    <w:rsid w:val="0052104A"/>
    <w:rsid w:val="005211B6"/>
    <w:rsid w:val="00521A8B"/>
    <w:rsid w:val="00521AF7"/>
    <w:rsid w:val="00522012"/>
    <w:rsid w:val="005220DA"/>
    <w:rsid w:val="00522891"/>
    <w:rsid w:val="005228B4"/>
    <w:rsid w:val="0052292D"/>
    <w:rsid w:val="00522C7E"/>
    <w:rsid w:val="00522CBA"/>
    <w:rsid w:val="00522F12"/>
    <w:rsid w:val="00523425"/>
    <w:rsid w:val="00524018"/>
    <w:rsid w:val="00524204"/>
    <w:rsid w:val="00524310"/>
    <w:rsid w:val="00524420"/>
    <w:rsid w:val="00524E5F"/>
    <w:rsid w:val="005250E8"/>
    <w:rsid w:val="005258C4"/>
    <w:rsid w:val="005258E6"/>
    <w:rsid w:val="00526024"/>
    <w:rsid w:val="005261DD"/>
    <w:rsid w:val="005261F3"/>
    <w:rsid w:val="00526457"/>
    <w:rsid w:val="005266D8"/>
    <w:rsid w:val="00526905"/>
    <w:rsid w:val="00526D40"/>
    <w:rsid w:val="00526FC2"/>
    <w:rsid w:val="005275F4"/>
    <w:rsid w:val="005276CB"/>
    <w:rsid w:val="0052778E"/>
    <w:rsid w:val="00527882"/>
    <w:rsid w:val="005278D2"/>
    <w:rsid w:val="00527C89"/>
    <w:rsid w:val="00527E0D"/>
    <w:rsid w:val="00527FC5"/>
    <w:rsid w:val="00527FFE"/>
    <w:rsid w:val="0053022A"/>
    <w:rsid w:val="005304C8"/>
    <w:rsid w:val="0053085F"/>
    <w:rsid w:val="00530D9E"/>
    <w:rsid w:val="00530DD9"/>
    <w:rsid w:val="00531387"/>
    <w:rsid w:val="00531858"/>
    <w:rsid w:val="00531B98"/>
    <w:rsid w:val="00531D8F"/>
    <w:rsid w:val="00531DA8"/>
    <w:rsid w:val="005320DC"/>
    <w:rsid w:val="00532113"/>
    <w:rsid w:val="005321EF"/>
    <w:rsid w:val="005322F5"/>
    <w:rsid w:val="0053239A"/>
    <w:rsid w:val="00532E2A"/>
    <w:rsid w:val="00533125"/>
    <w:rsid w:val="005331DA"/>
    <w:rsid w:val="00533717"/>
    <w:rsid w:val="00533757"/>
    <w:rsid w:val="00533A53"/>
    <w:rsid w:val="00533AE6"/>
    <w:rsid w:val="00533B85"/>
    <w:rsid w:val="00533C39"/>
    <w:rsid w:val="00533C41"/>
    <w:rsid w:val="00533C72"/>
    <w:rsid w:val="00533D15"/>
    <w:rsid w:val="0053424D"/>
    <w:rsid w:val="00534296"/>
    <w:rsid w:val="005346B1"/>
    <w:rsid w:val="00534B6C"/>
    <w:rsid w:val="00534EBC"/>
    <w:rsid w:val="00535051"/>
    <w:rsid w:val="00535117"/>
    <w:rsid w:val="005355EC"/>
    <w:rsid w:val="00535606"/>
    <w:rsid w:val="005359D2"/>
    <w:rsid w:val="00535E37"/>
    <w:rsid w:val="005369F6"/>
    <w:rsid w:val="00536DC0"/>
    <w:rsid w:val="00536DEE"/>
    <w:rsid w:val="00537046"/>
    <w:rsid w:val="0053721F"/>
    <w:rsid w:val="00537461"/>
    <w:rsid w:val="0053770B"/>
    <w:rsid w:val="005379C1"/>
    <w:rsid w:val="00537A5A"/>
    <w:rsid w:val="00537B3B"/>
    <w:rsid w:val="005400D2"/>
    <w:rsid w:val="00540170"/>
    <w:rsid w:val="005404A4"/>
    <w:rsid w:val="00540874"/>
    <w:rsid w:val="00540A3B"/>
    <w:rsid w:val="00540A65"/>
    <w:rsid w:val="00541077"/>
    <w:rsid w:val="00541270"/>
    <w:rsid w:val="005414DE"/>
    <w:rsid w:val="0054162B"/>
    <w:rsid w:val="00541793"/>
    <w:rsid w:val="0054190A"/>
    <w:rsid w:val="00541BD5"/>
    <w:rsid w:val="00541DA2"/>
    <w:rsid w:val="00541F31"/>
    <w:rsid w:val="005420AC"/>
    <w:rsid w:val="00542387"/>
    <w:rsid w:val="00542548"/>
    <w:rsid w:val="00542653"/>
    <w:rsid w:val="00542896"/>
    <w:rsid w:val="00542A05"/>
    <w:rsid w:val="00542D2D"/>
    <w:rsid w:val="00542E89"/>
    <w:rsid w:val="0054335B"/>
    <w:rsid w:val="00543700"/>
    <w:rsid w:val="0054371F"/>
    <w:rsid w:val="0054373C"/>
    <w:rsid w:val="00543A33"/>
    <w:rsid w:val="00543D69"/>
    <w:rsid w:val="00543D97"/>
    <w:rsid w:val="0054468F"/>
    <w:rsid w:val="00544874"/>
    <w:rsid w:val="005448EC"/>
    <w:rsid w:val="00544962"/>
    <w:rsid w:val="00544D02"/>
    <w:rsid w:val="00544DE1"/>
    <w:rsid w:val="00544FB3"/>
    <w:rsid w:val="0054514E"/>
    <w:rsid w:val="00545301"/>
    <w:rsid w:val="00545B80"/>
    <w:rsid w:val="005462A3"/>
    <w:rsid w:val="005469E7"/>
    <w:rsid w:val="00546C79"/>
    <w:rsid w:val="00546C97"/>
    <w:rsid w:val="00546CC5"/>
    <w:rsid w:val="00546D18"/>
    <w:rsid w:val="00546D92"/>
    <w:rsid w:val="00547056"/>
    <w:rsid w:val="00547260"/>
    <w:rsid w:val="0054785D"/>
    <w:rsid w:val="00547871"/>
    <w:rsid w:val="0054793A"/>
    <w:rsid w:val="005479C7"/>
    <w:rsid w:val="00547A88"/>
    <w:rsid w:val="00547DD6"/>
    <w:rsid w:val="00547FBE"/>
    <w:rsid w:val="00550075"/>
    <w:rsid w:val="005502D6"/>
    <w:rsid w:val="00550468"/>
    <w:rsid w:val="00550CCC"/>
    <w:rsid w:val="00550E14"/>
    <w:rsid w:val="005510E8"/>
    <w:rsid w:val="0055112A"/>
    <w:rsid w:val="0055120C"/>
    <w:rsid w:val="005512B2"/>
    <w:rsid w:val="0055140B"/>
    <w:rsid w:val="00551635"/>
    <w:rsid w:val="00551AD1"/>
    <w:rsid w:val="00551AFE"/>
    <w:rsid w:val="00551BC0"/>
    <w:rsid w:val="00551EB3"/>
    <w:rsid w:val="00551EBB"/>
    <w:rsid w:val="00552463"/>
    <w:rsid w:val="00552577"/>
    <w:rsid w:val="00552700"/>
    <w:rsid w:val="00552766"/>
    <w:rsid w:val="005529D0"/>
    <w:rsid w:val="00552C61"/>
    <w:rsid w:val="005537AC"/>
    <w:rsid w:val="005538E8"/>
    <w:rsid w:val="00553C08"/>
    <w:rsid w:val="00553E4E"/>
    <w:rsid w:val="00553F26"/>
    <w:rsid w:val="00554082"/>
    <w:rsid w:val="005542FD"/>
    <w:rsid w:val="00554C03"/>
    <w:rsid w:val="00554D18"/>
    <w:rsid w:val="00554DA4"/>
    <w:rsid w:val="00554FC0"/>
    <w:rsid w:val="00555428"/>
    <w:rsid w:val="00555492"/>
    <w:rsid w:val="00555537"/>
    <w:rsid w:val="00555588"/>
    <w:rsid w:val="00555597"/>
    <w:rsid w:val="00555641"/>
    <w:rsid w:val="00555655"/>
    <w:rsid w:val="005556C2"/>
    <w:rsid w:val="00555775"/>
    <w:rsid w:val="0055593D"/>
    <w:rsid w:val="0055593F"/>
    <w:rsid w:val="00555D81"/>
    <w:rsid w:val="00555EA3"/>
    <w:rsid w:val="00555F83"/>
    <w:rsid w:val="0055625E"/>
    <w:rsid w:val="0055626F"/>
    <w:rsid w:val="00556663"/>
    <w:rsid w:val="00556AEC"/>
    <w:rsid w:val="00556C1E"/>
    <w:rsid w:val="00556CFF"/>
    <w:rsid w:val="00556EAC"/>
    <w:rsid w:val="0055702C"/>
    <w:rsid w:val="005570A0"/>
    <w:rsid w:val="005572A2"/>
    <w:rsid w:val="005572F0"/>
    <w:rsid w:val="00557531"/>
    <w:rsid w:val="0055767A"/>
    <w:rsid w:val="005577E9"/>
    <w:rsid w:val="00557958"/>
    <w:rsid w:val="00557B8E"/>
    <w:rsid w:val="00557B9B"/>
    <w:rsid w:val="00557D4E"/>
    <w:rsid w:val="0056072A"/>
    <w:rsid w:val="00560783"/>
    <w:rsid w:val="00560C16"/>
    <w:rsid w:val="00560D7D"/>
    <w:rsid w:val="00560E5A"/>
    <w:rsid w:val="00560F18"/>
    <w:rsid w:val="005612AF"/>
    <w:rsid w:val="00561673"/>
    <w:rsid w:val="005617AB"/>
    <w:rsid w:val="00561841"/>
    <w:rsid w:val="00561C56"/>
    <w:rsid w:val="00561CAC"/>
    <w:rsid w:val="00561DA1"/>
    <w:rsid w:val="00562362"/>
    <w:rsid w:val="005625E7"/>
    <w:rsid w:val="00562797"/>
    <w:rsid w:val="00562C48"/>
    <w:rsid w:val="00562C7F"/>
    <w:rsid w:val="00562D86"/>
    <w:rsid w:val="00562EDA"/>
    <w:rsid w:val="0056312E"/>
    <w:rsid w:val="005633E4"/>
    <w:rsid w:val="00563AD6"/>
    <w:rsid w:val="00564144"/>
    <w:rsid w:val="005641FB"/>
    <w:rsid w:val="00564D74"/>
    <w:rsid w:val="00564E18"/>
    <w:rsid w:val="0056515A"/>
    <w:rsid w:val="0056529F"/>
    <w:rsid w:val="005652F4"/>
    <w:rsid w:val="0056562A"/>
    <w:rsid w:val="005658E8"/>
    <w:rsid w:val="0056597D"/>
    <w:rsid w:val="00565CCD"/>
    <w:rsid w:val="00565D9D"/>
    <w:rsid w:val="00565E79"/>
    <w:rsid w:val="0056606A"/>
    <w:rsid w:val="00566202"/>
    <w:rsid w:val="00566207"/>
    <w:rsid w:val="0056623C"/>
    <w:rsid w:val="00566A15"/>
    <w:rsid w:val="005672DB"/>
    <w:rsid w:val="005678A0"/>
    <w:rsid w:val="00567A80"/>
    <w:rsid w:val="00570026"/>
    <w:rsid w:val="00570100"/>
    <w:rsid w:val="005701A5"/>
    <w:rsid w:val="005701FB"/>
    <w:rsid w:val="005704E8"/>
    <w:rsid w:val="00570E86"/>
    <w:rsid w:val="00571236"/>
    <w:rsid w:val="0057142E"/>
    <w:rsid w:val="0057147E"/>
    <w:rsid w:val="005719C8"/>
    <w:rsid w:val="00571DC7"/>
    <w:rsid w:val="0057245A"/>
    <w:rsid w:val="00572897"/>
    <w:rsid w:val="00572A6A"/>
    <w:rsid w:val="00573007"/>
    <w:rsid w:val="005730D3"/>
    <w:rsid w:val="005733B3"/>
    <w:rsid w:val="00573880"/>
    <w:rsid w:val="00573934"/>
    <w:rsid w:val="0057395D"/>
    <w:rsid w:val="0057454B"/>
    <w:rsid w:val="005747A8"/>
    <w:rsid w:val="005747DA"/>
    <w:rsid w:val="005748A8"/>
    <w:rsid w:val="00574AF9"/>
    <w:rsid w:val="00574B70"/>
    <w:rsid w:val="00574E79"/>
    <w:rsid w:val="00575123"/>
    <w:rsid w:val="0057537A"/>
    <w:rsid w:val="00575578"/>
    <w:rsid w:val="00575653"/>
    <w:rsid w:val="0057570F"/>
    <w:rsid w:val="00575721"/>
    <w:rsid w:val="005758A3"/>
    <w:rsid w:val="00575C30"/>
    <w:rsid w:val="00575CC9"/>
    <w:rsid w:val="00575D78"/>
    <w:rsid w:val="00575DF9"/>
    <w:rsid w:val="00575EC5"/>
    <w:rsid w:val="005761F0"/>
    <w:rsid w:val="005763D4"/>
    <w:rsid w:val="00576AEA"/>
    <w:rsid w:val="00577100"/>
    <w:rsid w:val="005773F5"/>
    <w:rsid w:val="005774F4"/>
    <w:rsid w:val="00577708"/>
    <w:rsid w:val="005777C8"/>
    <w:rsid w:val="0057784A"/>
    <w:rsid w:val="00577A32"/>
    <w:rsid w:val="00577D1A"/>
    <w:rsid w:val="00577D4F"/>
    <w:rsid w:val="00580289"/>
    <w:rsid w:val="00580303"/>
    <w:rsid w:val="005804C0"/>
    <w:rsid w:val="005805FC"/>
    <w:rsid w:val="0058081A"/>
    <w:rsid w:val="00580A52"/>
    <w:rsid w:val="00580D64"/>
    <w:rsid w:val="005810A0"/>
    <w:rsid w:val="005814A7"/>
    <w:rsid w:val="005815C3"/>
    <w:rsid w:val="005815F0"/>
    <w:rsid w:val="005819D0"/>
    <w:rsid w:val="00581EA9"/>
    <w:rsid w:val="005829CA"/>
    <w:rsid w:val="00582A37"/>
    <w:rsid w:val="00582A6E"/>
    <w:rsid w:val="00582B8E"/>
    <w:rsid w:val="00582C3A"/>
    <w:rsid w:val="005831B3"/>
    <w:rsid w:val="0058320B"/>
    <w:rsid w:val="0058340B"/>
    <w:rsid w:val="00583439"/>
    <w:rsid w:val="005835AF"/>
    <w:rsid w:val="005835ED"/>
    <w:rsid w:val="005838B9"/>
    <w:rsid w:val="00583A3F"/>
    <w:rsid w:val="00583B2A"/>
    <w:rsid w:val="00583D5B"/>
    <w:rsid w:val="00583EDE"/>
    <w:rsid w:val="00584537"/>
    <w:rsid w:val="0058455B"/>
    <w:rsid w:val="00584A47"/>
    <w:rsid w:val="00584BC4"/>
    <w:rsid w:val="00584E4A"/>
    <w:rsid w:val="00584F19"/>
    <w:rsid w:val="00584FDB"/>
    <w:rsid w:val="00585164"/>
    <w:rsid w:val="00585165"/>
    <w:rsid w:val="005852D2"/>
    <w:rsid w:val="005853FA"/>
    <w:rsid w:val="0058566B"/>
    <w:rsid w:val="00585EFA"/>
    <w:rsid w:val="005860F0"/>
    <w:rsid w:val="005861C3"/>
    <w:rsid w:val="0058631F"/>
    <w:rsid w:val="005866D3"/>
    <w:rsid w:val="00586A01"/>
    <w:rsid w:val="00586CEF"/>
    <w:rsid w:val="00586D3D"/>
    <w:rsid w:val="005871B9"/>
    <w:rsid w:val="005872FC"/>
    <w:rsid w:val="0058768C"/>
    <w:rsid w:val="0058770C"/>
    <w:rsid w:val="00587806"/>
    <w:rsid w:val="00587B1D"/>
    <w:rsid w:val="00587E90"/>
    <w:rsid w:val="0059009F"/>
    <w:rsid w:val="00590119"/>
    <w:rsid w:val="00590315"/>
    <w:rsid w:val="0059061F"/>
    <w:rsid w:val="005907BE"/>
    <w:rsid w:val="00590BC6"/>
    <w:rsid w:val="00590E14"/>
    <w:rsid w:val="00590FE7"/>
    <w:rsid w:val="00591085"/>
    <w:rsid w:val="005912D6"/>
    <w:rsid w:val="00591671"/>
    <w:rsid w:val="00591AEA"/>
    <w:rsid w:val="005923C5"/>
    <w:rsid w:val="005923FD"/>
    <w:rsid w:val="005927A2"/>
    <w:rsid w:val="00592803"/>
    <w:rsid w:val="0059291D"/>
    <w:rsid w:val="005929A8"/>
    <w:rsid w:val="00592A0B"/>
    <w:rsid w:val="00592DB0"/>
    <w:rsid w:val="00592EC1"/>
    <w:rsid w:val="00593007"/>
    <w:rsid w:val="005930B6"/>
    <w:rsid w:val="005935DC"/>
    <w:rsid w:val="00593660"/>
    <w:rsid w:val="0059381D"/>
    <w:rsid w:val="00593E36"/>
    <w:rsid w:val="00593ED9"/>
    <w:rsid w:val="00593FF1"/>
    <w:rsid w:val="005942E9"/>
    <w:rsid w:val="0059456B"/>
    <w:rsid w:val="00594D04"/>
    <w:rsid w:val="00594E17"/>
    <w:rsid w:val="00594E37"/>
    <w:rsid w:val="00594EB6"/>
    <w:rsid w:val="00594FD0"/>
    <w:rsid w:val="00595016"/>
    <w:rsid w:val="00595930"/>
    <w:rsid w:val="00595C27"/>
    <w:rsid w:val="00595F5A"/>
    <w:rsid w:val="00595FDB"/>
    <w:rsid w:val="00596126"/>
    <w:rsid w:val="005962E1"/>
    <w:rsid w:val="0059631A"/>
    <w:rsid w:val="0059662C"/>
    <w:rsid w:val="00596AD8"/>
    <w:rsid w:val="00596F9E"/>
    <w:rsid w:val="0059702B"/>
    <w:rsid w:val="005970CA"/>
    <w:rsid w:val="00597193"/>
    <w:rsid w:val="0059739E"/>
    <w:rsid w:val="00597475"/>
    <w:rsid w:val="00597575"/>
    <w:rsid w:val="005979F1"/>
    <w:rsid w:val="00597BDE"/>
    <w:rsid w:val="00597FF5"/>
    <w:rsid w:val="005A0079"/>
    <w:rsid w:val="005A077B"/>
    <w:rsid w:val="005A0C24"/>
    <w:rsid w:val="005A0E45"/>
    <w:rsid w:val="005A0EBB"/>
    <w:rsid w:val="005A106A"/>
    <w:rsid w:val="005A1466"/>
    <w:rsid w:val="005A16A3"/>
    <w:rsid w:val="005A1D37"/>
    <w:rsid w:val="005A1E58"/>
    <w:rsid w:val="005A202E"/>
    <w:rsid w:val="005A20BF"/>
    <w:rsid w:val="005A2354"/>
    <w:rsid w:val="005A2529"/>
    <w:rsid w:val="005A26A0"/>
    <w:rsid w:val="005A2865"/>
    <w:rsid w:val="005A2B5C"/>
    <w:rsid w:val="005A2B65"/>
    <w:rsid w:val="005A2E24"/>
    <w:rsid w:val="005A2E44"/>
    <w:rsid w:val="005A327E"/>
    <w:rsid w:val="005A343F"/>
    <w:rsid w:val="005A36DB"/>
    <w:rsid w:val="005A3750"/>
    <w:rsid w:val="005A3784"/>
    <w:rsid w:val="005A39F3"/>
    <w:rsid w:val="005A3B37"/>
    <w:rsid w:val="005A3E98"/>
    <w:rsid w:val="005A4155"/>
    <w:rsid w:val="005A45A7"/>
    <w:rsid w:val="005A5071"/>
    <w:rsid w:val="005A56EE"/>
    <w:rsid w:val="005A5852"/>
    <w:rsid w:val="005A58AD"/>
    <w:rsid w:val="005A58C9"/>
    <w:rsid w:val="005A5A8D"/>
    <w:rsid w:val="005A5F4A"/>
    <w:rsid w:val="005A65FE"/>
    <w:rsid w:val="005A684F"/>
    <w:rsid w:val="005A6BD8"/>
    <w:rsid w:val="005A6C04"/>
    <w:rsid w:val="005A6C5A"/>
    <w:rsid w:val="005A6D4B"/>
    <w:rsid w:val="005A70C7"/>
    <w:rsid w:val="005A7454"/>
    <w:rsid w:val="005A7ABA"/>
    <w:rsid w:val="005A7B0E"/>
    <w:rsid w:val="005B03F9"/>
    <w:rsid w:val="005B0453"/>
    <w:rsid w:val="005B0608"/>
    <w:rsid w:val="005B07ED"/>
    <w:rsid w:val="005B0C27"/>
    <w:rsid w:val="005B0FB5"/>
    <w:rsid w:val="005B1005"/>
    <w:rsid w:val="005B1076"/>
    <w:rsid w:val="005B1096"/>
    <w:rsid w:val="005B146B"/>
    <w:rsid w:val="005B1B26"/>
    <w:rsid w:val="005B1C02"/>
    <w:rsid w:val="005B1D84"/>
    <w:rsid w:val="005B1E17"/>
    <w:rsid w:val="005B1EA4"/>
    <w:rsid w:val="005B21AA"/>
    <w:rsid w:val="005B24C7"/>
    <w:rsid w:val="005B253D"/>
    <w:rsid w:val="005B267F"/>
    <w:rsid w:val="005B2788"/>
    <w:rsid w:val="005B290C"/>
    <w:rsid w:val="005B2A9E"/>
    <w:rsid w:val="005B2B48"/>
    <w:rsid w:val="005B2B65"/>
    <w:rsid w:val="005B2E0A"/>
    <w:rsid w:val="005B2E7D"/>
    <w:rsid w:val="005B2FD8"/>
    <w:rsid w:val="005B309D"/>
    <w:rsid w:val="005B32CF"/>
    <w:rsid w:val="005B3704"/>
    <w:rsid w:val="005B38F8"/>
    <w:rsid w:val="005B39A3"/>
    <w:rsid w:val="005B3F1A"/>
    <w:rsid w:val="005B43B2"/>
    <w:rsid w:val="005B4A4C"/>
    <w:rsid w:val="005B4C3D"/>
    <w:rsid w:val="005B51B1"/>
    <w:rsid w:val="005B5503"/>
    <w:rsid w:val="005B5647"/>
    <w:rsid w:val="005B56A4"/>
    <w:rsid w:val="005B5817"/>
    <w:rsid w:val="005B5AFA"/>
    <w:rsid w:val="005B60B1"/>
    <w:rsid w:val="005B60E9"/>
    <w:rsid w:val="005B61CE"/>
    <w:rsid w:val="005B65BD"/>
    <w:rsid w:val="005B65DD"/>
    <w:rsid w:val="005B6717"/>
    <w:rsid w:val="005B6AB7"/>
    <w:rsid w:val="005B6BC1"/>
    <w:rsid w:val="005B6F56"/>
    <w:rsid w:val="005B72A6"/>
    <w:rsid w:val="005B7537"/>
    <w:rsid w:val="005B765A"/>
    <w:rsid w:val="005B78D0"/>
    <w:rsid w:val="005B78FC"/>
    <w:rsid w:val="005B7CD7"/>
    <w:rsid w:val="005C0011"/>
    <w:rsid w:val="005C011B"/>
    <w:rsid w:val="005C04DE"/>
    <w:rsid w:val="005C0960"/>
    <w:rsid w:val="005C09B7"/>
    <w:rsid w:val="005C0B85"/>
    <w:rsid w:val="005C0DCD"/>
    <w:rsid w:val="005C1303"/>
    <w:rsid w:val="005C15A5"/>
    <w:rsid w:val="005C160E"/>
    <w:rsid w:val="005C1721"/>
    <w:rsid w:val="005C17E1"/>
    <w:rsid w:val="005C1D58"/>
    <w:rsid w:val="005C2128"/>
    <w:rsid w:val="005C2458"/>
    <w:rsid w:val="005C2567"/>
    <w:rsid w:val="005C265E"/>
    <w:rsid w:val="005C2675"/>
    <w:rsid w:val="005C2680"/>
    <w:rsid w:val="005C2CED"/>
    <w:rsid w:val="005C3277"/>
    <w:rsid w:val="005C367F"/>
    <w:rsid w:val="005C36FC"/>
    <w:rsid w:val="005C38C3"/>
    <w:rsid w:val="005C38C7"/>
    <w:rsid w:val="005C390F"/>
    <w:rsid w:val="005C3A53"/>
    <w:rsid w:val="005C3A71"/>
    <w:rsid w:val="005C3C74"/>
    <w:rsid w:val="005C42DB"/>
    <w:rsid w:val="005C435D"/>
    <w:rsid w:val="005C4884"/>
    <w:rsid w:val="005C57F0"/>
    <w:rsid w:val="005C58C3"/>
    <w:rsid w:val="005C58CC"/>
    <w:rsid w:val="005C5B19"/>
    <w:rsid w:val="005C6083"/>
    <w:rsid w:val="005C60A8"/>
    <w:rsid w:val="005C60C1"/>
    <w:rsid w:val="005C62D9"/>
    <w:rsid w:val="005C62FA"/>
    <w:rsid w:val="005C62FD"/>
    <w:rsid w:val="005C6331"/>
    <w:rsid w:val="005C6C6B"/>
    <w:rsid w:val="005C6E1D"/>
    <w:rsid w:val="005C6FE8"/>
    <w:rsid w:val="005C7164"/>
    <w:rsid w:val="005C730D"/>
    <w:rsid w:val="005C7661"/>
    <w:rsid w:val="005C7D3E"/>
    <w:rsid w:val="005C7F20"/>
    <w:rsid w:val="005D00A1"/>
    <w:rsid w:val="005D00A4"/>
    <w:rsid w:val="005D0363"/>
    <w:rsid w:val="005D0703"/>
    <w:rsid w:val="005D075E"/>
    <w:rsid w:val="005D0EE3"/>
    <w:rsid w:val="005D1045"/>
    <w:rsid w:val="005D1D90"/>
    <w:rsid w:val="005D1EB0"/>
    <w:rsid w:val="005D1F6F"/>
    <w:rsid w:val="005D2023"/>
    <w:rsid w:val="005D2B2C"/>
    <w:rsid w:val="005D2D9A"/>
    <w:rsid w:val="005D2DA6"/>
    <w:rsid w:val="005D2EFB"/>
    <w:rsid w:val="005D3118"/>
    <w:rsid w:val="005D381C"/>
    <w:rsid w:val="005D3AC6"/>
    <w:rsid w:val="005D3B9A"/>
    <w:rsid w:val="005D3BE1"/>
    <w:rsid w:val="005D3D3B"/>
    <w:rsid w:val="005D4028"/>
    <w:rsid w:val="005D4096"/>
    <w:rsid w:val="005D4160"/>
    <w:rsid w:val="005D41E4"/>
    <w:rsid w:val="005D43CF"/>
    <w:rsid w:val="005D449E"/>
    <w:rsid w:val="005D49EE"/>
    <w:rsid w:val="005D5014"/>
    <w:rsid w:val="005D51D3"/>
    <w:rsid w:val="005D5204"/>
    <w:rsid w:val="005D5242"/>
    <w:rsid w:val="005D52C5"/>
    <w:rsid w:val="005D530D"/>
    <w:rsid w:val="005D53A3"/>
    <w:rsid w:val="005D53E3"/>
    <w:rsid w:val="005D5556"/>
    <w:rsid w:val="005D567A"/>
    <w:rsid w:val="005D56CF"/>
    <w:rsid w:val="005D5839"/>
    <w:rsid w:val="005D5BAB"/>
    <w:rsid w:val="005D5EFD"/>
    <w:rsid w:val="005D623E"/>
    <w:rsid w:val="005D6346"/>
    <w:rsid w:val="005D664A"/>
    <w:rsid w:val="005D67B6"/>
    <w:rsid w:val="005D6830"/>
    <w:rsid w:val="005D68DE"/>
    <w:rsid w:val="005D7216"/>
    <w:rsid w:val="005D741B"/>
    <w:rsid w:val="005D7447"/>
    <w:rsid w:val="005D797B"/>
    <w:rsid w:val="005D7A72"/>
    <w:rsid w:val="005D7CF6"/>
    <w:rsid w:val="005D7EEF"/>
    <w:rsid w:val="005D7F1C"/>
    <w:rsid w:val="005E01CD"/>
    <w:rsid w:val="005E0407"/>
    <w:rsid w:val="005E047B"/>
    <w:rsid w:val="005E0813"/>
    <w:rsid w:val="005E0B01"/>
    <w:rsid w:val="005E0BF8"/>
    <w:rsid w:val="005E0CCC"/>
    <w:rsid w:val="005E11C5"/>
    <w:rsid w:val="005E1335"/>
    <w:rsid w:val="005E146E"/>
    <w:rsid w:val="005E153F"/>
    <w:rsid w:val="005E181C"/>
    <w:rsid w:val="005E1827"/>
    <w:rsid w:val="005E1A16"/>
    <w:rsid w:val="005E1F27"/>
    <w:rsid w:val="005E20E3"/>
    <w:rsid w:val="005E22B1"/>
    <w:rsid w:val="005E2400"/>
    <w:rsid w:val="005E270C"/>
    <w:rsid w:val="005E29A4"/>
    <w:rsid w:val="005E2D5F"/>
    <w:rsid w:val="005E2F55"/>
    <w:rsid w:val="005E2F5C"/>
    <w:rsid w:val="005E301F"/>
    <w:rsid w:val="005E3500"/>
    <w:rsid w:val="005E3676"/>
    <w:rsid w:val="005E379D"/>
    <w:rsid w:val="005E39C9"/>
    <w:rsid w:val="005E3D8B"/>
    <w:rsid w:val="005E416F"/>
    <w:rsid w:val="005E41E0"/>
    <w:rsid w:val="005E42BB"/>
    <w:rsid w:val="005E4307"/>
    <w:rsid w:val="005E44DF"/>
    <w:rsid w:val="005E4527"/>
    <w:rsid w:val="005E459B"/>
    <w:rsid w:val="005E47E3"/>
    <w:rsid w:val="005E486B"/>
    <w:rsid w:val="005E4D34"/>
    <w:rsid w:val="005E4FEF"/>
    <w:rsid w:val="005E5367"/>
    <w:rsid w:val="005E544C"/>
    <w:rsid w:val="005E552B"/>
    <w:rsid w:val="005E55A4"/>
    <w:rsid w:val="005E5A01"/>
    <w:rsid w:val="005E5BAE"/>
    <w:rsid w:val="005E5BC5"/>
    <w:rsid w:val="005E622B"/>
    <w:rsid w:val="005E6675"/>
    <w:rsid w:val="005E676D"/>
    <w:rsid w:val="005E679F"/>
    <w:rsid w:val="005E6978"/>
    <w:rsid w:val="005E7005"/>
    <w:rsid w:val="005E7373"/>
    <w:rsid w:val="005E73A0"/>
    <w:rsid w:val="005E7685"/>
    <w:rsid w:val="005E77AF"/>
    <w:rsid w:val="005E7C2D"/>
    <w:rsid w:val="005E7CB9"/>
    <w:rsid w:val="005F029E"/>
    <w:rsid w:val="005F07D6"/>
    <w:rsid w:val="005F0869"/>
    <w:rsid w:val="005F08C8"/>
    <w:rsid w:val="005F09DD"/>
    <w:rsid w:val="005F0ACA"/>
    <w:rsid w:val="005F0BF4"/>
    <w:rsid w:val="005F0CDA"/>
    <w:rsid w:val="005F10D4"/>
    <w:rsid w:val="005F12FE"/>
    <w:rsid w:val="005F14A4"/>
    <w:rsid w:val="005F1E98"/>
    <w:rsid w:val="005F2104"/>
    <w:rsid w:val="005F24DE"/>
    <w:rsid w:val="005F27DA"/>
    <w:rsid w:val="005F2830"/>
    <w:rsid w:val="005F29CD"/>
    <w:rsid w:val="005F2B17"/>
    <w:rsid w:val="005F2CB6"/>
    <w:rsid w:val="005F2ED8"/>
    <w:rsid w:val="005F3164"/>
    <w:rsid w:val="005F3274"/>
    <w:rsid w:val="005F32C8"/>
    <w:rsid w:val="005F34FD"/>
    <w:rsid w:val="005F3E90"/>
    <w:rsid w:val="005F3FC5"/>
    <w:rsid w:val="005F4067"/>
    <w:rsid w:val="005F4263"/>
    <w:rsid w:val="005F436F"/>
    <w:rsid w:val="005F4475"/>
    <w:rsid w:val="005F4950"/>
    <w:rsid w:val="005F4CD4"/>
    <w:rsid w:val="005F522C"/>
    <w:rsid w:val="005F5F07"/>
    <w:rsid w:val="005F622F"/>
    <w:rsid w:val="005F6330"/>
    <w:rsid w:val="005F63BB"/>
    <w:rsid w:val="005F642A"/>
    <w:rsid w:val="005F65F8"/>
    <w:rsid w:val="005F6EBF"/>
    <w:rsid w:val="005F7171"/>
    <w:rsid w:val="005F71AC"/>
    <w:rsid w:val="005F7230"/>
    <w:rsid w:val="005F738E"/>
    <w:rsid w:val="005F753A"/>
    <w:rsid w:val="005F77A4"/>
    <w:rsid w:val="005F7B06"/>
    <w:rsid w:val="005F7B35"/>
    <w:rsid w:val="005F7D98"/>
    <w:rsid w:val="00600241"/>
    <w:rsid w:val="00600287"/>
    <w:rsid w:val="006007DA"/>
    <w:rsid w:val="00600C7D"/>
    <w:rsid w:val="00600D11"/>
    <w:rsid w:val="00600E58"/>
    <w:rsid w:val="006010AF"/>
    <w:rsid w:val="0060164A"/>
    <w:rsid w:val="0060167B"/>
    <w:rsid w:val="006018D6"/>
    <w:rsid w:val="00601966"/>
    <w:rsid w:val="00601A00"/>
    <w:rsid w:val="00601A27"/>
    <w:rsid w:val="00602125"/>
    <w:rsid w:val="006025A7"/>
    <w:rsid w:val="0060273E"/>
    <w:rsid w:val="0060281E"/>
    <w:rsid w:val="0060283E"/>
    <w:rsid w:val="00602F02"/>
    <w:rsid w:val="0060359E"/>
    <w:rsid w:val="00603697"/>
    <w:rsid w:val="006038E7"/>
    <w:rsid w:val="00603976"/>
    <w:rsid w:val="00603EBE"/>
    <w:rsid w:val="0060414A"/>
    <w:rsid w:val="006041FC"/>
    <w:rsid w:val="006043BD"/>
    <w:rsid w:val="0060446D"/>
    <w:rsid w:val="00604522"/>
    <w:rsid w:val="0060456A"/>
    <w:rsid w:val="006045C2"/>
    <w:rsid w:val="0060474A"/>
    <w:rsid w:val="00604C73"/>
    <w:rsid w:val="00604E30"/>
    <w:rsid w:val="006053B9"/>
    <w:rsid w:val="006053DA"/>
    <w:rsid w:val="00605408"/>
    <w:rsid w:val="00605533"/>
    <w:rsid w:val="0060553F"/>
    <w:rsid w:val="0060559F"/>
    <w:rsid w:val="006055A6"/>
    <w:rsid w:val="006055B6"/>
    <w:rsid w:val="006056B4"/>
    <w:rsid w:val="00605718"/>
    <w:rsid w:val="00605767"/>
    <w:rsid w:val="00605CFF"/>
    <w:rsid w:val="006060E5"/>
    <w:rsid w:val="00606186"/>
    <w:rsid w:val="006064E6"/>
    <w:rsid w:val="0060657C"/>
    <w:rsid w:val="00606944"/>
    <w:rsid w:val="006069A3"/>
    <w:rsid w:val="006069E2"/>
    <w:rsid w:val="00606B80"/>
    <w:rsid w:val="00606D11"/>
    <w:rsid w:val="00606F0D"/>
    <w:rsid w:val="00606F11"/>
    <w:rsid w:val="006070A6"/>
    <w:rsid w:val="006070F6"/>
    <w:rsid w:val="0060787D"/>
    <w:rsid w:val="00607C17"/>
    <w:rsid w:val="00607DC5"/>
    <w:rsid w:val="00607E61"/>
    <w:rsid w:val="00607E9E"/>
    <w:rsid w:val="00610102"/>
    <w:rsid w:val="00610691"/>
    <w:rsid w:val="006109DB"/>
    <w:rsid w:val="00610A84"/>
    <w:rsid w:val="00610C4D"/>
    <w:rsid w:val="00611124"/>
    <w:rsid w:val="0061113E"/>
    <w:rsid w:val="00611D47"/>
    <w:rsid w:val="00611E83"/>
    <w:rsid w:val="00612149"/>
    <w:rsid w:val="006125A3"/>
    <w:rsid w:val="006127B1"/>
    <w:rsid w:val="0061289D"/>
    <w:rsid w:val="006128EE"/>
    <w:rsid w:val="0061319E"/>
    <w:rsid w:val="00613249"/>
    <w:rsid w:val="006132EC"/>
    <w:rsid w:val="0061377B"/>
    <w:rsid w:val="00613887"/>
    <w:rsid w:val="006138E0"/>
    <w:rsid w:val="00613973"/>
    <w:rsid w:val="00613BC3"/>
    <w:rsid w:val="00613CE0"/>
    <w:rsid w:val="00613E39"/>
    <w:rsid w:val="006140AD"/>
    <w:rsid w:val="00614403"/>
    <w:rsid w:val="00614784"/>
    <w:rsid w:val="00614923"/>
    <w:rsid w:val="006150F0"/>
    <w:rsid w:val="0061542A"/>
    <w:rsid w:val="00615475"/>
    <w:rsid w:val="0061595F"/>
    <w:rsid w:val="006160D3"/>
    <w:rsid w:val="00616234"/>
    <w:rsid w:val="006165C6"/>
    <w:rsid w:val="0061668A"/>
    <w:rsid w:val="006169B2"/>
    <w:rsid w:val="00616C22"/>
    <w:rsid w:val="00616DC9"/>
    <w:rsid w:val="0061717E"/>
    <w:rsid w:val="00617434"/>
    <w:rsid w:val="006177BC"/>
    <w:rsid w:val="006177BF"/>
    <w:rsid w:val="00617A64"/>
    <w:rsid w:val="00617B47"/>
    <w:rsid w:val="00617CAD"/>
    <w:rsid w:val="006200F3"/>
    <w:rsid w:val="00620118"/>
    <w:rsid w:val="00620895"/>
    <w:rsid w:val="0062099D"/>
    <w:rsid w:val="00620BA6"/>
    <w:rsid w:val="00620DD5"/>
    <w:rsid w:val="00620E4E"/>
    <w:rsid w:val="00620F5E"/>
    <w:rsid w:val="00620FFC"/>
    <w:rsid w:val="006210BA"/>
    <w:rsid w:val="0062125A"/>
    <w:rsid w:val="0062187D"/>
    <w:rsid w:val="006218C6"/>
    <w:rsid w:val="00621940"/>
    <w:rsid w:val="00621BA2"/>
    <w:rsid w:val="00621BAB"/>
    <w:rsid w:val="00621E01"/>
    <w:rsid w:val="006221AF"/>
    <w:rsid w:val="00622291"/>
    <w:rsid w:val="00622587"/>
    <w:rsid w:val="00622778"/>
    <w:rsid w:val="00622C56"/>
    <w:rsid w:val="00622D83"/>
    <w:rsid w:val="00622F52"/>
    <w:rsid w:val="006234D3"/>
    <w:rsid w:val="0062354B"/>
    <w:rsid w:val="006236A1"/>
    <w:rsid w:val="0062390E"/>
    <w:rsid w:val="00623AAF"/>
    <w:rsid w:val="00623B44"/>
    <w:rsid w:val="00623D5C"/>
    <w:rsid w:val="0062459B"/>
    <w:rsid w:val="00624746"/>
    <w:rsid w:val="006249DD"/>
    <w:rsid w:val="00624B6B"/>
    <w:rsid w:val="00624E8E"/>
    <w:rsid w:val="00624FB4"/>
    <w:rsid w:val="00625248"/>
    <w:rsid w:val="0062547D"/>
    <w:rsid w:val="006258D6"/>
    <w:rsid w:val="006258E6"/>
    <w:rsid w:val="00625961"/>
    <w:rsid w:val="00626059"/>
    <w:rsid w:val="0062662A"/>
    <w:rsid w:val="006266C0"/>
    <w:rsid w:val="0062679C"/>
    <w:rsid w:val="0062691D"/>
    <w:rsid w:val="00626A05"/>
    <w:rsid w:val="00626A10"/>
    <w:rsid w:val="00626C7D"/>
    <w:rsid w:val="00626FCE"/>
    <w:rsid w:val="006270A8"/>
    <w:rsid w:val="00627470"/>
    <w:rsid w:val="006278E8"/>
    <w:rsid w:val="00627DF3"/>
    <w:rsid w:val="00627E0A"/>
    <w:rsid w:val="00627E96"/>
    <w:rsid w:val="0063097B"/>
    <w:rsid w:val="00630AE9"/>
    <w:rsid w:val="00630BA3"/>
    <w:rsid w:val="00630DF8"/>
    <w:rsid w:val="00630FB5"/>
    <w:rsid w:val="006312A1"/>
    <w:rsid w:val="00631872"/>
    <w:rsid w:val="00631A5B"/>
    <w:rsid w:val="00631DAB"/>
    <w:rsid w:val="00631E14"/>
    <w:rsid w:val="00632595"/>
    <w:rsid w:val="00632787"/>
    <w:rsid w:val="006327D6"/>
    <w:rsid w:val="0063295E"/>
    <w:rsid w:val="006329DA"/>
    <w:rsid w:val="006329FC"/>
    <w:rsid w:val="00632A0F"/>
    <w:rsid w:val="00632C42"/>
    <w:rsid w:val="00632C53"/>
    <w:rsid w:val="00632CB3"/>
    <w:rsid w:val="00632ECA"/>
    <w:rsid w:val="0063323D"/>
    <w:rsid w:val="006332AE"/>
    <w:rsid w:val="006335B5"/>
    <w:rsid w:val="006338A2"/>
    <w:rsid w:val="00633A19"/>
    <w:rsid w:val="00633B50"/>
    <w:rsid w:val="00633BB9"/>
    <w:rsid w:val="00633DB2"/>
    <w:rsid w:val="006344A6"/>
    <w:rsid w:val="006344E4"/>
    <w:rsid w:val="0063458B"/>
    <w:rsid w:val="00634AB7"/>
    <w:rsid w:val="00635093"/>
    <w:rsid w:val="006351BA"/>
    <w:rsid w:val="00635377"/>
    <w:rsid w:val="00635D10"/>
    <w:rsid w:val="006362C0"/>
    <w:rsid w:val="0063689D"/>
    <w:rsid w:val="006369F3"/>
    <w:rsid w:val="00636DF5"/>
    <w:rsid w:val="00636E30"/>
    <w:rsid w:val="00636F26"/>
    <w:rsid w:val="0063706F"/>
    <w:rsid w:val="00637252"/>
    <w:rsid w:val="006372BC"/>
    <w:rsid w:val="006372BE"/>
    <w:rsid w:val="0063774D"/>
    <w:rsid w:val="00637ACE"/>
    <w:rsid w:val="00640017"/>
    <w:rsid w:val="006405FE"/>
    <w:rsid w:val="006406FC"/>
    <w:rsid w:val="00640AD7"/>
    <w:rsid w:val="00640C77"/>
    <w:rsid w:val="00640E6F"/>
    <w:rsid w:val="0064113C"/>
    <w:rsid w:val="00641464"/>
    <w:rsid w:val="006415D2"/>
    <w:rsid w:val="00641857"/>
    <w:rsid w:val="006424AB"/>
    <w:rsid w:val="006426BD"/>
    <w:rsid w:val="00642F0E"/>
    <w:rsid w:val="00642F52"/>
    <w:rsid w:val="0064363B"/>
    <w:rsid w:val="00643673"/>
    <w:rsid w:val="006438E5"/>
    <w:rsid w:val="00643D2F"/>
    <w:rsid w:val="00644126"/>
    <w:rsid w:val="0064446E"/>
    <w:rsid w:val="0064454C"/>
    <w:rsid w:val="00644E35"/>
    <w:rsid w:val="006455C5"/>
    <w:rsid w:val="00645BDE"/>
    <w:rsid w:val="0064623F"/>
    <w:rsid w:val="0064644B"/>
    <w:rsid w:val="0064651A"/>
    <w:rsid w:val="00646591"/>
    <w:rsid w:val="0064661F"/>
    <w:rsid w:val="00646628"/>
    <w:rsid w:val="006467AD"/>
    <w:rsid w:val="00646C07"/>
    <w:rsid w:val="00646C89"/>
    <w:rsid w:val="00647145"/>
    <w:rsid w:val="006472E6"/>
    <w:rsid w:val="00647389"/>
    <w:rsid w:val="0064748A"/>
    <w:rsid w:val="0064755F"/>
    <w:rsid w:val="00647847"/>
    <w:rsid w:val="00647930"/>
    <w:rsid w:val="00647AE2"/>
    <w:rsid w:val="00647C0C"/>
    <w:rsid w:val="00647C63"/>
    <w:rsid w:val="00647E4A"/>
    <w:rsid w:val="006500B5"/>
    <w:rsid w:val="0065025E"/>
    <w:rsid w:val="0065027F"/>
    <w:rsid w:val="0065053B"/>
    <w:rsid w:val="0065064F"/>
    <w:rsid w:val="00650669"/>
    <w:rsid w:val="00650A1B"/>
    <w:rsid w:val="00650D3E"/>
    <w:rsid w:val="00650D6B"/>
    <w:rsid w:val="00650F83"/>
    <w:rsid w:val="006512D2"/>
    <w:rsid w:val="006516E1"/>
    <w:rsid w:val="00651AC9"/>
    <w:rsid w:val="00651BA2"/>
    <w:rsid w:val="00651CA6"/>
    <w:rsid w:val="00651D9A"/>
    <w:rsid w:val="00651E3D"/>
    <w:rsid w:val="00651F0A"/>
    <w:rsid w:val="00651FBB"/>
    <w:rsid w:val="00652003"/>
    <w:rsid w:val="006520BE"/>
    <w:rsid w:val="00652203"/>
    <w:rsid w:val="00652732"/>
    <w:rsid w:val="00652A6A"/>
    <w:rsid w:val="00652D1A"/>
    <w:rsid w:val="00652D4D"/>
    <w:rsid w:val="00652F3C"/>
    <w:rsid w:val="006534FB"/>
    <w:rsid w:val="00653750"/>
    <w:rsid w:val="00653A10"/>
    <w:rsid w:val="00653B3B"/>
    <w:rsid w:val="00653D3F"/>
    <w:rsid w:val="006540AB"/>
    <w:rsid w:val="006540B8"/>
    <w:rsid w:val="006540E4"/>
    <w:rsid w:val="00654154"/>
    <w:rsid w:val="00654284"/>
    <w:rsid w:val="00654533"/>
    <w:rsid w:val="00654764"/>
    <w:rsid w:val="006549A2"/>
    <w:rsid w:val="00654EBD"/>
    <w:rsid w:val="00654F82"/>
    <w:rsid w:val="006553FE"/>
    <w:rsid w:val="006554F1"/>
    <w:rsid w:val="0065579F"/>
    <w:rsid w:val="006557F2"/>
    <w:rsid w:val="00655816"/>
    <w:rsid w:val="0065596F"/>
    <w:rsid w:val="00655E0D"/>
    <w:rsid w:val="0065601C"/>
    <w:rsid w:val="0065651D"/>
    <w:rsid w:val="006565BF"/>
    <w:rsid w:val="00656674"/>
    <w:rsid w:val="00656C80"/>
    <w:rsid w:val="00656DC5"/>
    <w:rsid w:val="0065778B"/>
    <w:rsid w:val="00657A2C"/>
    <w:rsid w:val="00657B48"/>
    <w:rsid w:val="0066004B"/>
    <w:rsid w:val="006603D6"/>
    <w:rsid w:val="00660B0B"/>
    <w:rsid w:val="00660F77"/>
    <w:rsid w:val="0066159E"/>
    <w:rsid w:val="006616D8"/>
    <w:rsid w:val="00661812"/>
    <w:rsid w:val="00661834"/>
    <w:rsid w:val="006619BC"/>
    <w:rsid w:val="00661CBA"/>
    <w:rsid w:val="00661F42"/>
    <w:rsid w:val="006623F4"/>
    <w:rsid w:val="0066324E"/>
    <w:rsid w:val="00663310"/>
    <w:rsid w:val="00663403"/>
    <w:rsid w:val="00663538"/>
    <w:rsid w:val="0066372A"/>
    <w:rsid w:val="00663808"/>
    <w:rsid w:val="00663825"/>
    <w:rsid w:val="00663923"/>
    <w:rsid w:val="00663A8B"/>
    <w:rsid w:val="00663AF3"/>
    <w:rsid w:val="00663B56"/>
    <w:rsid w:val="00663DFF"/>
    <w:rsid w:val="00663E28"/>
    <w:rsid w:val="00663F79"/>
    <w:rsid w:val="00664036"/>
    <w:rsid w:val="006642C5"/>
    <w:rsid w:val="00664427"/>
    <w:rsid w:val="00664576"/>
    <w:rsid w:val="006645F0"/>
    <w:rsid w:val="0066482D"/>
    <w:rsid w:val="00664AAC"/>
    <w:rsid w:val="00664B57"/>
    <w:rsid w:val="00664D46"/>
    <w:rsid w:val="00664E12"/>
    <w:rsid w:val="00664F13"/>
    <w:rsid w:val="00664F63"/>
    <w:rsid w:val="00664F81"/>
    <w:rsid w:val="00665189"/>
    <w:rsid w:val="0066525B"/>
    <w:rsid w:val="00665396"/>
    <w:rsid w:val="00665BAE"/>
    <w:rsid w:val="0066658D"/>
    <w:rsid w:val="006675CF"/>
    <w:rsid w:val="00667711"/>
    <w:rsid w:val="006677ED"/>
    <w:rsid w:val="006679CA"/>
    <w:rsid w:val="00667AA1"/>
    <w:rsid w:val="00667C0F"/>
    <w:rsid w:val="00667D2D"/>
    <w:rsid w:val="00667D5D"/>
    <w:rsid w:val="00670020"/>
    <w:rsid w:val="00670135"/>
    <w:rsid w:val="006705D2"/>
    <w:rsid w:val="006706FF"/>
    <w:rsid w:val="006708DF"/>
    <w:rsid w:val="00670A8D"/>
    <w:rsid w:val="00670C70"/>
    <w:rsid w:val="00670E21"/>
    <w:rsid w:val="00671010"/>
    <w:rsid w:val="00671668"/>
    <w:rsid w:val="0067187C"/>
    <w:rsid w:val="00671A50"/>
    <w:rsid w:val="006722A7"/>
    <w:rsid w:val="00672896"/>
    <w:rsid w:val="00672A85"/>
    <w:rsid w:val="0067304C"/>
    <w:rsid w:val="006730C3"/>
    <w:rsid w:val="0067351D"/>
    <w:rsid w:val="00673743"/>
    <w:rsid w:val="00673ABE"/>
    <w:rsid w:val="00673BEB"/>
    <w:rsid w:val="00673C6E"/>
    <w:rsid w:val="0067418C"/>
    <w:rsid w:val="00674207"/>
    <w:rsid w:val="0067452B"/>
    <w:rsid w:val="006746A5"/>
    <w:rsid w:val="00674833"/>
    <w:rsid w:val="0067483F"/>
    <w:rsid w:val="00674A9C"/>
    <w:rsid w:val="00674B0A"/>
    <w:rsid w:val="00674C09"/>
    <w:rsid w:val="00674C7D"/>
    <w:rsid w:val="006750B5"/>
    <w:rsid w:val="006754EE"/>
    <w:rsid w:val="00675738"/>
    <w:rsid w:val="00675C71"/>
    <w:rsid w:val="00675DC7"/>
    <w:rsid w:val="00675F55"/>
    <w:rsid w:val="0067608D"/>
    <w:rsid w:val="00676163"/>
    <w:rsid w:val="00676201"/>
    <w:rsid w:val="00676387"/>
    <w:rsid w:val="00676583"/>
    <w:rsid w:val="00676B73"/>
    <w:rsid w:val="00676C52"/>
    <w:rsid w:val="00676DDE"/>
    <w:rsid w:val="00676E3B"/>
    <w:rsid w:val="006772F6"/>
    <w:rsid w:val="00677432"/>
    <w:rsid w:val="00677951"/>
    <w:rsid w:val="006779F2"/>
    <w:rsid w:val="00677A68"/>
    <w:rsid w:val="00677C8B"/>
    <w:rsid w:val="00680115"/>
    <w:rsid w:val="006803D3"/>
    <w:rsid w:val="006806AB"/>
    <w:rsid w:val="0068091F"/>
    <w:rsid w:val="00680EEC"/>
    <w:rsid w:val="00680F3C"/>
    <w:rsid w:val="00681072"/>
    <w:rsid w:val="006810E5"/>
    <w:rsid w:val="006812ED"/>
    <w:rsid w:val="006819E6"/>
    <w:rsid w:val="00681C0A"/>
    <w:rsid w:val="00681C9E"/>
    <w:rsid w:val="0068210D"/>
    <w:rsid w:val="006824DD"/>
    <w:rsid w:val="00682A1F"/>
    <w:rsid w:val="00682A9C"/>
    <w:rsid w:val="00682B32"/>
    <w:rsid w:val="006830A9"/>
    <w:rsid w:val="00683239"/>
    <w:rsid w:val="00683631"/>
    <w:rsid w:val="00683894"/>
    <w:rsid w:val="00683AEF"/>
    <w:rsid w:val="00683DEF"/>
    <w:rsid w:val="00683FD5"/>
    <w:rsid w:val="0068407C"/>
    <w:rsid w:val="006847DC"/>
    <w:rsid w:val="00684838"/>
    <w:rsid w:val="00684DE2"/>
    <w:rsid w:val="00684E37"/>
    <w:rsid w:val="00684EAE"/>
    <w:rsid w:val="00684EE5"/>
    <w:rsid w:val="006852EC"/>
    <w:rsid w:val="006857A1"/>
    <w:rsid w:val="00685854"/>
    <w:rsid w:val="00685A47"/>
    <w:rsid w:val="00685B0B"/>
    <w:rsid w:val="00685F05"/>
    <w:rsid w:val="006864C5"/>
    <w:rsid w:val="006869A8"/>
    <w:rsid w:val="00686A33"/>
    <w:rsid w:val="00686C9B"/>
    <w:rsid w:val="00686F9C"/>
    <w:rsid w:val="00687471"/>
    <w:rsid w:val="00687525"/>
    <w:rsid w:val="0068786E"/>
    <w:rsid w:val="006879FF"/>
    <w:rsid w:val="00687CB6"/>
    <w:rsid w:val="00687E74"/>
    <w:rsid w:val="006902CC"/>
    <w:rsid w:val="0069031B"/>
    <w:rsid w:val="0069038D"/>
    <w:rsid w:val="00690397"/>
    <w:rsid w:val="006905D3"/>
    <w:rsid w:val="006909BA"/>
    <w:rsid w:val="006909C8"/>
    <w:rsid w:val="00690D0E"/>
    <w:rsid w:val="00690D69"/>
    <w:rsid w:val="006910A1"/>
    <w:rsid w:val="0069137E"/>
    <w:rsid w:val="00691397"/>
    <w:rsid w:val="00691AC4"/>
    <w:rsid w:val="0069201E"/>
    <w:rsid w:val="0069231B"/>
    <w:rsid w:val="0069265A"/>
    <w:rsid w:val="00692678"/>
    <w:rsid w:val="00692731"/>
    <w:rsid w:val="00692961"/>
    <w:rsid w:val="006929A5"/>
    <w:rsid w:val="00692AB4"/>
    <w:rsid w:val="00692F18"/>
    <w:rsid w:val="006930B8"/>
    <w:rsid w:val="006932A7"/>
    <w:rsid w:val="00693373"/>
    <w:rsid w:val="006934EC"/>
    <w:rsid w:val="00693614"/>
    <w:rsid w:val="0069377D"/>
    <w:rsid w:val="00693815"/>
    <w:rsid w:val="00693E69"/>
    <w:rsid w:val="00693FCD"/>
    <w:rsid w:val="006940B5"/>
    <w:rsid w:val="006941CA"/>
    <w:rsid w:val="00694359"/>
    <w:rsid w:val="00694365"/>
    <w:rsid w:val="006943C2"/>
    <w:rsid w:val="006950B2"/>
    <w:rsid w:val="00695147"/>
    <w:rsid w:val="006951CB"/>
    <w:rsid w:val="006952CC"/>
    <w:rsid w:val="00695560"/>
    <w:rsid w:val="006956B2"/>
    <w:rsid w:val="0069572F"/>
    <w:rsid w:val="0069584F"/>
    <w:rsid w:val="0069586B"/>
    <w:rsid w:val="00695877"/>
    <w:rsid w:val="00695A42"/>
    <w:rsid w:val="00695B16"/>
    <w:rsid w:val="00695BD8"/>
    <w:rsid w:val="00696252"/>
    <w:rsid w:val="00696A10"/>
    <w:rsid w:val="00696A1E"/>
    <w:rsid w:val="00696ACA"/>
    <w:rsid w:val="00696B2C"/>
    <w:rsid w:val="00696C99"/>
    <w:rsid w:val="00696E90"/>
    <w:rsid w:val="006971A9"/>
    <w:rsid w:val="0069740D"/>
    <w:rsid w:val="00697498"/>
    <w:rsid w:val="0069752D"/>
    <w:rsid w:val="006979E1"/>
    <w:rsid w:val="00697ADF"/>
    <w:rsid w:val="00697FF5"/>
    <w:rsid w:val="006A047C"/>
    <w:rsid w:val="006A0633"/>
    <w:rsid w:val="006A066A"/>
    <w:rsid w:val="006A09C1"/>
    <w:rsid w:val="006A1030"/>
    <w:rsid w:val="006A13D3"/>
    <w:rsid w:val="006A163C"/>
    <w:rsid w:val="006A1995"/>
    <w:rsid w:val="006A1CDD"/>
    <w:rsid w:val="006A1D0E"/>
    <w:rsid w:val="006A21F5"/>
    <w:rsid w:val="006A22B2"/>
    <w:rsid w:val="006A24CB"/>
    <w:rsid w:val="006A3044"/>
    <w:rsid w:val="006A3A35"/>
    <w:rsid w:val="006A3C96"/>
    <w:rsid w:val="006A41FD"/>
    <w:rsid w:val="006A429E"/>
    <w:rsid w:val="006A44CB"/>
    <w:rsid w:val="006A4739"/>
    <w:rsid w:val="006A49B8"/>
    <w:rsid w:val="006A49E1"/>
    <w:rsid w:val="006A49FA"/>
    <w:rsid w:val="006A4E2B"/>
    <w:rsid w:val="006A503A"/>
    <w:rsid w:val="006A5181"/>
    <w:rsid w:val="006A52CB"/>
    <w:rsid w:val="006A539D"/>
    <w:rsid w:val="006A55AA"/>
    <w:rsid w:val="006A596B"/>
    <w:rsid w:val="006A5C54"/>
    <w:rsid w:val="006A5FEA"/>
    <w:rsid w:val="006A622D"/>
    <w:rsid w:val="006A67F0"/>
    <w:rsid w:val="006A6819"/>
    <w:rsid w:val="006A6853"/>
    <w:rsid w:val="006A6B2A"/>
    <w:rsid w:val="006A6C31"/>
    <w:rsid w:val="006A7203"/>
    <w:rsid w:val="006A759D"/>
    <w:rsid w:val="006A78C7"/>
    <w:rsid w:val="006A7B42"/>
    <w:rsid w:val="006A7FAE"/>
    <w:rsid w:val="006B0532"/>
    <w:rsid w:val="006B0BAC"/>
    <w:rsid w:val="006B0BD7"/>
    <w:rsid w:val="006B0E6A"/>
    <w:rsid w:val="006B11E3"/>
    <w:rsid w:val="006B12C9"/>
    <w:rsid w:val="006B1542"/>
    <w:rsid w:val="006B1614"/>
    <w:rsid w:val="006B175B"/>
    <w:rsid w:val="006B1A0C"/>
    <w:rsid w:val="006B1AC7"/>
    <w:rsid w:val="006B1CC8"/>
    <w:rsid w:val="006B2346"/>
    <w:rsid w:val="006B276D"/>
    <w:rsid w:val="006B2B4A"/>
    <w:rsid w:val="006B2DDD"/>
    <w:rsid w:val="006B3111"/>
    <w:rsid w:val="006B31F4"/>
    <w:rsid w:val="006B3260"/>
    <w:rsid w:val="006B3366"/>
    <w:rsid w:val="006B337E"/>
    <w:rsid w:val="006B359C"/>
    <w:rsid w:val="006B3624"/>
    <w:rsid w:val="006B3B8D"/>
    <w:rsid w:val="006B3C3F"/>
    <w:rsid w:val="006B3CD1"/>
    <w:rsid w:val="006B400D"/>
    <w:rsid w:val="006B4176"/>
    <w:rsid w:val="006B44BE"/>
    <w:rsid w:val="006B4791"/>
    <w:rsid w:val="006B4BB7"/>
    <w:rsid w:val="006B4D23"/>
    <w:rsid w:val="006B4E84"/>
    <w:rsid w:val="006B4E98"/>
    <w:rsid w:val="006B5097"/>
    <w:rsid w:val="006B56FA"/>
    <w:rsid w:val="006B5864"/>
    <w:rsid w:val="006B5C76"/>
    <w:rsid w:val="006B5F53"/>
    <w:rsid w:val="006B603E"/>
    <w:rsid w:val="006B641F"/>
    <w:rsid w:val="006B6425"/>
    <w:rsid w:val="006B65D2"/>
    <w:rsid w:val="006B6ABF"/>
    <w:rsid w:val="006B6D52"/>
    <w:rsid w:val="006B715E"/>
    <w:rsid w:val="006B7199"/>
    <w:rsid w:val="006B7621"/>
    <w:rsid w:val="006B7676"/>
    <w:rsid w:val="006B7B32"/>
    <w:rsid w:val="006B7D75"/>
    <w:rsid w:val="006B7E57"/>
    <w:rsid w:val="006B7FDB"/>
    <w:rsid w:val="006C03F4"/>
    <w:rsid w:val="006C0CDB"/>
    <w:rsid w:val="006C0DB1"/>
    <w:rsid w:val="006C0F1D"/>
    <w:rsid w:val="006C1035"/>
    <w:rsid w:val="006C1443"/>
    <w:rsid w:val="006C1B32"/>
    <w:rsid w:val="006C1BAB"/>
    <w:rsid w:val="006C2164"/>
    <w:rsid w:val="006C252E"/>
    <w:rsid w:val="006C2918"/>
    <w:rsid w:val="006C34E6"/>
    <w:rsid w:val="006C374B"/>
    <w:rsid w:val="006C37BD"/>
    <w:rsid w:val="006C3B8A"/>
    <w:rsid w:val="006C40BB"/>
    <w:rsid w:val="006C44F4"/>
    <w:rsid w:val="006C4CA2"/>
    <w:rsid w:val="006C4CAD"/>
    <w:rsid w:val="006C55F3"/>
    <w:rsid w:val="006C5717"/>
    <w:rsid w:val="006C58D5"/>
    <w:rsid w:val="006C59B8"/>
    <w:rsid w:val="006C5B30"/>
    <w:rsid w:val="006C5D70"/>
    <w:rsid w:val="006C5F17"/>
    <w:rsid w:val="006C5FD5"/>
    <w:rsid w:val="006C6068"/>
    <w:rsid w:val="006C6109"/>
    <w:rsid w:val="006C65C3"/>
    <w:rsid w:val="006C6699"/>
    <w:rsid w:val="006C6AC6"/>
    <w:rsid w:val="006C6B6C"/>
    <w:rsid w:val="006C6E1D"/>
    <w:rsid w:val="006C6F47"/>
    <w:rsid w:val="006C731D"/>
    <w:rsid w:val="006C737F"/>
    <w:rsid w:val="006C73DA"/>
    <w:rsid w:val="006C78F0"/>
    <w:rsid w:val="006C7BA9"/>
    <w:rsid w:val="006D0222"/>
    <w:rsid w:val="006D0285"/>
    <w:rsid w:val="006D0308"/>
    <w:rsid w:val="006D035C"/>
    <w:rsid w:val="006D050C"/>
    <w:rsid w:val="006D081E"/>
    <w:rsid w:val="006D125D"/>
    <w:rsid w:val="006D141D"/>
    <w:rsid w:val="006D15C2"/>
    <w:rsid w:val="006D162F"/>
    <w:rsid w:val="006D172E"/>
    <w:rsid w:val="006D1DF8"/>
    <w:rsid w:val="006D1FD9"/>
    <w:rsid w:val="006D22BD"/>
    <w:rsid w:val="006D2311"/>
    <w:rsid w:val="006D231E"/>
    <w:rsid w:val="006D23EA"/>
    <w:rsid w:val="006D2893"/>
    <w:rsid w:val="006D2919"/>
    <w:rsid w:val="006D2A67"/>
    <w:rsid w:val="006D2B19"/>
    <w:rsid w:val="006D3013"/>
    <w:rsid w:val="006D304E"/>
    <w:rsid w:val="006D3180"/>
    <w:rsid w:val="006D32A1"/>
    <w:rsid w:val="006D35AE"/>
    <w:rsid w:val="006D365E"/>
    <w:rsid w:val="006D3701"/>
    <w:rsid w:val="006D3B71"/>
    <w:rsid w:val="006D3D52"/>
    <w:rsid w:val="006D3E20"/>
    <w:rsid w:val="006D3E5D"/>
    <w:rsid w:val="006D455B"/>
    <w:rsid w:val="006D4F5E"/>
    <w:rsid w:val="006D51E7"/>
    <w:rsid w:val="006D5657"/>
    <w:rsid w:val="006D56E0"/>
    <w:rsid w:val="006D5846"/>
    <w:rsid w:val="006D5A59"/>
    <w:rsid w:val="006D5D88"/>
    <w:rsid w:val="006D5E77"/>
    <w:rsid w:val="006D611F"/>
    <w:rsid w:val="006D6147"/>
    <w:rsid w:val="006D6433"/>
    <w:rsid w:val="006D64A6"/>
    <w:rsid w:val="006D6591"/>
    <w:rsid w:val="006D668A"/>
    <w:rsid w:val="006D6B1D"/>
    <w:rsid w:val="006D6B33"/>
    <w:rsid w:val="006D71A3"/>
    <w:rsid w:val="006D7421"/>
    <w:rsid w:val="006D749D"/>
    <w:rsid w:val="006D7827"/>
    <w:rsid w:val="006D7883"/>
    <w:rsid w:val="006D79A1"/>
    <w:rsid w:val="006D7F4C"/>
    <w:rsid w:val="006E0193"/>
    <w:rsid w:val="006E02CA"/>
    <w:rsid w:val="006E0727"/>
    <w:rsid w:val="006E0839"/>
    <w:rsid w:val="006E0881"/>
    <w:rsid w:val="006E08FC"/>
    <w:rsid w:val="006E0B1D"/>
    <w:rsid w:val="006E0B80"/>
    <w:rsid w:val="006E0BDC"/>
    <w:rsid w:val="006E10C2"/>
    <w:rsid w:val="006E12E6"/>
    <w:rsid w:val="006E179A"/>
    <w:rsid w:val="006E1AC4"/>
    <w:rsid w:val="006E1AFE"/>
    <w:rsid w:val="006E1BBD"/>
    <w:rsid w:val="006E1D4C"/>
    <w:rsid w:val="006E1DC7"/>
    <w:rsid w:val="006E1EB6"/>
    <w:rsid w:val="006E2585"/>
    <w:rsid w:val="006E27A0"/>
    <w:rsid w:val="006E2888"/>
    <w:rsid w:val="006E2900"/>
    <w:rsid w:val="006E2DFA"/>
    <w:rsid w:val="006E31A2"/>
    <w:rsid w:val="006E31EA"/>
    <w:rsid w:val="006E37B2"/>
    <w:rsid w:val="006E37EE"/>
    <w:rsid w:val="006E38C6"/>
    <w:rsid w:val="006E39C7"/>
    <w:rsid w:val="006E3B94"/>
    <w:rsid w:val="006E3E0F"/>
    <w:rsid w:val="006E3EC9"/>
    <w:rsid w:val="006E3F62"/>
    <w:rsid w:val="006E46FE"/>
    <w:rsid w:val="006E4804"/>
    <w:rsid w:val="006E4C64"/>
    <w:rsid w:val="006E4EBD"/>
    <w:rsid w:val="006E5110"/>
    <w:rsid w:val="006E512A"/>
    <w:rsid w:val="006E571F"/>
    <w:rsid w:val="006E595B"/>
    <w:rsid w:val="006E5C26"/>
    <w:rsid w:val="006E5DE0"/>
    <w:rsid w:val="006E5E61"/>
    <w:rsid w:val="006E5F2A"/>
    <w:rsid w:val="006E5F8A"/>
    <w:rsid w:val="006E6014"/>
    <w:rsid w:val="006E601C"/>
    <w:rsid w:val="006E60AD"/>
    <w:rsid w:val="006E6233"/>
    <w:rsid w:val="006E6369"/>
    <w:rsid w:val="006E6942"/>
    <w:rsid w:val="006E6A8B"/>
    <w:rsid w:val="006E6E3E"/>
    <w:rsid w:val="006E74E5"/>
    <w:rsid w:val="006E7555"/>
    <w:rsid w:val="006E7668"/>
    <w:rsid w:val="006E7E6A"/>
    <w:rsid w:val="006E7F20"/>
    <w:rsid w:val="006E7F2C"/>
    <w:rsid w:val="006F020D"/>
    <w:rsid w:val="006F0438"/>
    <w:rsid w:val="006F066D"/>
    <w:rsid w:val="006F09C2"/>
    <w:rsid w:val="006F0C53"/>
    <w:rsid w:val="006F0F3C"/>
    <w:rsid w:val="006F1105"/>
    <w:rsid w:val="006F11A0"/>
    <w:rsid w:val="006F1239"/>
    <w:rsid w:val="006F12CA"/>
    <w:rsid w:val="006F153C"/>
    <w:rsid w:val="006F19E2"/>
    <w:rsid w:val="006F1A59"/>
    <w:rsid w:val="006F1AC7"/>
    <w:rsid w:val="006F1B73"/>
    <w:rsid w:val="006F1CED"/>
    <w:rsid w:val="006F1EA4"/>
    <w:rsid w:val="006F1FEB"/>
    <w:rsid w:val="006F20D5"/>
    <w:rsid w:val="006F2393"/>
    <w:rsid w:val="006F2D92"/>
    <w:rsid w:val="006F2E0C"/>
    <w:rsid w:val="006F30CF"/>
    <w:rsid w:val="006F35A7"/>
    <w:rsid w:val="006F36CE"/>
    <w:rsid w:val="006F387D"/>
    <w:rsid w:val="006F3B5B"/>
    <w:rsid w:val="006F3CAB"/>
    <w:rsid w:val="006F3EE2"/>
    <w:rsid w:val="006F3EEE"/>
    <w:rsid w:val="006F41B1"/>
    <w:rsid w:val="006F41BE"/>
    <w:rsid w:val="006F42C0"/>
    <w:rsid w:val="006F4572"/>
    <w:rsid w:val="006F4578"/>
    <w:rsid w:val="006F4CDB"/>
    <w:rsid w:val="006F4D29"/>
    <w:rsid w:val="006F4E00"/>
    <w:rsid w:val="006F4EA8"/>
    <w:rsid w:val="006F50FA"/>
    <w:rsid w:val="006F5326"/>
    <w:rsid w:val="006F53FA"/>
    <w:rsid w:val="006F543B"/>
    <w:rsid w:val="006F54CC"/>
    <w:rsid w:val="006F567F"/>
    <w:rsid w:val="006F5A31"/>
    <w:rsid w:val="006F5CBE"/>
    <w:rsid w:val="006F60F5"/>
    <w:rsid w:val="006F6566"/>
    <w:rsid w:val="006F6595"/>
    <w:rsid w:val="006F6782"/>
    <w:rsid w:val="006F6D01"/>
    <w:rsid w:val="006F6F43"/>
    <w:rsid w:val="006F6F83"/>
    <w:rsid w:val="006F7033"/>
    <w:rsid w:val="006F7060"/>
    <w:rsid w:val="006F713C"/>
    <w:rsid w:val="006F79F8"/>
    <w:rsid w:val="006F7AEF"/>
    <w:rsid w:val="006F7B41"/>
    <w:rsid w:val="006F7B72"/>
    <w:rsid w:val="006F7B98"/>
    <w:rsid w:val="006F7C52"/>
    <w:rsid w:val="00700B6F"/>
    <w:rsid w:val="00700CE3"/>
    <w:rsid w:val="00701409"/>
    <w:rsid w:val="00701528"/>
    <w:rsid w:val="00701531"/>
    <w:rsid w:val="007015D9"/>
    <w:rsid w:val="00701892"/>
    <w:rsid w:val="007019CE"/>
    <w:rsid w:val="00701B8E"/>
    <w:rsid w:val="00701DEE"/>
    <w:rsid w:val="00701FD7"/>
    <w:rsid w:val="007020EB"/>
    <w:rsid w:val="00702247"/>
    <w:rsid w:val="00702297"/>
    <w:rsid w:val="00702561"/>
    <w:rsid w:val="00702995"/>
    <w:rsid w:val="00702A08"/>
    <w:rsid w:val="00702A8A"/>
    <w:rsid w:val="00702AAC"/>
    <w:rsid w:val="00702DFE"/>
    <w:rsid w:val="00703047"/>
    <w:rsid w:val="0070367F"/>
    <w:rsid w:val="007038A9"/>
    <w:rsid w:val="00703C32"/>
    <w:rsid w:val="0070416F"/>
    <w:rsid w:val="00704250"/>
    <w:rsid w:val="0070434D"/>
    <w:rsid w:val="007043C5"/>
    <w:rsid w:val="00704570"/>
    <w:rsid w:val="007046CD"/>
    <w:rsid w:val="0070499D"/>
    <w:rsid w:val="00704C19"/>
    <w:rsid w:val="00704F12"/>
    <w:rsid w:val="0070507B"/>
    <w:rsid w:val="00705323"/>
    <w:rsid w:val="007056FA"/>
    <w:rsid w:val="007059E7"/>
    <w:rsid w:val="00705BC3"/>
    <w:rsid w:val="00705C38"/>
    <w:rsid w:val="00705C91"/>
    <w:rsid w:val="00705D10"/>
    <w:rsid w:val="00705FB4"/>
    <w:rsid w:val="00706198"/>
    <w:rsid w:val="00706397"/>
    <w:rsid w:val="0070650A"/>
    <w:rsid w:val="00706684"/>
    <w:rsid w:val="007068C8"/>
    <w:rsid w:val="007069C5"/>
    <w:rsid w:val="00706C4C"/>
    <w:rsid w:val="0070723A"/>
    <w:rsid w:val="00707301"/>
    <w:rsid w:val="0070744F"/>
    <w:rsid w:val="0070752F"/>
    <w:rsid w:val="007076FA"/>
    <w:rsid w:val="00707915"/>
    <w:rsid w:val="007100D6"/>
    <w:rsid w:val="007105B5"/>
    <w:rsid w:val="0071075E"/>
    <w:rsid w:val="00710BEF"/>
    <w:rsid w:val="00710EC3"/>
    <w:rsid w:val="00711179"/>
    <w:rsid w:val="0071122B"/>
    <w:rsid w:val="00711566"/>
    <w:rsid w:val="00711E2B"/>
    <w:rsid w:val="00711EE6"/>
    <w:rsid w:val="00711F73"/>
    <w:rsid w:val="0071208F"/>
    <w:rsid w:val="00712423"/>
    <w:rsid w:val="0071257B"/>
    <w:rsid w:val="0071271A"/>
    <w:rsid w:val="00712795"/>
    <w:rsid w:val="0071285A"/>
    <w:rsid w:val="00712BAD"/>
    <w:rsid w:val="00712C18"/>
    <w:rsid w:val="00712CA9"/>
    <w:rsid w:val="007130A5"/>
    <w:rsid w:val="0071375F"/>
    <w:rsid w:val="00713A09"/>
    <w:rsid w:val="00713D25"/>
    <w:rsid w:val="00713E8F"/>
    <w:rsid w:val="00713ED2"/>
    <w:rsid w:val="00714E94"/>
    <w:rsid w:val="00715030"/>
    <w:rsid w:val="00715385"/>
    <w:rsid w:val="007156E5"/>
    <w:rsid w:val="0071576D"/>
    <w:rsid w:val="007157DC"/>
    <w:rsid w:val="0071594B"/>
    <w:rsid w:val="00715DFE"/>
    <w:rsid w:val="00715E19"/>
    <w:rsid w:val="00715E57"/>
    <w:rsid w:val="00715E60"/>
    <w:rsid w:val="00715E88"/>
    <w:rsid w:val="00715EDB"/>
    <w:rsid w:val="0071635C"/>
    <w:rsid w:val="00716503"/>
    <w:rsid w:val="007168D1"/>
    <w:rsid w:val="00716990"/>
    <w:rsid w:val="00716B08"/>
    <w:rsid w:val="00716BBF"/>
    <w:rsid w:val="007173FC"/>
    <w:rsid w:val="00717CC2"/>
    <w:rsid w:val="007203E3"/>
    <w:rsid w:val="0072081E"/>
    <w:rsid w:val="00720894"/>
    <w:rsid w:val="0072091D"/>
    <w:rsid w:val="00720C78"/>
    <w:rsid w:val="00720DAF"/>
    <w:rsid w:val="00720E24"/>
    <w:rsid w:val="0072105A"/>
    <w:rsid w:val="00721A31"/>
    <w:rsid w:val="00721A8C"/>
    <w:rsid w:val="00721CD1"/>
    <w:rsid w:val="00722250"/>
    <w:rsid w:val="00722323"/>
    <w:rsid w:val="0072247F"/>
    <w:rsid w:val="007226D8"/>
    <w:rsid w:val="007226EC"/>
    <w:rsid w:val="007228EC"/>
    <w:rsid w:val="00722D66"/>
    <w:rsid w:val="00722D8E"/>
    <w:rsid w:val="00723068"/>
    <w:rsid w:val="007232DA"/>
    <w:rsid w:val="007233C2"/>
    <w:rsid w:val="0072346E"/>
    <w:rsid w:val="007234DD"/>
    <w:rsid w:val="00723830"/>
    <w:rsid w:val="00723BB3"/>
    <w:rsid w:val="00724201"/>
    <w:rsid w:val="00724556"/>
    <w:rsid w:val="00724833"/>
    <w:rsid w:val="007248AC"/>
    <w:rsid w:val="00724B65"/>
    <w:rsid w:val="00724F2D"/>
    <w:rsid w:val="0072507D"/>
    <w:rsid w:val="0072524F"/>
    <w:rsid w:val="00725471"/>
    <w:rsid w:val="00725E2C"/>
    <w:rsid w:val="00725EC7"/>
    <w:rsid w:val="00725FDA"/>
    <w:rsid w:val="007266F9"/>
    <w:rsid w:val="0072677B"/>
    <w:rsid w:val="007269A9"/>
    <w:rsid w:val="00726A05"/>
    <w:rsid w:val="00726BBB"/>
    <w:rsid w:val="00726C81"/>
    <w:rsid w:val="00726CC6"/>
    <w:rsid w:val="00726CDC"/>
    <w:rsid w:val="00726D73"/>
    <w:rsid w:val="00726F96"/>
    <w:rsid w:val="00727208"/>
    <w:rsid w:val="007272F4"/>
    <w:rsid w:val="00727507"/>
    <w:rsid w:val="0072788A"/>
    <w:rsid w:val="00727971"/>
    <w:rsid w:val="00727BFA"/>
    <w:rsid w:val="00727D27"/>
    <w:rsid w:val="00727E77"/>
    <w:rsid w:val="00727F14"/>
    <w:rsid w:val="00727F46"/>
    <w:rsid w:val="007304B9"/>
    <w:rsid w:val="00730567"/>
    <w:rsid w:val="00730AC1"/>
    <w:rsid w:val="00731149"/>
    <w:rsid w:val="007311CD"/>
    <w:rsid w:val="007315E4"/>
    <w:rsid w:val="00731758"/>
    <w:rsid w:val="007317E3"/>
    <w:rsid w:val="007317E4"/>
    <w:rsid w:val="00731871"/>
    <w:rsid w:val="00731AD7"/>
    <w:rsid w:val="00731BAB"/>
    <w:rsid w:val="00731CF2"/>
    <w:rsid w:val="00731D69"/>
    <w:rsid w:val="0073290E"/>
    <w:rsid w:val="00732D7D"/>
    <w:rsid w:val="00733A32"/>
    <w:rsid w:val="00733B92"/>
    <w:rsid w:val="00733D9D"/>
    <w:rsid w:val="00733DC2"/>
    <w:rsid w:val="00733FB0"/>
    <w:rsid w:val="007340C0"/>
    <w:rsid w:val="0073444A"/>
    <w:rsid w:val="00734696"/>
    <w:rsid w:val="00734A55"/>
    <w:rsid w:val="00734E7A"/>
    <w:rsid w:val="007352D2"/>
    <w:rsid w:val="0073539A"/>
    <w:rsid w:val="007355E8"/>
    <w:rsid w:val="00735600"/>
    <w:rsid w:val="00735FA3"/>
    <w:rsid w:val="007360F6"/>
    <w:rsid w:val="007362F1"/>
    <w:rsid w:val="0073653E"/>
    <w:rsid w:val="00736830"/>
    <w:rsid w:val="00736D6A"/>
    <w:rsid w:val="007376FB"/>
    <w:rsid w:val="0073781F"/>
    <w:rsid w:val="00737894"/>
    <w:rsid w:val="00737920"/>
    <w:rsid w:val="0074012B"/>
    <w:rsid w:val="0074027B"/>
    <w:rsid w:val="0074033E"/>
    <w:rsid w:val="007405AE"/>
    <w:rsid w:val="00740692"/>
    <w:rsid w:val="007406B1"/>
    <w:rsid w:val="0074084D"/>
    <w:rsid w:val="00740889"/>
    <w:rsid w:val="007408EA"/>
    <w:rsid w:val="00740BD8"/>
    <w:rsid w:val="00740C6E"/>
    <w:rsid w:val="0074139D"/>
    <w:rsid w:val="00741705"/>
    <w:rsid w:val="007417A3"/>
    <w:rsid w:val="0074197B"/>
    <w:rsid w:val="00741B8E"/>
    <w:rsid w:val="00741C6E"/>
    <w:rsid w:val="007422D3"/>
    <w:rsid w:val="007424EF"/>
    <w:rsid w:val="00742944"/>
    <w:rsid w:val="00742B1A"/>
    <w:rsid w:val="00742E09"/>
    <w:rsid w:val="00742F98"/>
    <w:rsid w:val="007434C2"/>
    <w:rsid w:val="007434E1"/>
    <w:rsid w:val="00743605"/>
    <w:rsid w:val="00743697"/>
    <w:rsid w:val="00743D6D"/>
    <w:rsid w:val="00743D87"/>
    <w:rsid w:val="0074448F"/>
    <w:rsid w:val="007444B3"/>
    <w:rsid w:val="00744861"/>
    <w:rsid w:val="007449FB"/>
    <w:rsid w:val="00744C1F"/>
    <w:rsid w:val="00744C85"/>
    <w:rsid w:val="00744CCC"/>
    <w:rsid w:val="00744D9D"/>
    <w:rsid w:val="007450A2"/>
    <w:rsid w:val="007452EB"/>
    <w:rsid w:val="00745542"/>
    <w:rsid w:val="00745546"/>
    <w:rsid w:val="00745774"/>
    <w:rsid w:val="007459C9"/>
    <w:rsid w:val="00745B44"/>
    <w:rsid w:val="00745B48"/>
    <w:rsid w:val="00745CE5"/>
    <w:rsid w:val="00746394"/>
    <w:rsid w:val="00746535"/>
    <w:rsid w:val="00746A53"/>
    <w:rsid w:val="00746C77"/>
    <w:rsid w:val="00747003"/>
    <w:rsid w:val="00747D79"/>
    <w:rsid w:val="00747E03"/>
    <w:rsid w:val="00747E86"/>
    <w:rsid w:val="00747FC7"/>
    <w:rsid w:val="00750120"/>
    <w:rsid w:val="00750123"/>
    <w:rsid w:val="00750826"/>
    <w:rsid w:val="0075085B"/>
    <w:rsid w:val="00750DA0"/>
    <w:rsid w:val="007510C1"/>
    <w:rsid w:val="0075128D"/>
    <w:rsid w:val="007513AA"/>
    <w:rsid w:val="00751488"/>
    <w:rsid w:val="007514A4"/>
    <w:rsid w:val="00751601"/>
    <w:rsid w:val="00751ACE"/>
    <w:rsid w:val="00751C26"/>
    <w:rsid w:val="00751D2E"/>
    <w:rsid w:val="00751EBA"/>
    <w:rsid w:val="007520F6"/>
    <w:rsid w:val="007523EF"/>
    <w:rsid w:val="00752AC6"/>
    <w:rsid w:val="0075312A"/>
    <w:rsid w:val="0075345B"/>
    <w:rsid w:val="007534A0"/>
    <w:rsid w:val="00753875"/>
    <w:rsid w:val="0075394C"/>
    <w:rsid w:val="00753A6F"/>
    <w:rsid w:val="00753B94"/>
    <w:rsid w:val="00753BE5"/>
    <w:rsid w:val="00753C31"/>
    <w:rsid w:val="00753E37"/>
    <w:rsid w:val="0075426B"/>
    <w:rsid w:val="007545EE"/>
    <w:rsid w:val="00754798"/>
    <w:rsid w:val="007547B7"/>
    <w:rsid w:val="007549BE"/>
    <w:rsid w:val="00754B47"/>
    <w:rsid w:val="00754DB9"/>
    <w:rsid w:val="00754F0D"/>
    <w:rsid w:val="00755085"/>
    <w:rsid w:val="007556FB"/>
    <w:rsid w:val="00755EEF"/>
    <w:rsid w:val="007563EC"/>
    <w:rsid w:val="00756AC6"/>
    <w:rsid w:val="00756AD1"/>
    <w:rsid w:val="00756DA1"/>
    <w:rsid w:val="00756E55"/>
    <w:rsid w:val="00757019"/>
    <w:rsid w:val="0075741F"/>
    <w:rsid w:val="00757743"/>
    <w:rsid w:val="00757981"/>
    <w:rsid w:val="00757BCD"/>
    <w:rsid w:val="00757C5B"/>
    <w:rsid w:val="00757E69"/>
    <w:rsid w:val="00760430"/>
    <w:rsid w:val="00760695"/>
    <w:rsid w:val="007608E8"/>
    <w:rsid w:val="00760A27"/>
    <w:rsid w:val="00760C19"/>
    <w:rsid w:val="00760DBD"/>
    <w:rsid w:val="00760DEB"/>
    <w:rsid w:val="00760F46"/>
    <w:rsid w:val="007610BC"/>
    <w:rsid w:val="0076113E"/>
    <w:rsid w:val="00761163"/>
    <w:rsid w:val="0076139A"/>
    <w:rsid w:val="0076140D"/>
    <w:rsid w:val="0076160E"/>
    <w:rsid w:val="0076166E"/>
    <w:rsid w:val="00761703"/>
    <w:rsid w:val="0076174E"/>
    <w:rsid w:val="0076185F"/>
    <w:rsid w:val="00761B81"/>
    <w:rsid w:val="00761D1E"/>
    <w:rsid w:val="00761D24"/>
    <w:rsid w:val="00762401"/>
    <w:rsid w:val="00762751"/>
    <w:rsid w:val="00762A42"/>
    <w:rsid w:val="00762E81"/>
    <w:rsid w:val="007631E0"/>
    <w:rsid w:val="00763481"/>
    <w:rsid w:val="0076382F"/>
    <w:rsid w:val="00763862"/>
    <w:rsid w:val="00763AA0"/>
    <w:rsid w:val="00763D12"/>
    <w:rsid w:val="00763D7B"/>
    <w:rsid w:val="00763D80"/>
    <w:rsid w:val="00763E6D"/>
    <w:rsid w:val="00763EA8"/>
    <w:rsid w:val="007640B0"/>
    <w:rsid w:val="00764182"/>
    <w:rsid w:val="00764CB1"/>
    <w:rsid w:val="00764E6F"/>
    <w:rsid w:val="00765051"/>
    <w:rsid w:val="00765820"/>
    <w:rsid w:val="00766209"/>
    <w:rsid w:val="007663D7"/>
    <w:rsid w:val="007667E5"/>
    <w:rsid w:val="00766AB8"/>
    <w:rsid w:val="00766B8D"/>
    <w:rsid w:val="00766D90"/>
    <w:rsid w:val="00766DF2"/>
    <w:rsid w:val="007672CF"/>
    <w:rsid w:val="00767562"/>
    <w:rsid w:val="007675AE"/>
    <w:rsid w:val="00767748"/>
    <w:rsid w:val="00767900"/>
    <w:rsid w:val="0076794C"/>
    <w:rsid w:val="00767971"/>
    <w:rsid w:val="00767975"/>
    <w:rsid w:val="00770110"/>
    <w:rsid w:val="0077031E"/>
    <w:rsid w:val="007704B1"/>
    <w:rsid w:val="00770563"/>
    <w:rsid w:val="00770766"/>
    <w:rsid w:val="00770818"/>
    <w:rsid w:val="00770A05"/>
    <w:rsid w:val="00770C5B"/>
    <w:rsid w:val="00770CAD"/>
    <w:rsid w:val="00771213"/>
    <w:rsid w:val="007718D7"/>
    <w:rsid w:val="00771E46"/>
    <w:rsid w:val="00771EB1"/>
    <w:rsid w:val="007724B7"/>
    <w:rsid w:val="00772CEE"/>
    <w:rsid w:val="00772D86"/>
    <w:rsid w:val="00772F8F"/>
    <w:rsid w:val="0077306E"/>
    <w:rsid w:val="0077317F"/>
    <w:rsid w:val="00773397"/>
    <w:rsid w:val="00773961"/>
    <w:rsid w:val="00774107"/>
    <w:rsid w:val="0077411C"/>
    <w:rsid w:val="007747B2"/>
    <w:rsid w:val="00774866"/>
    <w:rsid w:val="00774A97"/>
    <w:rsid w:val="00774ACF"/>
    <w:rsid w:val="007751E8"/>
    <w:rsid w:val="00775339"/>
    <w:rsid w:val="0077546C"/>
    <w:rsid w:val="007755CD"/>
    <w:rsid w:val="00775637"/>
    <w:rsid w:val="007757A7"/>
    <w:rsid w:val="007757B8"/>
    <w:rsid w:val="00775BB1"/>
    <w:rsid w:val="00775C19"/>
    <w:rsid w:val="00775DAF"/>
    <w:rsid w:val="00775F20"/>
    <w:rsid w:val="00776126"/>
    <w:rsid w:val="0077678E"/>
    <w:rsid w:val="00776A53"/>
    <w:rsid w:val="00776B2D"/>
    <w:rsid w:val="00776FD5"/>
    <w:rsid w:val="00777135"/>
    <w:rsid w:val="00777148"/>
    <w:rsid w:val="00777260"/>
    <w:rsid w:val="0077729D"/>
    <w:rsid w:val="007772A8"/>
    <w:rsid w:val="007772E1"/>
    <w:rsid w:val="007775EE"/>
    <w:rsid w:val="00777928"/>
    <w:rsid w:val="00777B4A"/>
    <w:rsid w:val="00777EE9"/>
    <w:rsid w:val="00777F26"/>
    <w:rsid w:val="0078006F"/>
    <w:rsid w:val="0078009A"/>
    <w:rsid w:val="00780840"/>
    <w:rsid w:val="00780B6A"/>
    <w:rsid w:val="00780DAE"/>
    <w:rsid w:val="00780FF3"/>
    <w:rsid w:val="00781278"/>
    <w:rsid w:val="00781643"/>
    <w:rsid w:val="007816CE"/>
    <w:rsid w:val="00781948"/>
    <w:rsid w:val="00781D1B"/>
    <w:rsid w:val="00782193"/>
    <w:rsid w:val="00782462"/>
    <w:rsid w:val="00782469"/>
    <w:rsid w:val="007828BE"/>
    <w:rsid w:val="00782A06"/>
    <w:rsid w:val="00782D48"/>
    <w:rsid w:val="0078343D"/>
    <w:rsid w:val="0078345E"/>
    <w:rsid w:val="007838B4"/>
    <w:rsid w:val="00783B1E"/>
    <w:rsid w:val="00783BC6"/>
    <w:rsid w:val="00783CDF"/>
    <w:rsid w:val="00784021"/>
    <w:rsid w:val="007840A3"/>
    <w:rsid w:val="00784269"/>
    <w:rsid w:val="00784570"/>
    <w:rsid w:val="00784595"/>
    <w:rsid w:val="0078477E"/>
    <w:rsid w:val="00784993"/>
    <w:rsid w:val="00784AC2"/>
    <w:rsid w:val="00784DE0"/>
    <w:rsid w:val="00784E1D"/>
    <w:rsid w:val="00785314"/>
    <w:rsid w:val="007855A9"/>
    <w:rsid w:val="00785601"/>
    <w:rsid w:val="007856F2"/>
    <w:rsid w:val="0078589D"/>
    <w:rsid w:val="007859BD"/>
    <w:rsid w:val="00785F3C"/>
    <w:rsid w:val="00786B5A"/>
    <w:rsid w:val="00786BA3"/>
    <w:rsid w:val="00786E98"/>
    <w:rsid w:val="00786E9A"/>
    <w:rsid w:val="00786F3C"/>
    <w:rsid w:val="00787111"/>
    <w:rsid w:val="007871FD"/>
    <w:rsid w:val="0078726A"/>
    <w:rsid w:val="00787340"/>
    <w:rsid w:val="00787469"/>
    <w:rsid w:val="007875AF"/>
    <w:rsid w:val="007875C7"/>
    <w:rsid w:val="00787E57"/>
    <w:rsid w:val="00787E75"/>
    <w:rsid w:val="00790224"/>
    <w:rsid w:val="007902CF"/>
    <w:rsid w:val="007903C0"/>
    <w:rsid w:val="007905F9"/>
    <w:rsid w:val="0079087C"/>
    <w:rsid w:val="00790911"/>
    <w:rsid w:val="00790A8C"/>
    <w:rsid w:val="00790AD8"/>
    <w:rsid w:val="00790BEE"/>
    <w:rsid w:val="0079104B"/>
    <w:rsid w:val="00791244"/>
    <w:rsid w:val="007913AD"/>
    <w:rsid w:val="00791689"/>
    <w:rsid w:val="007919EC"/>
    <w:rsid w:val="00791A1C"/>
    <w:rsid w:val="007924B3"/>
    <w:rsid w:val="0079257D"/>
    <w:rsid w:val="0079278F"/>
    <w:rsid w:val="00792FF4"/>
    <w:rsid w:val="00793164"/>
    <w:rsid w:val="007933BC"/>
    <w:rsid w:val="00793465"/>
    <w:rsid w:val="0079386D"/>
    <w:rsid w:val="007938B2"/>
    <w:rsid w:val="0079390B"/>
    <w:rsid w:val="00793C69"/>
    <w:rsid w:val="00793D46"/>
    <w:rsid w:val="00793FD3"/>
    <w:rsid w:val="007940E4"/>
    <w:rsid w:val="007944EB"/>
    <w:rsid w:val="0079455C"/>
    <w:rsid w:val="00794841"/>
    <w:rsid w:val="00794A54"/>
    <w:rsid w:val="00794B51"/>
    <w:rsid w:val="00794C29"/>
    <w:rsid w:val="00794C3E"/>
    <w:rsid w:val="00795727"/>
    <w:rsid w:val="007957D1"/>
    <w:rsid w:val="00795927"/>
    <w:rsid w:val="00795ABF"/>
    <w:rsid w:val="00795CC3"/>
    <w:rsid w:val="00795EF7"/>
    <w:rsid w:val="0079625E"/>
    <w:rsid w:val="007962DB"/>
    <w:rsid w:val="00796DD0"/>
    <w:rsid w:val="007975F1"/>
    <w:rsid w:val="00797844"/>
    <w:rsid w:val="00797879"/>
    <w:rsid w:val="0079799C"/>
    <w:rsid w:val="007979A7"/>
    <w:rsid w:val="007A052A"/>
    <w:rsid w:val="007A05DA"/>
    <w:rsid w:val="007A08A4"/>
    <w:rsid w:val="007A0AAA"/>
    <w:rsid w:val="007A0DBC"/>
    <w:rsid w:val="007A10B9"/>
    <w:rsid w:val="007A147A"/>
    <w:rsid w:val="007A1731"/>
    <w:rsid w:val="007A188F"/>
    <w:rsid w:val="007A1A1D"/>
    <w:rsid w:val="007A1AF6"/>
    <w:rsid w:val="007A1B17"/>
    <w:rsid w:val="007A2047"/>
    <w:rsid w:val="007A2058"/>
    <w:rsid w:val="007A2088"/>
    <w:rsid w:val="007A229F"/>
    <w:rsid w:val="007A22B3"/>
    <w:rsid w:val="007A2944"/>
    <w:rsid w:val="007A2C8C"/>
    <w:rsid w:val="007A3012"/>
    <w:rsid w:val="007A3082"/>
    <w:rsid w:val="007A329D"/>
    <w:rsid w:val="007A3825"/>
    <w:rsid w:val="007A3AFE"/>
    <w:rsid w:val="007A3CAD"/>
    <w:rsid w:val="007A3FF4"/>
    <w:rsid w:val="007A46DD"/>
    <w:rsid w:val="007A4BF1"/>
    <w:rsid w:val="007A4C8B"/>
    <w:rsid w:val="007A4D1B"/>
    <w:rsid w:val="007A4D94"/>
    <w:rsid w:val="007A5532"/>
    <w:rsid w:val="007A59FB"/>
    <w:rsid w:val="007A5B96"/>
    <w:rsid w:val="007A5BAC"/>
    <w:rsid w:val="007A628A"/>
    <w:rsid w:val="007A67EA"/>
    <w:rsid w:val="007A6B8A"/>
    <w:rsid w:val="007A6BD3"/>
    <w:rsid w:val="007A742B"/>
    <w:rsid w:val="007A7917"/>
    <w:rsid w:val="007A7A17"/>
    <w:rsid w:val="007A7FDC"/>
    <w:rsid w:val="007B0026"/>
    <w:rsid w:val="007B014C"/>
    <w:rsid w:val="007B021C"/>
    <w:rsid w:val="007B026B"/>
    <w:rsid w:val="007B027E"/>
    <w:rsid w:val="007B03C7"/>
    <w:rsid w:val="007B0794"/>
    <w:rsid w:val="007B07C8"/>
    <w:rsid w:val="007B0914"/>
    <w:rsid w:val="007B0D8A"/>
    <w:rsid w:val="007B0FA3"/>
    <w:rsid w:val="007B1862"/>
    <w:rsid w:val="007B1A3F"/>
    <w:rsid w:val="007B1C2F"/>
    <w:rsid w:val="007B1DCD"/>
    <w:rsid w:val="007B2045"/>
    <w:rsid w:val="007B210F"/>
    <w:rsid w:val="007B21DC"/>
    <w:rsid w:val="007B2255"/>
    <w:rsid w:val="007B2412"/>
    <w:rsid w:val="007B241C"/>
    <w:rsid w:val="007B25EF"/>
    <w:rsid w:val="007B28A4"/>
    <w:rsid w:val="007B2A05"/>
    <w:rsid w:val="007B2E59"/>
    <w:rsid w:val="007B2F0A"/>
    <w:rsid w:val="007B35C2"/>
    <w:rsid w:val="007B36AC"/>
    <w:rsid w:val="007B3E5C"/>
    <w:rsid w:val="007B3FCC"/>
    <w:rsid w:val="007B4134"/>
    <w:rsid w:val="007B421B"/>
    <w:rsid w:val="007B4403"/>
    <w:rsid w:val="007B453B"/>
    <w:rsid w:val="007B47B0"/>
    <w:rsid w:val="007B4C91"/>
    <w:rsid w:val="007B4F35"/>
    <w:rsid w:val="007B50AA"/>
    <w:rsid w:val="007B5291"/>
    <w:rsid w:val="007B55F4"/>
    <w:rsid w:val="007B58AD"/>
    <w:rsid w:val="007B5A71"/>
    <w:rsid w:val="007B5CE8"/>
    <w:rsid w:val="007B5DDB"/>
    <w:rsid w:val="007B6029"/>
    <w:rsid w:val="007B607D"/>
    <w:rsid w:val="007B60D0"/>
    <w:rsid w:val="007B61A1"/>
    <w:rsid w:val="007B662F"/>
    <w:rsid w:val="007B68AB"/>
    <w:rsid w:val="007B6A06"/>
    <w:rsid w:val="007B6B67"/>
    <w:rsid w:val="007B6CAA"/>
    <w:rsid w:val="007B70FD"/>
    <w:rsid w:val="007B748D"/>
    <w:rsid w:val="007B779F"/>
    <w:rsid w:val="007B7843"/>
    <w:rsid w:val="007B78F8"/>
    <w:rsid w:val="007C008E"/>
    <w:rsid w:val="007C0821"/>
    <w:rsid w:val="007C0AA7"/>
    <w:rsid w:val="007C0FEC"/>
    <w:rsid w:val="007C1107"/>
    <w:rsid w:val="007C127F"/>
    <w:rsid w:val="007C16E4"/>
    <w:rsid w:val="007C1988"/>
    <w:rsid w:val="007C1B4B"/>
    <w:rsid w:val="007C1C5F"/>
    <w:rsid w:val="007C1C7F"/>
    <w:rsid w:val="007C1CDC"/>
    <w:rsid w:val="007C1D9F"/>
    <w:rsid w:val="007C21BF"/>
    <w:rsid w:val="007C2553"/>
    <w:rsid w:val="007C25B5"/>
    <w:rsid w:val="007C26E0"/>
    <w:rsid w:val="007C2701"/>
    <w:rsid w:val="007C2784"/>
    <w:rsid w:val="007C2A7C"/>
    <w:rsid w:val="007C4AB9"/>
    <w:rsid w:val="007C4B27"/>
    <w:rsid w:val="007C4DDB"/>
    <w:rsid w:val="007C4FB9"/>
    <w:rsid w:val="007C5344"/>
    <w:rsid w:val="007C5551"/>
    <w:rsid w:val="007C55E0"/>
    <w:rsid w:val="007C5C4C"/>
    <w:rsid w:val="007C5EBC"/>
    <w:rsid w:val="007C5EC8"/>
    <w:rsid w:val="007C5F48"/>
    <w:rsid w:val="007C62F3"/>
    <w:rsid w:val="007C6376"/>
    <w:rsid w:val="007C64A7"/>
    <w:rsid w:val="007C68C9"/>
    <w:rsid w:val="007C6AED"/>
    <w:rsid w:val="007C6B76"/>
    <w:rsid w:val="007C7090"/>
    <w:rsid w:val="007C74C2"/>
    <w:rsid w:val="007C75D4"/>
    <w:rsid w:val="007C7772"/>
    <w:rsid w:val="007C779E"/>
    <w:rsid w:val="007C78E5"/>
    <w:rsid w:val="007C7A50"/>
    <w:rsid w:val="007C7C6E"/>
    <w:rsid w:val="007C7D37"/>
    <w:rsid w:val="007C7EF8"/>
    <w:rsid w:val="007D009D"/>
    <w:rsid w:val="007D00CD"/>
    <w:rsid w:val="007D01D8"/>
    <w:rsid w:val="007D0264"/>
    <w:rsid w:val="007D075D"/>
    <w:rsid w:val="007D099A"/>
    <w:rsid w:val="007D0CAA"/>
    <w:rsid w:val="007D0D4D"/>
    <w:rsid w:val="007D1264"/>
    <w:rsid w:val="007D14A7"/>
    <w:rsid w:val="007D1BE9"/>
    <w:rsid w:val="007D1DD8"/>
    <w:rsid w:val="007D1EB9"/>
    <w:rsid w:val="007D1FD4"/>
    <w:rsid w:val="007D21B5"/>
    <w:rsid w:val="007D263E"/>
    <w:rsid w:val="007D269A"/>
    <w:rsid w:val="007D2835"/>
    <w:rsid w:val="007D2A3D"/>
    <w:rsid w:val="007D2D38"/>
    <w:rsid w:val="007D301C"/>
    <w:rsid w:val="007D31C5"/>
    <w:rsid w:val="007D356C"/>
    <w:rsid w:val="007D3A3F"/>
    <w:rsid w:val="007D3C0A"/>
    <w:rsid w:val="007D3F2D"/>
    <w:rsid w:val="007D3FC5"/>
    <w:rsid w:val="007D42A8"/>
    <w:rsid w:val="007D436D"/>
    <w:rsid w:val="007D467A"/>
    <w:rsid w:val="007D46B8"/>
    <w:rsid w:val="007D4747"/>
    <w:rsid w:val="007D4766"/>
    <w:rsid w:val="007D4C4A"/>
    <w:rsid w:val="007D4D6B"/>
    <w:rsid w:val="007D5342"/>
    <w:rsid w:val="007D540B"/>
    <w:rsid w:val="007D5922"/>
    <w:rsid w:val="007D5B32"/>
    <w:rsid w:val="007D5D2A"/>
    <w:rsid w:val="007D5E8E"/>
    <w:rsid w:val="007D6591"/>
    <w:rsid w:val="007D66C5"/>
    <w:rsid w:val="007D6A4B"/>
    <w:rsid w:val="007D6CED"/>
    <w:rsid w:val="007D7025"/>
    <w:rsid w:val="007D717E"/>
    <w:rsid w:val="007D7607"/>
    <w:rsid w:val="007D77B2"/>
    <w:rsid w:val="007D7CA6"/>
    <w:rsid w:val="007E02DF"/>
    <w:rsid w:val="007E06FB"/>
    <w:rsid w:val="007E0753"/>
    <w:rsid w:val="007E0AC9"/>
    <w:rsid w:val="007E0E78"/>
    <w:rsid w:val="007E1324"/>
    <w:rsid w:val="007E13B8"/>
    <w:rsid w:val="007E162D"/>
    <w:rsid w:val="007E16AD"/>
    <w:rsid w:val="007E1B98"/>
    <w:rsid w:val="007E1ED2"/>
    <w:rsid w:val="007E232D"/>
    <w:rsid w:val="007E2393"/>
    <w:rsid w:val="007E23EA"/>
    <w:rsid w:val="007E2ABC"/>
    <w:rsid w:val="007E2B09"/>
    <w:rsid w:val="007E2F63"/>
    <w:rsid w:val="007E3290"/>
    <w:rsid w:val="007E34B6"/>
    <w:rsid w:val="007E34F4"/>
    <w:rsid w:val="007E35D3"/>
    <w:rsid w:val="007E364B"/>
    <w:rsid w:val="007E37DB"/>
    <w:rsid w:val="007E3C2A"/>
    <w:rsid w:val="007E3C96"/>
    <w:rsid w:val="007E3E71"/>
    <w:rsid w:val="007E4014"/>
    <w:rsid w:val="007E41E0"/>
    <w:rsid w:val="007E4318"/>
    <w:rsid w:val="007E4342"/>
    <w:rsid w:val="007E4888"/>
    <w:rsid w:val="007E4987"/>
    <w:rsid w:val="007E49C0"/>
    <w:rsid w:val="007E4DDC"/>
    <w:rsid w:val="007E50D2"/>
    <w:rsid w:val="007E586C"/>
    <w:rsid w:val="007E59CB"/>
    <w:rsid w:val="007E5F26"/>
    <w:rsid w:val="007E5F97"/>
    <w:rsid w:val="007E6143"/>
    <w:rsid w:val="007E6686"/>
    <w:rsid w:val="007E66B4"/>
    <w:rsid w:val="007E674A"/>
    <w:rsid w:val="007E6C15"/>
    <w:rsid w:val="007E70C0"/>
    <w:rsid w:val="007E7687"/>
    <w:rsid w:val="007E7A58"/>
    <w:rsid w:val="007E7ADA"/>
    <w:rsid w:val="007E7C6D"/>
    <w:rsid w:val="007E7F33"/>
    <w:rsid w:val="007F0173"/>
    <w:rsid w:val="007F01DC"/>
    <w:rsid w:val="007F0317"/>
    <w:rsid w:val="007F0599"/>
    <w:rsid w:val="007F0ABF"/>
    <w:rsid w:val="007F0BD5"/>
    <w:rsid w:val="007F0E70"/>
    <w:rsid w:val="007F1122"/>
    <w:rsid w:val="007F1243"/>
    <w:rsid w:val="007F16C1"/>
    <w:rsid w:val="007F183E"/>
    <w:rsid w:val="007F185B"/>
    <w:rsid w:val="007F1E13"/>
    <w:rsid w:val="007F1F67"/>
    <w:rsid w:val="007F239C"/>
    <w:rsid w:val="007F240E"/>
    <w:rsid w:val="007F247E"/>
    <w:rsid w:val="007F25D0"/>
    <w:rsid w:val="007F273D"/>
    <w:rsid w:val="007F2762"/>
    <w:rsid w:val="007F2AD2"/>
    <w:rsid w:val="007F2F58"/>
    <w:rsid w:val="007F2F5E"/>
    <w:rsid w:val="007F3372"/>
    <w:rsid w:val="007F350A"/>
    <w:rsid w:val="007F35FE"/>
    <w:rsid w:val="007F36CD"/>
    <w:rsid w:val="007F37DB"/>
    <w:rsid w:val="007F3879"/>
    <w:rsid w:val="007F3897"/>
    <w:rsid w:val="007F3DF7"/>
    <w:rsid w:val="007F3F84"/>
    <w:rsid w:val="007F3FA2"/>
    <w:rsid w:val="007F4185"/>
    <w:rsid w:val="007F427A"/>
    <w:rsid w:val="007F4565"/>
    <w:rsid w:val="007F45E2"/>
    <w:rsid w:val="007F498B"/>
    <w:rsid w:val="007F4B64"/>
    <w:rsid w:val="007F4C8F"/>
    <w:rsid w:val="007F4E4A"/>
    <w:rsid w:val="007F4EE0"/>
    <w:rsid w:val="007F54DF"/>
    <w:rsid w:val="007F5658"/>
    <w:rsid w:val="007F5A51"/>
    <w:rsid w:val="007F5C23"/>
    <w:rsid w:val="007F5DA3"/>
    <w:rsid w:val="007F5E3A"/>
    <w:rsid w:val="007F6389"/>
    <w:rsid w:val="007F6542"/>
    <w:rsid w:val="007F6655"/>
    <w:rsid w:val="007F671A"/>
    <w:rsid w:val="007F6AEB"/>
    <w:rsid w:val="007F700C"/>
    <w:rsid w:val="007F73E0"/>
    <w:rsid w:val="007F76C8"/>
    <w:rsid w:val="007F7C88"/>
    <w:rsid w:val="00800003"/>
    <w:rsid w:val="00800A86"/>
    <w:rsid w:val="00800B19"/>
    <w:rsid w:val="00800C98"/>
    <w:rsid w:val="00800DD2"/>
    <w:rsid w:val="008011D5"/>
    <w:rsid w:val="00801380"/>
    <w:rsid w:val="00801656"/>
    <w:rsid w:val="00801CF9"/>
    <w:rsid w:val="00801D0A"/>
    <w:rsid w:val="00801F01"/>
    <w:rsid w:val="008021BF"/>
    <w:rsid w:val="00802819"/>
    <w:rsid w:val="00802F2C"/>
    <w:rsid w:val="00803021"/>
    <w:rsid w:val="008031A2"/>
    <w:rsid w:val="008031FD"/>
    <w:rsid w:val="008032AB"/>
    <w:rsid w:val="0080348C"/>
    <w:rsid w:val="00803524"/>
    <w:rsid w:val="00803849"/>
    <w:rsid w:val="00803950"/>
    <w:rsid w:val="00804026"/>
    <w:rsid w:val="0080457D"/>
    <w:rsid w:val="0080466F"/>
    <w:rsid w:val="00804B70"/>
    <w:rsid w:val="00804C19"/>
    <w:rsid w:val="00804D83"/>
    <w:rsid w:val="00804E45"/>
    <w:rsid w:val="00804F29"/>
    <w:rsid w:val="00805753"/>
    <w:rsid w:val="008058CC"/>
    <w:rsid w:val="00805BE0"/>
    <w:rsid w:val="00805F8B"/>
    <w:rsid w:val="00806399"/>
    <w:rsid w:val="008063AC"/>
    <w:rsid w:val="00806483"/>
    <w:rsid w:val="008066BC"/>
    <w:rsid w:val="0080691D"/>
    <w:rsid w:val="008072A8"/>
    <w:rsid w:val="008073A8"/>
    <w:rsid w:val="00807646"/>
    <w:rsid w:val="00807AD0"/>
    <w:rsid w:val="0081042D"/>
    <w:rsid w:val="00810655"/>
    <w:rsid w:val="00810DEC"/>
    <w:rsid w:val="00810F66"/>
    <w:rsid w:val="0081138D"/>
    <w:rsid w:val="00811434"/>
    <w:rsid w:val="008115BD"/>
    <w:rsid w:val="0081164D"/>
    <w:rsid w:val="00811B9A"/>
    <w:rsid w:val="00811C1C"/>
    <w:rsid w:val="00811C9B"/>
    <w:rsid w:val="008123B0"/>
    <w:rsid w:val="008123E6"/>
    <w:rsid w:val="00812603"/>
    <w:rsid w:val="00812A62"/>
    <w:rsid w:val="00812C62"/>
    <w:rsid w:val="00812CF3"/>
    <w:rsid w:val="00812FFB"/>
    <w:rsid w:val="00813759"/>
    <w:rsid w:val="00813891"/>
    <w:rsid w:val="00813963"/>
    <w:rsid w:val="00813DE7"/>
    <w:rsid w:val="00813DFE"/>
    <w:rsid w:val="00813FD1"/>
    <w:rsid w:val="0081410A"/>
    <w:rsid w:val="00814116"/>
    <w:rsid w:val="0081414C"/>
    <w:rsid w:val="00814578"/>
    <w:rsid w:val="0081476F"/>
    <w:rsid w:val="00814868"/>
    <w:rsid w:val="00814AE2"/>
    <w:rsid w:val="00814B4B"/>
    <w:rsid w:val="00814DA9"/>
    <w:rsid w:val="00814ECF"/>
    <w:rsid w:val="00814F77"/>
    <w:rsid w:val="00814F99"/>
    <w:rsid w:val="008157CD"/>
    <w:rsid w:val="0081584F"/>
    <w:rsid w:val="008158C7"/>
    <w:rsid w:val="00815975"/>
    <w:rsid w:val="00816033"/>
    <w:rsid w:val="008163BC"/>
    <w:rsid w:val="00816ABC"/>
    <w:rsid w:val="008173A5"/>
    <w:rsid w:val="008177C2"/>
    <w:rsid w:val="008178D8"/>
    <w:rsid w:val="00817BA6"/>
    <w:rsid w:val="0082006C"/>
    <w:rsid w:val="00820078"/>
    <w:rsid w:val="0082012B"/>
    <w:rsid w:val="008201BE"/>
    <w:rsid w:val="008202FC"/>
    <w:rsid w:val="00820449"/>
    <w:rsid w:val="008204A6"/>
    <w:rsid w:val="00820688"/>
    <w:rsid w:val="008206C8"/>
    <w:rsid w:val="008207AE"/>
    <w:rsid w:val="0082090B"/>
    <w:rsid w:val="00820D88"/>
    <w:rsid w:val="00820E61"/>
    <w:rsid w:val="00820F17"/>
    <w:rsid w:val="008210EB"/>
    <w:rsid w:val="00821205"/>
    <w:rsid w:val="00821383"/>
    <w:rsid w:val="00821462"/>
    <w:rsid w:val="00821A07"/>
    <w:rsid w:val="00821B1B"/>
    <w:rsid w:val="00821B9A"/>
    <w:rsid w:val="00822028"/>
    <w:rsid w:val="00822053"/>
    <w:rsid w:val="00822287"/>
    <w:rsid w:val="008223D5"/>
    <w:rsid w:val="00822734"/>
    <w:rsid w:val="00822A38"/>
    <w:rsid w:val="00823379"/>
    <w:rsid w:val="008233B5"/>
    <w:rsid w:val="00823A0D"/>
    <w:rsid w:val="00823BB4"/>
    <w:rsid w:val="00823ED2"/>
    <w:rsid w:val="00823F36"/>
    <w:rsid w:val="00824464"/>
    <w:rsid w:val="008246B0"/>
    <w:rsid w:val="00824BD9"/>
    <w:rsid w:val="00824DF4"/>
    <w:rsid w:val="00824EEF"/>
    <w:rsid w:val="00825167"/>
    <w:rsid w:val="0082531B"/>
    <w:rsid w:val="00825B96"/>
    <w:rsid w:val="00825EF4"/>
    <w:rsid w:val="00826096"/>
    <w:rsid w:val="0082634D"/>
    <w:rsid w:val="008266A9"/>
    <w:rsid w:val="008266CD"/>
    <w:rsid w:val="008268FC"/>
    <w:rsid w:val="00826A3D"/>
    <w:rsid w:val="00826AF0"/>
    <w:rsid w:val="00826B8B"/>
    <w:rsid w:val="00826E9C"/>
    <w:rsid w:val="00827079"/>
    <w:rsid w:val="008278E6"/>
    <w:rsid w:val="0082792B"/>
    <w:rsid w:val="008279A5"/>
    <w:rsid w:val="008279C7"/>
    <w:rsid w:val="00827B00"/>
    <w:rsid w:val="00827B4C"/>
    <w:rsid w:val="00827B51"/>
    <w:rsid w:val="00827EEE"/>
    <w:rsid w:val="00830277"/>
    <w:rsid w:val="008302C9"/>
    <w:rsid w:val="008306F7"/>
    <w:rsid w:val="00831174"/>
    <w:rsid w:val="00831720"/>
    <w:rsid w:val="00831C02"/>
    <w:rsid w:val="00831DF8"/>
    <w:rsid w:val="00832307"/>
    <w:rsid w:val="008325A2"/>
    <w:rsid w:val="008326CA"/>
    <w:rsid w:val="0083274B"/>
    <w:rsid w:val="0083286E"/>
    <w:rsid w:val="00832AB5"/>
    <w:rsid w:val="00832B43"/>
    <w:rsid w:val="00832EDD"/>
    <w:rsid w:val="00833117"/>
    <w:rsid w:val="008331A6"/>
    <w:rsid w:val="0083337C"/>
    <w:rsid w:val="008338D1"/>
    <w:rsid w:val="008338D2"/>
    <w:rsid w:val="0083390D"/>
    <w:rsid w:val="008339F8"/>
    <w:rsid w:val="00833A01"/>
    <w:rsid w:val="00833A16"/>
    <w:rsid w:val="00833C41"/>
    <w:rsid w:val="00833C7E"/>
    <w:rsid w:val="00833C85"/>
    <w:rsid w:val="00833DAA"/>
    <w:rsid w:val="00834256"/>
    <w:rsid w:val="00834266"/>
    <w:rsid w:val="00834480"/>
    <w:rsid w:val="008345FA"/>
    <w:rsid w:val="00834723"/>
    <w:rsid w:val="00835483"/>
    <w:rsid w:val="008355F5"/>
    <w:rsid w:val="00835791"/>
    <w:rsid w:val="00835883"/>
    <w:rsid w:val="008359E8"/>
    <w:rsid w:val="00835CCC"/>
    <w:rsid w:val="00835EB6"/>
    <w:rsid w:val="00835FAE"/>
    <w:rsid w:val="00836433"/>
    <w:rsid w:val="0083658B"/>
    <w:rsid w:val="00836709"/>
    <w:rsid w:val="00836B7F"/>
    <w:rsid w:val="00836DFC"/>
    <w:rsid w:val="008370AF"/>
    <w:rsid w:val="008374DE"/>
    <w:rsid w:val="00837537"/>
    <w:rsid w:val="008378B8"/>
    <w:rsid w:val="008378CB"/>
    <w:rsid w:val="00837A12"/>
    <w:rsid w:val="00837BBC"/>
    <w:rsid w:val="00837E56"/>
    <w:rsid w:val="00840259"/>
    <w:rsid w:val="0084040E"/>
    <w:rsid w:val="00840537"/>
    <w:rsid w:val="00840582"/>
    <w:rsid w:val="00840713"/>
    <w:rsid w:val="008407E5"/>
    <w:rsid w:val="00840844"/>
    <w:rsid w:val="008409EE"/>
    <w:rsid w:val="008412A5"/>
    <w:rsid w:val="00841465"/>
    <w:rsid w:val="00841509"/>
    <w:rsid w:val="00841DC6"/>
    <w:rsid w:val="00841F95"/>
    <w:rsid w:val="00842035"/>
    <w:rsid w:val="0084213D"/>
    <w:rsid w:val="0084283C"/>
    <w:rsid w:val="00842855"/>
    <w:rsid w:val="00842894"/>
    <w:rsid w:val="00842BC3"/>
    <w:rsid w:val="00842FEF"/>
    <w:rsid w:val="0084349C"/>
    <w:rsid w:val="00843603"/>
    <w:rsid w:val="008436A5"/>
    <w:rsid w:val="00843A7E"/>
    <w:rsid w:val="00843C0C"/>
    <w:rsid w:val="00843CC5"/>
    <w:rsid w:val="00843F70"/>
    <w:rsid w:val="00844116"/>
    <w:rsid w:val="00844314"/>
    <w:rsid w:val="00844377"/>
    <w:rsid w:val="0084438E"/>
    <w:rsid w:val="00844399"/>
    <w:rsid w:val="008443D0"/>
    <w:rsid w:val="008444AF"/>
    <w:rsid w:val="0084462A"/>
    <w:rsid w:val="008446A6"/>
    <w:rsid w:val="0084491E"/>
    <w:rsid w:val="00844AFA"/>
    <w:rsid w:val="00844B51"/>
    <w:rsid w:val="00844D31"/>
    <w:rsid w:val="0084530D"/>
    <w:rsid w:val="00845771"/>
    <w:rsid w:val="00845849"/>
    <w:rsid w:val="0084592D"/>
    <w:rsid w:val="0084596E"/>
    <w:rsid w:val="00845997"/>
    <w:rsid w:val="00845A04"/>
    <w:rsid w:val="00845D21"/>
    <w:rsid w:val="00845F3F"/>
    <w:rsid w:val="00846032"/>
    <w:rsid w:val="0084608D"/>
    <w:rsid w:val="0084609C"/>
    <w:rsid w:val="00846159"/>
    <w:rsid w:val="0084675A"/>
    <w:rsid w:val="00846964"/>
    <w:rsid w:val="00846AC9"/>
    <w:rsid w:val="00846C77"/>
    <w:rsid w:val="00846D94"/>
    <w:rsid w:val="008470EE"/>
    <w:rsid w:val="008471AD"/>
    <w:rsid w:val="008475D9"/>
    <w:rsid w:val="00847600"/>
    <w:rsid w:val="0084762C"/>
    <w:rsid w:val="00847A1B"/>
    <w:rsid w:val="00847D7B"/>
    <w:rsid w:val="00847E45"/>
    <w:rsid w:val="00847F06"/>
    <w:rsid w:val="00847F47"/>
    <w:rsid w:val="008503CE"/>
    <w:rsid w:val="008504C6"/>
    <w:rsid w:val="008506A3"/>
    <w:rsid w:val="008507F8"/>
    <w:rsid w:val="00850DAC"/>
    <w:rsid w:val="00850EA3"/>
    <w:rsid w:val="00850FE7"/>
    <w:rsid w:val="00851006"/>
    <w:rsid w:val="00851194"/>
    <w:rsid w:val="00851282"/>
    <w:rsid w:val="00851533"/>
    <w:rsid w:val="0085168E"/>
    <w:rsid w:val="00851C18"/>
    <w:rsid w:val="00851C8E"/>
    <w:rsid w:val="00852237"/>
    <w:rsid w:val="008523D4"/>
    <w:rsid w:val="00852C18"/>
    <w:rsid w:val="00852D87"/>
    <w:rsid w:val="00852DC9"/>
    <w:rsid w:val="008531B5"/>
    <w:rsid w:val="00853417"/>
    <w:rsid w:val="0085342A"/>
    <w:rsid w:val="0085394D"/>
    <w:rsid w:val="008539A0"/>
    <w:rsid w:val="00853A11"/>
    <w:rsid w:val="00853C8C"/>
    <w:rsid w:val="00853CCC"/>
    <w:rsid w:val="00853E9E"/>
    <w:rsid w:val="00854106"/>
    <w:rsid w:val="00854282"/>
    <w:rsid w:val="008542BD"/>
    <w:rsid w:val="008542E2"/>
    <w:rsid w:val="00854965"/>
    <w:rsid w:val="008549F0"/>
    <w:rsid w:val="00854B37"/>
    <w:rsid w:val="00854B87"/>
    <w:rsid w:val="00854D60"/>
    <w:rsid w:val="00854F36"/>
    <w:rsid w:val="0085544A"/>
    <w:rsid w:val="00855663"/>
    <w:rsid w:val="00855A66"/>
    <w:rsid w:val="00855FB7"/>
    <w:rsid w:val="0085627F"/>
    <w:rsid w:val="00856321"/>
    <w:rsid w:val="0085632D"/>
    <w:rsid w:val="0085633E"/>
    <w:rsid w:val="00856384"/>
    <w:rsid w:val="008563E5"/>
    <w:rsid w:val="00856888"/>
    <w:rsid w:val="00856D85"/>
    <w:rsid w:val="0085731D"/>
    <w:rsid w:val="00857668"/>
    <w:rsid w:val="00857782"/>
    <w:rsid w:val="008579DF"/>
    <w:rsid w:val="00857A59"/>
    <w:rsid w:val="00857B3B"/>
    <w:rsid w:val="00857D17"/>
    <w:rsid w:val="00857DFE"/>
    <w:rsid w:val="00860777"/>
    <w:rsid w:val="008607A6"/>
    <w:rsid w:val="008609C7"/>
    <w:rsid w:val="00860E7A"/>
    <w:rsid w:val="00860ED5"/>
    <w:rsid w:val="00860FFD"/>
    <w:rsid w:val="00861113"/>
    <w:rsid w:val="008616F8"/>
    <w:rsid w:val="00861772"/>
    <w:rsid w:val="00861A1E"/>
    <w:rsid w:val="00861B38"/>
    <w:rsid w:val="00861BCF"/>
    <w:rsid w:val="00861DC3"/>
    <w:rsid w:val="00861F64"/>
    <w:rsid w:val="00861F71"/>
    <w:rsid w:val="00862033"/>
    <w:rsid w:val="00862066"/>
    <w:rsid w:val="00862681"/>
    <w:rsid w:val="00862880"/>
    <w:rsid w:val="00862DC2"/>
    <w:rsid w:val="00862FC4"/>
    <w:rsid w:val="008630BC"/>
    <w:rsid w:val="00863249"/>
    <w:rsid w:val="00863414"/>
    <w:rsid w:val="0086346B"/>
    <w:rsid w:val="008634FD"/>
    <w:rsid w:val="0086370E"/>
    <w:rsid w:val="00863742"/>
    <w:rsid w:val="00863F56"/>
    <w:rsid w:val="0086407F"/>
    <w:rsid w:val="00864080"/>
    <w:rsid w:val="008641FE"/>
    <w:rsid w:val="00864537"/>
    <w:rsid w:val="0086469D"/>
    <w:rsid w:val="008648B7"/>
    <w:rsid w:val="00864B6A"/>
    <w:rsid w:val="00864D4E"/>
    <w:rsid w:val="0086515F"/>
    <w:rsid w:val="008651BB"/>
    <w:rsid w:val="008652DC"/>
    <w:rsid w:val="00865B76"/>
    <w:rsid w:val="00865DE2"/>
    <w:rsid w:val="00865FAB"/>
    <w:rsid w:val="00865FC3"/>
    <w:rsid w:val="008661C7"/>
    <w:rsid w:val="00866841"/>
    <w:rsid w:val="0086716F"/>
    <w:rsid w:val="00867235"/>
    <w:rsid w:val="008673F3"/>
    <w:rsid w:val="00867505"/>
    <w:rsid w:val="0086791C"/>
    <w:rsid w:val="00867AAF"/>
    <w:rsid w:val="00867B3A"/>
    <w:rsid w:val="00867C2A"/>
    <w:rsid w:val="00867C89"/>
    <w:rsid w:val="008708CD"/>
    <w:rsid w:val="008708DE"/>
    <w:rsid w:val="00870952"/>
    <w:rsid w:val="00870969"/>
    <w:rsid w:val="00870CC6"/>
    <w:rsid w:val="00872212"/>
    <w:rsid w:val="008724D7"/>
    <w:rsid w:val="00872D12"/>
    <w:rsid w:val="00872F86"/>
    <w:rsid w:val="0087328E"/>
    <w:rsid w:val="008733C2"/>
    <w:rsid w:val="008736C9"/>
    <w:rsid w:val="00873742"/>
    <w:rsid w:val="00873BA7"/>
    <w:rsid w:val="008744C1"/>
    <w:rsid w:val="00874C44"/>
    <w:rsid w:val="00874E37"/>
    <w:rsid w:val="0087515F"/>
    <w:rsid w:val="0087534B"/>
    <w:rsid w:val="008758DE"/>
    <w:rsid w:val="00875B62"/>
    <w:rsid w:val="00875EA7"/>
    <w:rsid w:val="00875EB1"/>
    <w:rsid w:val="00875EBC"/>
    <w:rsid w:val="008763D5"/>
    <w:rsid w:val="0087657F"/>
    <w:rsid w:val="00876CB6"/>
    <w:rsid w:val="0087701D"/>
    <w:rsid w:val="00877279"/>
    <w:rsid w:val="008773C9"/>
    <w:rsid w:val="0087760B"/>
    <w:rsid w:val="008778BD"/>
    <w:rsid w:val="00877E6C"/>
    <w:rsid w:val="0088010A"/>
    <w:rsid w:val="008801E0"/>
    <w:rsid w:val="008804D2"/>
    <w:rsid w:val="008806B3"/>
    <w:rsid w:val="008809EF"/>
    <w:rsid w:val="00880A78"/>
    <w:rsid w:val="00880C23"/>
    <w:rsid w:val="00880D1F"/>
    <w:rsid w:val="00880D99"/>
    <w:rsid w:val="00880F97"/>
    <w:rsid w:val="0088112B"/>
    <w:rsid w:val="008813B6"/>
    <w:rsid w:val="008815D3"/>
    <w:rsid w:val="00881F38"/>
    <w:rsid w:val="00881F39"/>
    <w:rsid w:val="008824F7"/>
    <w:rsid w:val="00882602"/>
    <w:rsid w:val="0088281D"/>
    <w:rsid w:val="008828F0"/>
    <w:rsid w:val="00882940"/>
    <w:rsid w:val="00882A44"/>
    <w:rsid w:val="00882AE4"/>
    <w:rsid w:val="00882DC0"/>
    <w:rsid w:val="0088317F"/>
    <w:rsid w:val="0088340A"/>
    <w:rsid w:val="00883630"/>
    <w:rsid w:val="008836E6"/>
    <w:rsid w:val="00883811"/>
    <w:rsid w:val="00883AC7"/>
    <w:rsid w:val="00883B54"/>
    <w:rsid w:val="00883D70"/>
    <w:rsid w:val="008840F0"/>
    <w:rsid w:val="00884164"/>
    <w:rsid w:val="00884519"/>
    <w:rsid w:val="00884697"/>
    <w:rsid w:val="008847EB"/>
    <w:rsid w:val="0088480C"/>
    <w:rsid w:val="00884C86"/>
    <w:rsid w:val="00884D08"/>
    <w:rsid w:val="00885100"/>
    <w:rsid w:val="00885142"/>
    <w:rsid w:val="008851B5"/>
    <w:rsid w:val="00885DA2"/>
    <w:rsid w:val="00885FD6"/>
    <w:rsid w:val="008865AF"/>
    <w:rsid w:val="00886887"/>
    <w:rsid w:val="008868FF"/>
    <w:rsid w:val="00886ADD"/>
    <w:rsid w:val="00886BBF"/>
    <w:rsid w:val="00886E26"/>
    <w:rsid w:val="00887418"/>
    <w:rsid w:val="008875C2"/>
    <w:rsid w:val="008875F3"/>
    <w:rsid w:val="0088766D"/>
    <w:rsid w:val="00887BC4"/>
    <w:rsid w:val="00887BCA"/>
    <w:rsid w:val="00887FDE"/>
    <w:rsid w:val="008900A4"/>
    <w:rsid w:val="00890441"/>
    <w:rsid w:val="008905FA"/>
    <w:rsid w:val="008907C0"/>
    <w:rsid w:val="008909DB"/>
    <w:rsid w:val="00890D68"/>
    <w:rsid w:val="00891116"/>
    <w:rsid w:val="008911D7"/>
    <w:rsid w:val="00891314"/>
    <w:rsid w:val="00891484"/>
    <w:rsid w:val="008914DC"/>
    <w:rsid w:val="00891523"/>
    <w:rsid w:val="008915C1"/>
    <w:rsid w:val="008915CA"/>
    <w:rsid w:val="00891763"/>
    <w:rsid w:val="00891DD5"/>
    <w:rsid w:val="00891F66"/>
    <w:rsid w:val="0089239F"/>
    <w:rsid w:val="00892667"/>
    <w:rsid w:val="00892798"/>
    <w:rsid w:val="00892884"/>
    <w:rsid w:val="00892BE7"/>
    <w:rsid w:val="00892C4C"/>
    <w:rsid w:val="00892C90"/>
    <w:rsid w:val="00892D3B"/>
    <w:rsid w:val="00892E32"/>
    <w:rsid w:val="00892EF4"/>
    <w:rsid w:val="008935CD"/>
    <w:rsid w:val="00893662"/>
    <w:rsid w:val="008936F7"/>
    <w:rsid w:val="00893789"/>
    <w:rsid w:val="00894083"/>
    <w:rsid w:val="008943E0"/>
    <w:rsid w:val="008945DA"/>
    <w:rsid w:val="00894739"/>
    <w:rsid w:val="00894C65"/>
    <w:rsid w:val="00894DE2"/>
    <w:rsid w:val="00894FCC"/>
    <w:rsid w:val="0089520A"/>
    <w:rsid w:val="008952FB"/>
    <w:rsid w:val="00895471"/>
    <w:rsid w:val="00895D70"/>
    <w:rsid w:val="0089602B"/>
    <w:rsid w:val="0089603B"/>
    <w:rsid w:val="0089609C"/>
    <w:rsid w:val="008966D4"/>
    <w:rsid w:val="00896718"/>
    <w:rsid w:val="00896983"/>
    <w:rsid w:val="00897041"/>
    <w:rsid w:val="00897407"/>
    <w:rsid w:val="00897AB4"/>
    <w:rsid w:val="00897B2F"/>
    <w:rsid w:val="00897DF0"/>
    <w:rsid w:val="00897EA5"/>
    <w:rsid w:val="00897FDC"/>
    <w:rsid w:val="008A014C"/>
    <w:rsid w:val="008A02BF"/>
    <w:rsid w:val="008A042E"/>
    <w:rsid w:val="008A065C"/>
    <w:rsid w:val="008A0954"/>
    <w:rsid w:val="008A0E33"/>
    <w:rsid w:val="008A0E41"/>
    <w:rsid w:val="008A0E61"/>
    <w:rsid w:val="008A0EF1"/>
    <w:rsid w:val="008A1474"/>
    <w:rsid w:val="008A14D5"/>
    <w:rsid w:val="008A1552"/>
    <w:rsid w:val="008A29E6"/>
    <w:rsid w:val="008A2E58"/>
    <w:rsid w:val="008A304B"/>
    <w:rsid w:val="008A345F"/>
    <w:rsid w:val="008A35F0"/>
    <w:rsid w:val="008A3BFD"/>
    <w:rsid w:val="008A3F33"/>
    <w:rsid w:val="008A4434"/>
    <w:rsid w:val="008A45FA"/>
    <w:rsid w:val="008A4B2F"/>
    <w:rsid w:val="008A4D87"/>
    <w:rsid w:val="008A503B"/>
    <w:rsid w:val="008A5196"/>
    <w:rsid w:val="008A5217"/>
    <w:rsid w:val="008A5435"/>
    <w:rsid w:val="008A56B0"/>
    <w:rsid w:val="008A59F0"/>
    <w:rsid w:val="008A6179"/>
    <w:rsid w:val="008A6434"/>
    <w:rsid w:val="008A68DD"/>
    <w:rsid w:val="008A6BB7"/>
    <w:rsid w:val="008A6C76"/>
    <w:rsid w:val="008A6CE8"/>
    <w:rsid w:val="008A6D14"/>
    <w:rsid w:val="008A6D1F"/>
    <w:rsid w:val="008A6F8C"/>
    <w:rsid w:val="008A6FBB"/>
    <w:rsid w:val="008A72E5"/>
    <w:rsid w:val="008A761D"/>
    <w:rsid w:val="008A764E"/>
    <w:rsid w:val="008A7708"/>
    <w:rsid w:val="008A7807"/>
    <w:rsid w:val="008A7D62"/>
    <w:rsid w:val="008A7E7F"/>
    <w:rsid w:val="008A7F12"/>
    <w:rsid w:val="008B027F"/>
    <w:rsid w:val="008B0489"/>
    <w:rsid w:val="008B048D"/>
    <w:rsid w:val="008B06F5"/>
    <w:rsid w:val="008B0A4A"/>
    <w:rsid w:val="008B0ED4"/>
    <w:rsid w:val="008B13D6"/>
    <w:rsid w:val="008B170A"/>
    <w:rsid w:val="008B1948"/>
    <w:rsid w:val="008B1A60"/>
    <w:rsid w:val="008B1ACB"/>
    <w:rsid w:val="008B1F9B"/>
    <w:rsid w:val="008B2483"/>
    <w:rsid w:val="008B28B3"/>
    <w:rsid w:val="008B28B7"/>
    <w:rsid w:val="008B29FB"/>
    <w:rsid w:val="008B2B84"/>
    <w:rsid w:val="008B2BFD"/>
    <w:rsid w:val="008B2C26"/>
    <w:rsid w:val="008B2F6C"/>
    <w:rsid w:val="008B2FE7"/>
    <w:rsid w:val="008B3035"/>
    <w:rsid w:val="008B3084"/>
    <w:rsid w:val="008B31ED"/>
    <w:rsid w:val="008B3254"/>
    <w:rsid w:val="008B369A"/>
    <w:rsid w:val="008B39F4"/>
    <w:rsid w:val="008B3C23"/>
    <w:rsid w:val="008B421A"/>
    <w:rsid w:val="008B440D"/>
    <w:rsid w:val="008B4442"/>
    <w:rsid w:val="008B449E"/>
    <w:rsid w:val="008B4601"/>
    <w:rsid w:val="008B473A"/>
    <w:rsid w:val="008B4AA7"/>
    <w:rsid w:val="008B560F"/>
    <w:rsid w:val="008B6136"/>
    <w:rsid w:val="008B627A"/>
    <w:rsid w:val="008B64B6"/>
    <w:rsid w:val="008B6BC4"/>
    <w:rsid w:val="008B6C13"/>
    <w:rsid w:val="008B6DBB"/>
    <w:rsid w:val="008B6F01"/>
    <w:rsid w:val="008B7258"/>
    <w:rsid w:val="008B7517"/>
    <w:rsid w:val="008B7882"/>
    <w:rsid w:val="008B78B2"/>
    <w:rsid w:val="008B7A2D"/>
    <w:rsid w:val="008B7CDA"/>
    <w:rsid w:val="008B7F3F"/>
    <w:rsid w:val="008C03E5"/>
    <w:rsid w:val="008C0567"/>
    <w:rsid w:val="008C0648"/>
    <w:rsid w:val="008C065B"/>
    <w:rsid w:val="008C0FD4"/>
    <w:rsid w:val="008C107C"/>
    <w:rsid w:val="008C1092"/>
    <w:rsid w:val="008C12DE"/>
    <w:rsid w:val="008C16D9"/>
    <w:rsid w:val="008C22B2"/>
    <w:rsid w:val="008C2B87"/>
    <w:rsid w:val="008C33DB"/>
    <w:rsid w:val="008C33ED"/>
    <w:rsid w:val="008C35A7"/>
    <w:rsid w:val="008C3692"/>
    <w:rsid w:val="008C39E0"/>
    <w:rsid w:val="008C3C01"/>
    <w:rsid w:val="008C3CBC"/>
    <w:rsid w:val="008C405A"/>
    <w:rsid w:val="008C439E"/>
    <w:rsid w:val="008C44EC"/>
    <w:rsid w:val="008C4632"/>
    <w:rsid w:val="008C4FA8"/>
    <w:rsid w:val="008C502F"/>
    <w:rsid w:val="008C53C8"/>
    <w:rsid w:val="008C5502"/>
    <w:rsid w:val="008C599F"/>
    <w:rsid w:val="008C5B92"/>
    <w:rsid w:val="008C5C66"/>
    <w:rsid w:val="008C5D17"/>
    <w:rsid w:val="008C5EFA"/>
    <w:rsid w:val="008C5F2F"/>
    <w:rsid w:val="008C627E"/>
    <w:rsid w:val="008C6541"/>
    <w:rsid w:val="008C6647"/>
    <w:rsid w:val="008C6B55"/>
    <w:rsid w:val="008C73BD"/>
    <w:rsid w:val="008C74E5"/>
    <w:rsid w:val="008C7B42"/>
    <w:rsid w:val="008C7C0C"/>
    <w:rsid w:val="008C7CBE"/>
    <w:rsid w:val="008C7E1B"/>
    <w:rsid w:val="008D02BE"/>
    <w:rsid w:val="008D0300"/>
    <w:rsid w:val="008D0395"/>
    <w:rsid w:val="008D0554"/>
    <w:rsid w:val="008D08EE"/>
    <w:rsid w:val="008D0CEF"/>
    <w:rsid w:val="008D0F63"/>
    <w:rsid w:val="008D1126"/>
    <w:rsid w:val="008D1181"/>
    <w:rsid w:val="008D1326"/>
    <w:rsid w:val="008D1603"/>
    <w:rsid w:val="008D1605"/>
    <w:rsid w:val="008D167B"/>
    <w:rsid w:val="008D1907"/>
    <w:rsid w:val="008D191E"/>
    <w:rsid w:val="008D1CAA"/>
    <w:rsid w:val="008D1D27"/>
    <w:rsid w:val="008D2103"/>
    <w:rsid w:val="008D21EC"/>
    <w:rsid w:val="008D27A7"/>
    <w:rsid w:val="008D2ECA"/>
    <w:rsid w:val="008D32C0"/>
    <w:rsid w:val="008D32F4"/>
    <w:rsid w:val="008D33E4"/>
    <w:rsid w:val="008D33E5"/>
    <w:rsid w:val="008D3531"/>
    <w:rsid w:val="008D3820"/>
    <w:rsid w:val="008D3FC3"/>
    <w:rsid w:val="008D410A"/>
    <w:rsid w:val="008D4391"/>
    <w:rsid w:val="008D4435"/>
    <w:rsid w:val="008D443D"/>
    <w:rsid w:val="008D45AD"/>
    <w:rsid w:val="008D4A07"/>
    <w:rsid w:val="008D4A6E"/>
    <w:rsid w:val="008D4C11"/>
    <w:rsid w:val="008D4C41"/>
    <w:rsid w:val="008D4D3F"/>
    <w:rsid w:val="008D4E72"/>
    <w:rsid w:val="008D4F15"/>
    <w:rsid w:val="008D510B"/>
    <w:rsid w:val="008D5273"/>
    <w:rsid w:val="008D5365"/>
    <w:rsid w:val="008D5937"/>
    <w:rsid w:val="008D5B18"/>
    <w:rsid w:val="008D5BD6"/>
    <w:rsid w:val="008D5C98"/>
    <w:rsid w:val="008D5CF6"/>
    <w:rsid w:val="008D663F"/>
    <w:rsid w:val="008D68A4"/>
    <w:rsid w:val="008D6F61"/>
    <w:rsid w:val="008D738A"/>
    <w:rsid w:val="008D7392"/>
    <w:rsid w:val="008D7565"/>
    <w:rsid w:val="008D785B"/>
    <w:rsid w:val="008D790E"/>
    <w:rsid w:val="008D7933"/>
    <w:rsid w:val="008D7CA4"/>
    <w:rsid w:val="008E0272"/>
    <w:rsid w:val="008E0895"/>
    <w:rsid w:val="008E09A5"/>
    <w:rsid w:val="008E0F9A"/>
    <w:rsid w:val="008E14E9"/>
    <w:rsid w:val="008E159A"/>
    <w:rsid w:val="008E17D1"/>
    <w:rsid w:val="008E1C21"/>
    <w:rsid w:val="008E1C2B"/>
    <w:rsid w:val="008E1D35"/>
    <w:rsid w:val="008E2044"/>
    <w:rsid w:val="008E205C"/>
    <w:rsid w:val="008E222E"/>
    <w:rsid w:val="008E2492"/>
    <w:rsid w:val="008E262C"/>
    <w:rsid w:val="008E2846"/>
    <w:rsid w:val="008E28E0"/>
    <w:rsid w:val="008E29E6"/>
    <w:rsid w:val="008E2E9E"/>
    <w:rsid w:val="008E2EA5"/>
    <w:rsid w:val="008E3015"/>
    <w:rsid w:val="008E3182"/>
    <w:rsid w:val="008E376A"/>
    <w:rsid w:val="008E3E7F"/>
    <w:rsid w:val="008E3FAF"/>
    <w:rsid w:val="008E43E7"/>
    <w:rsid w:val="008E44B3"/>
    <w:rsid w:val="008E4665"/>
    <w:rsid w:val="008E4713"/>
    <w:rsid w:val="008E4A5D"/>
    <w:rsid w:val="008E4BF2"/>
    <w:rsid w:val="008E4C71"/>
    <w:rsid w:val="008E5454"/>
    <w:rsid w:val="008E59D2"/>
    <w:rsid w:val="008E5B2D"/>
    <w:rsid w:val="008E5C44"/>
    <w:rsid w:val="008E66D3"/>
    <w:rsid w:val="008E69BF"/>
    <w:rsid w:val="008E69DA"/>
    <w:rsid w:val="008E6DA7"/>
    <w:rsid w:val="008E71BF"/>
    <w:rsid w:val="008E724B"/>
    <w:rsid w:val="008E728B"/>
    <w:rsid w:val="008E729B"/>
    <w:rsid w:val="008E77A0"/>
    <w:rsid w:val="008F089B"/>
    <w:rsid w:val="008F0B6D"/>
    <w:rsid w:val="008F0C79"/>
    <w:rsid w:val="008F0EC9"/>
    <w:rsid w:val="008F0F53"/>
    <w:rsid w:val="008F13C8"/>
    <w:rsid w:val="008F13ED"/>
    <w:rsid w:val="008F173C"/>
    <w:rsid w:val="008F18E3"/>
    <w:rsid w:val="008F1B17"/>
    <w:rsid w:val="008F1B88"/>
    <w:rsid w:val="008F1C7E"/>
    <w:rsid w:val="008F1D6D"/>
    <w:rsid w:val="008F2054"/>
    <w:rsid w:val="008F2204"/>
    <w:rsid w:val="008F25ED"/>
    <w:rsid w:val="008F26EC"/>
    <w:rsid w:val="008F281B"/>
    <w:rsid w:val="008F2838"/>
    <w:rsid w:val="008F2CD3"/>
    <w:rsid w:val="008F2F9E"/>
    <w:rsid w:val="008F308B"/>
    <w:rsid w:val="008F3756"/>
    <w:rsid w:val="008F3F33"/>
    <w:rsid w:val="008F4DD5"/>
    <w:rsid w:val="008F4EDA"/>
    <w:rsid w:val="008F4FE2"/>
    <w:rsid w:val="008F5923"/>
    <w:rsid w:val="008F5B7E"/>
    <w:rsid w:val="008F6195"/>
    <w:rsid w:val="008F6A3C"/>
    <w:rsid w:val="008F6AEC"/>
    <w:rsid w:val="008F6D92"/>
    <w:rsid w:val="008F6F13"/>
    <w:rsid w:val="008F6F50"/>
    <w:rsid w:val="008F72AC"/>
    <w:rsid w:val="008F79A1"/>
    <w:rsid w:val="00900016"/>
    <w:rsid w:val="009000A8"/>
    <w:rsid w:val="00900115"/>
    <w:rsid w:val="00900311"/>
    <w:rsid w:val="00900790"/>
    <w:rsid w:val="00900864"/>
    <w:rsid w:val="009008FB"/>
    <w:rsid w:val="00900AEB"/>
    <w:rsid w:val="00900B07"/>
    <w:rsid w:val="00900B9D"/>
    <w:rsid w:val="009014B1"/>
    <w:rsid w:val="00901517"/>
    <w:rsid w:val="00901AE4"/>
    <w:rsid w:val="00901E92"/>
    <w:rsid w:val="00901EDD"/>
    <w:rsid w:val="009020D7"/>
    <w:rsid w:val="00902992"/>
    <w:rsid w:val="009029F4"/>
    <w:rsid w:val="00902BC5"/>
    <w:rsid w:val="00902BF0"/>
    <w:rsid w:val="00902E9E"/>
    <w:rsid w:val="00902F05"/>
    <w:rsid w:val="009035B9"/>
    <w:rsid w:val="00903633"/>
    <w:rsid w:val="00903842"/>
    <w:rsid w:val="00903A20"/>
    <w:rsid w:val="00903E1B"/>
    <w:rsid w:val="00903F9E"/>
    <w:rsid w:val="009045B9"/>
    <w:rsid w:val="00905117"/>
    <w:rsid w:val="009055A1"/>
    <w:rsid w:val="00905832"/>
    <w:rsid w:val="00905891"/>
    <w:rsid w:val="00905961"/>
    <w:rsid w:val="00905AB8"/>
    <w:rsid w:val="00905D58"/>
    <w:rsid w:val="00905E53"/>
    <w:rsid w:val="00905F09"/>
    <w:rsid w:val="00905FDE"/>
    <w:rsid w:val="009060BB"/>
    <w:rsid w:val="009060FC"/>
    <w:rsid w:val="00906120"/>
    <w:rsid w:val="00906611"/>
    <w:rsid w:val="009069DE"/>
    <w:rsid w:val="00906AB4"/>
    <w:rsid w:val="00906BB1"/>
    <w:rsid w:val="009070AA"/>
    <w:rsid w:val="0090716B"/>
    <w:rsid w:val="00907529"/>
    <w:rsid w:val="00907AC3"/>
    <w:rsid w:val="00910579"/>
    <w:rsid w:val="009108A6"/>
    <w:rsid w:val="009108AF"/>
    <w:rsid w:val="00910A47"/>
    <w:rsid w:val="00910CD6"/>
    <w:rsid w:val="00911256"/>
    <w:rsid w:val="009113CE"/>
    <w:rsid w:val="009115EE"/>
    <w:rsid w:val="009115EF"/>
    <w:rsid w:val="00911A1D"/>
    <w:rsid w:val="00911AF6"/>
    <w:rsid w:val="00911EBC"/>
    <w:rsid w:val="00912387"/>
    <w:rsid w:val="00912555"/>
    <w:rsid w:val="00912628"/>
    <w:rsid w:val="009127FE"/>
    <w:rsid w:val="00912AEC"/>
    <w:rsid w:val="0091302A"/>
    <w:rsid w:val="009132B5"/>
    <w:rsid w:val="0091347C"/>
    <w:rsid w:val="0091361D"/>
    <w:rsid w:val="00913633"/>
    <w:rsid w:val="00913698"/>
    <w:rsid w:val="009139DE"/>
    <w:rsid w:val="00913A8B"/>
    <w:rsid w:val="00913AA5"/>
    <w:rsid w:val="00913B4E"/>
    <w:rsid w:val="00913E68"/>
    <w:rsid w:val="00914016"/>
    <w:rsid w:val="00914442"/>
    <w:rsid w:val="0091481F"/>
    <w:rsid w:val="00914935"/>
    <w:rsid w:val="00914970"/>
    <w:rsid w:val="00914DBC"/>
    <w:rsid w:val="00914E29"/>
    <w:rsid w:val="00914FB2"/>
    <w:rsid w:val="00914FEB"/>
    <w:rsid w:val="00915017"/>
    <w:rsid w:val="009152DD"/>
    <w:rsid w:val="0091549C"/>
    <w:rsid w:val="0091567A"/>
    <w:rsid w:val="00915891"/>
    <w:rsid w:val="00915910"/>
    <w:rsid w:val="00915949"/>
    <w:rsid w:val="009159DD"/>
    <w:rsid w:val="00915A51"/>
    <w:rsid w:val="00915D86"/>
    <w:rsid w:val="00915F4E"/>
    <w:rsid w:val="00916289"/>
    <w:rsid w:val="009162DF"/>
    <w:rsid w:val="0091630C"/>
    <w:rsid w:val="00916371"/>
    <w:rsid w:val="00916606"/>
    <w:rsid w:val="009167CB"/>
    <w:rsid w:val="009169AC"/>
    <w:rsid w:val="00916E3C"/>
    <w:rsid w:val="009170D7"/>
    <w:rsid w:val="0091713D"/>
    <w:rsid w:val="009171DC"/>
    <w:rsid w:val="0091730A"/>
    <w:rsid w:val="00917428"/>
    <w:rsid w:val="0091775A"/>
    <w:rsid w:val="009178AB"/>
    <w:rsid w:val="009178E3"/>
    <w:rsid w:val="00917A39"/>
    <w:rsid w:val="00917AC8"/>
    <w:rsid w:val="00917C03"/>
    <w:rsid w:val="00917DAD"/>
    <w:rsid w:val="00917F4C"/>
    <w:rsid w:val="00917FC4"/>
    <w:rsid w:val="00920106"/>
    <w:rsid w:val="00920517"/>
    <w:rsid w:val="009208DC"/>
    <w:rsid w:val="00920C19"/>
    <w:rsid w:val="00920FC8"/>
    <w:rsid w:val="00921152"/>
    <w:rsid w:val="009211A3"/>
    <w:rsid w:val="0092123F"/>
    <w:rsid w:val="00921365"/>
    <w:rsid w:val="00921682"/>
    <w:rsid w:val="009216BA"/>
    <w:rsid w:val="0092185F"/>
    <w:rsid w:val="009218E9"/>
    <w:rsid w:val="00921EED"/>
    <w:rsid w:val="00922638"/>
    <w:rsid w:val="0092265E"/>
    <w:rsid w:val="009227A1"/>
    <w:rsid w:val="00922E1C"/>
    <w:rsid w:val="0092320E"/>
    <w:rsid w:val="00923391"/>
    <w:rsid w:val="00923590"/>
    <w:rsid w:val="00923836"/>
    <w:rsid w:val="00923F43"/>
    <w:rsid w:val="00924112"/>
    <w:rsid w:val="00924411"/>
    <w:rsid w:val="0092457B"/>
    <w:rsid w:val="0092470E"/>
    <w:rsid w:val="00924D2E"/>
    <w:rsid w:val="00925314"/>
    <w:rsid w:val="00925C6F"/>
    <w:rsid w:val="00925E2C"/>
    <w:rsid w:val="00925F46"/>
    <w:rsid w:val="0092623B"/>
    <w:rsid w:val="009263BB"/>
    <w:rsid w:val="00926676"/>
    <w:rsid w:val="00926930"/>
    <w:rsid w:val="009269AC"/>
    <w:rsid w:val="00926D95"/>
    <w:rsid w:val="00926DCF"/>
    <w:rsid w:val="00926F11"/>
    <w:rsid w:val="009270E1"/>
    <w:rsid w:val="00927121"/>
    <w:rsid w:val="009274D8"/>
    <w:rsid w:val="009274DE"/>
    <w:rsid w:val="00927509"/>
    <w:rsid w:val="009275BB"/>
    <w:rsid w:val="00927658"/>
    <w:rsid w:val="0092781D"/>
    <w:rsid w:val="00927882"/>
    <w:rsid w:val="00927964"/>
    <w:rsid w:val="00927A36"/>
    <w:rsid w:val="00927A8A"/>
    <w:rsid w:val="00927B79"/>
    <w:rsid w:val="00927E38"/>
    <w:rsid w:val="00927E6C"/>
    <w:rsid w:val="009300AA"/>
    <w:rsid w:val="00930237"/>
    <w:rsid w:val="009306A8"/>
    <w:rsid w:val="00930728"/>
    <w:rsid w:val="009308E5"/>
    <w:rsid w:val="00930A03"/>
    <w:rsid w:val="00930AF1"/>
    <w:rsid w:val="00930D80"/>
    <w:rsid w:val="0093112F"/>
    <w:rsid w:val="00931193"/>
    <w:rsid w:val="00931338"/>
    <w:rsid w:val="00931675"/>
    <w:rsid w:val="00931CA8"/>
    <w:rsid w:val="009321CA"/>
    <w:rsid w:val="009324C7"/>
    <w:rsid w:val="0093271B"/>
    <w:rsid w:val="009328AB"/>
    <w:rsid w:val="009328AE"/>
    <w:rsid w:val="00933387"/>
    <w:rsid w:val="00933443"/>
    <w:rsid w:val="009339C7"/>
    <w:rsid w:val="00933A17"/>
    <w:rsid w:val="00933BB3"/>
    <w:rsid w:val="00933BE5"/>
    <w:rsid w:val="00933E5D"/>
    <w:rsid w:val="00933F0A"/>
    <w:rsid w:val="009343DA"/>
    <w:rsid w:val="009344A2"/>
    <w:rsid w:val="00934572"/>
    <w:rsid w:val="00934687"/>
    <w:rsid w:val="009346C0"/>
    <w:rsid w:val="009349AF"/>
    <w:rsid w:val="00934B00"/>
    <w:rsid w:val="0093506D"/>
    <w:rsid w:val="009350B2"/>
    <w:rsid w:val="0093515C"/>
    <w:rsid w:val="009351BE"/>
    <w:rsid w:val="009358BE"/>
    <w:rsid w:val="009358F8"/>
    <w:rsid w:val="0093593F"/>
    <w:rsid w:val="00935985"/>
    <w:rsid w:val="00935AA1"/>
    <w:rsid w:val="00935EF2"/>
    <w:rsid w:val="009369F0"/>
    <w:rsid w:val="00936CCB"/>
    <w:rsid w:val="00936D63"/>
    <w:rsid w:val="00937511"/>
    <w:rsid w:val="009376E7"/>
    <w:rsid w:val="00937B12"/>
    <w:rsid w:val="00937B37"/>
    <w:rsid w:val="00937DCF"/>
    <w:rsid w:val="00937DD7"/>
    <w:rsid w:val="00937EEC"/>
    <w:rsid w:val="00940235"/>
    <w:rsid w:val="009402A3"/>
    <w:rsid w:val="009403FA"/>
    <w:rsid w:val="00940448"/>
    <w:rsid w:val="00940497"/>
    <w:rsid w:val="00940571"/>
    <w:rsid w:val="00940866"/>
    <w:rsid w:val="00940A13"/>
    <w:rsid w:val="00940DBC"/>
    <w:rsid w:val="00940E88"/>
    <w:rsid w:val="00940FBC"/>
    <w:rsid w:val="00940FF1"/>
    <w:rsid w:val="00941042"/>
    <w:rsid w:val="00941051"/>
    <w:rsid w:val="0094129E"/>
    <w:rsid w:val="00941882"/>
    <w:rsid w:val="00941BBE"/>
    <w:rsid w:val="00941CDC"/>
    <w:rsid w:val="00941EEA"/>
    <w:rsid w:val="009423E2"/>
    <w:rsid w:val="0094252D"/>
    <w:rsid w:val="00942596"/>
    <w:rsid w:val="00942752"/>
    <w:rsid w:val="009428B6"/>
    <w:rsid w:val="00943491"/>
    <w:rsid w:val="009435F4"/>
    <w:rsid w:val="00943B63"/>
    <w:rsid w:val="00943C14"/>
    <w:rsid w:val="00943C37"/>
    <w:rsid w:val="00943E19"/>
    <w:rsid w:val="00943E8C"/>
    <w:rsid w:val="00944162"/>
    <w:rsid w:val="009444AC"/>
    <w:rsid w:val="00944F91"/>
    <w:rsid w:val="00945027"/>
    <w:rsid w:val="00945201"/>
    <w:rsid w:val="009452C7"/>
    <w:rsid w:val="00945321"/>
    <w:rsid w:val="00945444"/>
    <w:rsid w:val="0094550F"/>
    <w:rsid w:val="00945726"/>
    <w:rsid w:val="00945731"/>
    <w:rsid w:val="0094587D"/>
    <w:rsid w:val="009458CE"/>
    <w:rsid w:val="00945D40"/>
    <w:rsid w:val="0094623A"/>
    <w:rsid w:val="009465DE"/>
    <w:rsid w:val="009467CD"/>
    <w:rsid w:val="00946808"/>
    <w:rsid w:val="00946866"/>
    <w:rsid w:val="00946B1D"/>
    <w:rsid w:val="00946F11"/>
    <w:rsid w:val="009475E6"/>
    <w:rsid w:val="00947699"/>
    <w:rsid w:val="00947873"/>
    <w:rsid w:val="00947AB4"/>
    <w:rsid w:val="00947B0E"/>
    <w:rsid w:val="009502FC"/>
    <w:rsid w:val="0095032C"/>
    <w:rsid w:val="00950380"/>
    <w:rsid w:val="009503B7"/>
    <w:rsid w:val="009504C3"/>
    <w:rsid w:val="009508CB"/>
    <w:rsid w:val="00950B27"/>
    <w:rsid w:val="00950F98"/>
    <w:rsid w:val="0095102C"/>
    <w:rsid w:val="0095118F"/>
    <w:rsid w:val="00951194"/>
    <w:rsid w:val="009511AB"/>
    <w:rsid w:val="0095148D"/>
    <w:rsid w:val="009516E7"/>
    <w:rsid w:val="0095183B"/>
    <w:rsid w:val="00951858"/>
    <w:rsid w:val="0095195E"/>
    <w:rsid w:val="00951AE8"/>
    <w:rsid w:val="00951B4B"/>
    <w:rsid w:val="00952081"/>
    <w:rsid w:val="009522C8"/>
    <w:rsid w:val="00952633"/>
    <w:rsid w:val="009527E3"/>
    <w:rsid w:val="0095285C"/>
    <w:rsid w:val="00953102"/>
    <w:rsid w:val="009531D5"/>
    <w:rsid w:val="009535B4"/>
    <w:rsid w:val="00953718"/>
    <w:rsid w:val="0095387B"/>
    <w:rsid w:val="009538AB"/>
    <w:rsid w:val="00953977"/>
    <w:rsid w:val="009539DA"/>
    <w:rsid w:val="00953BCC"/>
    <w:rsid w:val="00953CCB"/>
    <w:rsid w:val="00953E37"/>
    <w:rsid w:val="00954727"/>
    <w:rsid w:val="00954916"/>
    <w:rsid w:val="00955173"/>
    <w:rsid w:val="009557AC"/>
    <w:rsid w:val="00956131"/>
    <w:rsid w:val="009561C7"/>
    <w:rsid w:val="009561EF"/>
    <w:rsid w:val="00956305"/>
    <w:rsid w:val="009563F8"/>
    <w:rsid w:val="0095654D"/>
    <w:rsid w:val="009566F4"/>
    <w:rsid w:val="0095729F"/>
    <w:rsid w:val="0095743D"/>
    <w:rsid w:val="009600A9"/>
    <w:rsid w:val="00960172"/>
    <w:rsid w:val="0096017A"/>
    <w:rsid w:val="009601FB"/>
    <w:rsid w:val="00960525"/>
    <w:rsid w:val="009608B7"/>
    <w:rsid w:val="00960909"/>
    <w:rsid w:val="009609FE"/>
    <w:rsid w:val="00960BFD"/>
    <w:rsid w:val="00960EE5"/>
    <w:rsid w:val="00960F77"/>
    <w:rsid w:val="00960FC1"/>
    <w:rsid w:val="0096111A"/>
    <w:rsid w:val="009614AC"/>
    <w:rsid w:val="009617FB"/>
    <w:rsid w:val="00961B36"/>
    <w:rsid w:val="00962535"/>
    <w:rsid w:val="009625FE"/>
    <w:rsid w:val="00962979"/>
    <w:rsid w:val="00962CC5"/>
    <w:rsid w:val="00962D40"/>
    <w:rsid w:val="00962F46"/>
    <w:rsid w:val="00962FC8"/>
    <w:rsid w:val="00963152"/>
    <w:rsid w:val="009632D8"/>
    <w:rsid w:val="0096398B"/>
    <w:rsid w:val="00963DF2"/>
    <w:rsid w:val="00963E9E"/>
    <w:rsid w:val="00963ECF"/>
    <w:rsid w:val="0096406C"/>
    <w:rsid w:val="009641AF"/>
    <w:rsid w:val="009642F6"/>
    <w:rsid w:val="00964A4A"/>
    <w:rsid w:val="00964AB8"/>
    <w:rsid w:val="00964C09"/>
    <w:rsid w:val="00964DA7"/>
    <w:rsid w:val="00964F66"/>
    <w:rsid w:val="0096514B"/>
    <w:rsid w:val="00965333"/>
    <w:rsid w:val="00965548"/>
    <w:rsid w:val="00965745"/>
    <w:rsid w:val="0096579E"/>
    <w:rsid w:val="00965DFA"/>
    <w:rsid w:val="00965E27"/>
    <w:rsid w:val="00965F90"/>
    <w:rsid w:val="009660E3"/>
    <w:rsid w:val="00966104"/>
    <w:rsid w:val="00966362"/>
    <w:rsid w:val="00966467"/>
    <w:rsid w:val="009664A7"/>
    <w:rsid w:val="009664C8"/>
    <w:rsid w:val="00966557"/>
    <w:rsid w:val="00966593"/>
    <w:rsid w:val="009666FE"/>
    <w:rsid w:val="009667B1"/>
    <w:rsid w:val="00966902"/>
    <w:rsid w:val="00967100"/>
    <w:rsid w:val="0096722E"/>
    <w:rsid w:val="00967D7F"/>
    <w:rsid w:val="00970066"/>
    <w:rsid w:val="0097040C"/>
    <w:rsid w:val="00970553"/>
    <w:rsid w:val="00970597"/>
    <w:rsid w:val="0097059B"/>
    <w:rsid w:val="00970BAD"/>
    <w:rsid w:val="00970E84"/>
    <w:rsid w:val="00970F68"/>
    <w:rsid w:val="00970F72"/>
    <w:rsid w:val="00970FCF"/>
    <w:rsid w:val="0097106D"/>
    <w:rsid w:val="009710B9"/>
    <w:rsid w:val="009712B1"/>
    <w:rsid w:val="00971511"/>
    <w:rsid w:val="009716AF"/>
    <w:rsid w:val="00971710"/>
    <w:rsid w:val="00971775"/>
    <w:rsid w:val="009717D4"/>
    <w:rsid w:val="00971A59"/>
    <w:rsid w:val="00971BE3"/>
    <w:rsid w:val="0097229B"/>
    <w:rsid w:val="00972452"/>
    <w:rsid w:val="00972746"/>
    <w:rsid w:val="00972AE1"/>
    <w:rsid w:val="00972B12"/>
    <w:rsid w:val="009739EC"/>
    <w:rsid w:val="00973A4B"/>
    <w:rsid w:val="00973A7E"/>
    <w:rsid w:val="00973F9D"/>
    <w:rsid w:val="00974443"/>
    <w:rsid w:val="009744D8"/>
    <w:rsid w:val="00974ACD"/>
    <w:rsid w:val="00974BF7"/>
    <w:rsid w:val="00974CA6"/>
    <w:rsid w:val="00974F7B"/>
    <w:rsid w:val="00974FC2"/>
    <w:rsid w:val="009757AF"/>
    <w:rsid w:val="00975812"/>
    <w:rsid w:val="00975945"/>
    <w:rsid w:val="00975CB8"/>
    <w:rsid w:val="0097658F"/>
    <w:rsid w:val="009767C8"/>
    <w:rsid w:val="00976949"/>
    <w:rsid w:val="00976D1A"/>
    <w:rsid w:val="00976DCB"/>
    <w:rsid w:val="009774DF"/>
    <w:rsid w:val="00977A4E"/>
    <w:rsid w:val="00977B67"/>
    <w:rsid w:val="00977C7E"/>
    <w:rsid w:val="009802E9"/>
    <w:rsid w:val="00980490"/>
    <w:rsid w:val="00980568"/>
    <w:rsid w:val="00980B96"/>
    <w:rsid w:val="009810A4"/>
    <w:rsid w:val="00981341"/>
    <w:rsid w:val="00981356"/>
    <w:rsid w:val="009815D9"/>
    <w:rsid w:val="009816E9"/>
    <w:rsid w:val="009818DC"/>
    <w:rsid w:val="00981FAD"/>
    <w:rsid w:val="00982014"/>
    <w:rsid w:val="00982072"/>
    <w:rsid w:val="0098209B"/>
    <w:rsid w:val="00982642"/>
    <w:rsid w:val="0098296F"/>
    <w:rsid w:val="00982A32"/>
    <w:rsid w:val="00982AA7"/>
    <w:rsid w:val="00982BCB"/>
    <w:rsid w:val="00982C2A"/>
    <w:rsid w:val="00982C75"/>
    <w:rsid w:val="00982E91"/>
    <w:rsid w:val="00982F0A"/>
    <w:rsid w:val="00983309"/>
    <w:rsid w:val="00983349"/>
    <w:rsid w:val="009834C1"/>
    <w:rsid w:val="009835A7"/>
    <w:rsid w:val="00983AAA"/>
    <w:rsid w:val="00983CAD"/>
    <w:rsid w:val="00984143"/>
    <w:rsid w:val="0098462C"/>
    <w:rsid w:val="00984721"/>
    <w:rsid w:val="00984958"/>
    <w:rsid w:val="009856AA"/>
    <w:rsid w:val="00985A11"/>
    <w:rsid w:val="00985CB7"/>
    <w:rsid w:val="00986394"/>
    <w:rsid w:val="009863AD"/>
    <w:rsid w:val="009866D4"/>
    <w:rsid w:val="009868EF"/>
    <w:rsid w:val="0098691D"/>
    <w:rsid w:val="00986973"/>
    <w:rsid w:val="0098735E"/>
    <w:rsid w:val="0098745B"/>
    <w:rsid w:val="00987536"/>
    <w:rsid w:val="009875E9"/>
    <w:rsid w:val="0098760A"/>
    <w:rsid w:val="0098783C"/>
    <w:rsid w:val="00987C23"/>
    <w:rsid w:val="00990482"/>
    <w:rsid w:val="0099061E"/>
    <w:rsid w:val="009907D4"/>
    <w:rsid w:val="00990935"/>
    <w:rsid w:val="00990A3E"/>
    <w:rsid w:val="00990C19"/>
    <w:rsid w:val="00990F31"/>
    <w:rsid w:val="00991117"/>
    <w:rsid w:val="00991436"/>
    <w:rsid w:val="00991490"/>
    <w:rsid w:val="00991630"/>
    <w:rsid w:val="00991694"/>
    <w:rsid w:val="00991752"/>
    <w:rsid w:val="009918D4"/>
    <w:rsid w:val="00991ABC"/>
    <w:rsid w:val="00991E64"/>
    <w:rsid w:val="0099235A"/>
    <w:rsid w:val="0099237D"/>
    <w:rsid w:val="00992918"/>
    <w:rsid w:val="00992E41"/>
    <w:rsid w:val="00992ED6"/>
    <w:rsid w:val="00993358"/>
    <w:rsid w:val="009936B0"/>
    <w:rsid w:val="0099378A"/>
    <w:rsid w:val="00993ABB"/>
    <w:rsid w:val="00993C40"/>
    <w:rsid w:val="00993EBC"/>
    <w:rsid w:val="00993EBD"/>
    <w:rsid w:val="009940DC"/>
    <w:rsid w:val="009941B4"/>
    <w:rsid w:val="00994BBC"/>
    <w:rsid w:val="009954C9"/>
    <w:rsid w:val="00995835"/>
    <w:rsid w:val="0099586B"/>
    <w:rsid w:val="00995993"/>
    <w:rsid w:val="0099664C"/>
    <w:rsid w:val="00996A74"/>
    <w:rsid w:val="00996AD0"/>
    <w:rsid w:val="00996F37"/>
    <w:rsid w:val="00996FBC"/>
    <w:rsid w:val="00997012"/>
    <w:rsid w:val="00997548"/>
    <w:rsid w:val="0099760A"/>
    <w:rsid w:val="00997683"/>
    <w:rsid w:val="00997824"/>
    <w:rsid w:val="0099795E"/>
    <w:rsid w:val="00997A85"/>
    <w:rsid w:val="00997BBC"/>
    <w:rsid w:val="00997C39"/>
    <w:rsid w:val="00997E71"/>
    <w:rsid w:val="009A0135"/>
    <w:rsid w:val="009A020D"/>
    <w:rsid w:val="009A038F"/>
    <w:rsid w:val="009A0484"/>
    <w:rsid w:val="009A0802"/>
    <w:rsid w:val="009A0AA6"/>
    <w:rsid w:val="009A10E3"/>
    <w:rsid w:val="009A12C4"/>
    <w:rsid w:val="009A133E"/>
    <w:rsid w:val="009A1722"/>
    <w:rsid w:val="009A1730"/>
    <w:rsid w:val="009A1DBD"/>
    <w:rsid w:val="009A2087"/>
    <w:rsid w:val="009A25C2"/>
    <w:rsid w:val="009A2676"/>
    <w:rsid w:val="009A29A1"/>
    <w:rsid w:val="009A2B60"/>
    <w:rsid w:val="009A2F8C"/>
    <w:rsid w:val="009A2FEF"/>
    <w:rsid w:val="009A330C"/>
    <w:rsid w:val="009A390E"/>
    <w:rsid w:val="009A3B70"/>
    <w:rsid w:val="009A3E43"/>
    <w:rsid w:val="009A4343"/>
    <w:rsid w:val="009A48FF"/>
    <w:rsid w:val="009A4D9E"/>
    <w:rsid w:val="009A4DAC"/>
    <w:rsid w:val="009A4DDD"/>
    <w:rsid w:val="009A4E23"/>
    <w:rsid w:val="009A4E4C"/>
    <w:rsid w:val="009A4FCA"/>
    <w:rsid w:val="009A5051"/>
    <w:rsid w:val="009A5151"/>
    <w:rsid w:val="009A51DF"/>
    <w:rsid w:val="009A51E5"/>
    <w:rsid w:val="009A5434"/>
    <w:rsid w:val="009A54EE"/>
    <w:rsid w:val="009A55FB"/>
    <w:rsid w:val="009A5D14"/>
    <w:rsid w:val="009A5FE1"/>
    <w:rsid w:val="009A616F"/>
    <w:rsid w:val="009A621E"/>
    <w:rsid w:val="009A6257"/>
    <w:rsid w:val="009A6317"/>
    <w:rsid w:val="009A653E"/>
    <w:rsid w:val="009A6B27"/>
    <w:rsid w:val="009A763A"/>
    <w:rsid w:val="009A7B3A"/>
    <w:rsid w:val="009A7F91"/>
    <w:rsid w:val="009B03EC"/>
    <w:rsid w:val="009B03F4"/>
    <w:rsid w:val="009B0708"/>
    <w:rsid w:val="009B071B"/>
    <w:rsid w:val="009B0812"/>
    <w:rsid w:val="009B0820"/>
    <w:rsid w:val="009B0ADC"/>
    <w:rsid w:val="009B0BA6"/>
    <w:rsid w:val="009B0DAA"/>
    <w:rsid w:val="009B0E62"/>
    <w:rsid w:val="009B0E87"/>
    <w:rsid w:val="009B1428"/>
    <w:rsid w:val="009B16C3"/>
    <w:rsid w:val="009B16EE"/>
    <w:rsid w:val="009B1964"/>
    <w:rsid w:val="009B1980"/>
    <w:rsid w:val="009B1C72"/>
    <w:rsid w:val="009B1E13"/>
    <w:rsid w:val="009B1F68"/>
    <w:rsid w:val="009B22C0"/>
    <w:rsid w:val="009B24F9"/>
    <w:rsid w:val="009B2551"/>
    <w:rsid w:val="009B2B74"/>
    <w:rsid w:val="009B2D06"/>
    <w:rsid w:val="009B2D4B"/>
    <w:rsid w:val="009B2D58"/>
    <w:rsid w:val="009B3189"/>
    <w:rsid w:val="009B33C6"/>
    <w:rsid w:val="009B36A7"/>
    <w:rsid w:val="009B36F3"/>
    <w:rsid w:val="009B39E4"/>
    <w:rsid w:val="009B3A85"/>
    <w:rsid w:val="009B3A97"/>
    <w:rsid w:val="009B3BC1"/>
    <w:rsid w:val="009B3E2B"/>
    <w:rsid w:val="009B3FAF"/>
    <w:rsid w:val="009B426F"/>
    <w:rsid w:val="009B4291"/>
    <w:rsid w:val="009B43F3"/>
    <w:rsid w:val="009B4802"/>
    <w:rsid w:val="009B48A4"/>
    <w:rsid w:val="009B48FA"/>
    <w:rsid w:val="009B4979"/>
    <w:rsid w:val="009B5133"/>
    <w:rsid w:val="009B54C4"/>
    <w:rsid w:val="009B571E"/>
    <w:rsid w:val="009B5A56"/>
    <w:rsid w:val="009B5B69"/>
    <w:rsid w:val="009B5EBF"/>
    <w:rsid w:val="009B61D2"/>
    <w:rsid w:val="009B6296"/>
    <w:rsid w:val="009B686E"/>
    <w:rsid w:val="009B6FA1"/>
    <w:rsid w:val="009B7112"/>
    <w:rsid w:val="009B761C"/>
    <w:rsid w:val="009B77E9"/>
    <w:rsid w:val="009B7A09"/>
    <w:rsid w:val="009B7A73"/>
    <w:rsid w:val="009B7AB5"/>
    <w:rsid w:val="009B7D41"/>
    <w:rsid w:val="009C018A"/>
    <w:rsid w:val="009C05A8"/>
    <w:rsid w:val="009C0621"/>
    <w:rsid w:val="009C097F"/>
    <w:rsid w:val="009C0CCE"/>
    <w:rsid w:val="009C12E0"/>
    <w:rsid w:val="009C132A"/>
    <w:rsid w:val="009C13F6"/>
    <w:rsid w:val="009C1623"/>
    <w:rsid w:val="009C1A83"/>
    <w:rsid w:val="009C1C69"/>
    <w:rsid w:val="009C2105"/>
    <w:rsid w:val="009C2133"/>
    <w:rsid w:val="009C21AE"/>
    <w:rsid w:val="009C21F3"/>
    <w:rsid w:val="009C2398"/>
    <w:rsid w:val="009C299C"/>
    <w:rsid w:val="009C2A1A"/>
    <w:rsid w:val="009C2C75"/>
    <w:rsid w:val="009C2C88"/>
    <w:rsid w:val="009C2DD3"/>
    <w:rsid w:val="009C2E55"/>
    <w:rsid w:val="009C2E91"/>
    <w:rsid w:val="009C328B"/>
    <w:rsid w:val="009C342B"/>
    <w:rsid w:val="009C358D"/>
    <w:rsid w:val="009C3755"/>
    <w:rsid w:val="009C38AC"/>
    <w:rsid w:val="009C38D4"/>
    <w:rsid w:val="009C38F2"/>
    <w:rsid w:val="009C44C3"/>
    <w:rsid w:val="009C4557"/>
    <w:rsid w:val="009C459D"/>
    <w:rsid w:val="009C4AD2"/>
    <w:rsid w:val="009C4D9A"/>
    <w:rsid w:val="009C4FF6"/>
    <w:rsid w:val="009C50F3"/>
    <w:rsid w:val="009C51C0"/>
    <w:rsid w:val="009C5AD3"/>
    <w:rsid w:val="009C5B00"/>
    <w:rsid w:val="009C5CBB"/>
    <w:rsid w:val="009C5CD5"/>
    <w:rsid w:val="009C5EE9"/>
    <w:rsid w:val="009C62DB"/>
    <w:rsid w:val="009C65EC"/>
    <w:rsid w:val="009C66C4"/>
    <w:rsid w:val="009C6952"/>
    <w:rsid w:val="009C6A3D"/>
    <w:rsid w:val="009C713D"/>
    <w:rsid w:val="009C7256"/>
    <w:rsid w:val="009C77DD"/>
    <w:rsid w:val="009C7B82"/>
    <w:rsid w:val="009C7F70"/>
    <w:rsid w:val="009D0283"/>
    <w:rsid w:val="009D03C1"/>
    <w:rsid w:val="009D07C1"/>
    <w:rsid w:val="009D0B28"/>
    <w:rsid w:val="009D0B2E"/>
    <w:rsid w:val="009D0BCB"/>
    <w:rsid w:val="009D0EF4"/>
    <w:rsid w:val="009D12F4"/>
    <w:rsid w:val="009D152A"/>
    <w:rsid w:val="009D16B0"/>
    <w:rsid w:val="009D1734"/>
    <w:rsid w:val="009D18C2"/>
    <w:rsid w:val="009D1BD5"/>
    <w:rsid w:val="009D1FEE"/>
    <w:rsid w:val="009D21F4"/>
    <w:rsid w:val="009D21FC"/>
    <w:rsid w:val="009D222A"/>
    <w:rsid w:val="009D22CD"/>
    <w:rsid w:val="009D2A4C"/>
    <w:rsid w:val="009D2D4C"/>
    <w:rsid w:val="009D2D5C"/>
    <w:rsid w:val="009D332E"/>
    <w:rsid w:val="009D34AD"/>
    <w:rsid w:val="009D373D"/>
    <w:rsid w:val="009D3A4A"/>
    <w:rsid w:val="009D3D63"/>
    <w:rsid w:val="009D4094"/>
    <w:rsid w:val="009D43DC"/>
    <w:rsid w:val="009D4813"/>
    <w:rsid w:val="009D4923"/>
    <w:rsid w:val="009D4AAA"/>
    <w:rsid w:val="009D4B54"/>
    <w:rsid w:val="009D4C0A"/>
    <w:rsid w:val="009D4D70"/>
    <w:rsid w:val="009D4DDC"/>
    <w:rsid w:val="009D4F93"/>
    <w:rsid w:val="009D4FA4"/>
    <w:rsid w:val="009D4FB7"/>
    <w:rsid w:val="009D5008"/>
    <w:rsid w:val="009D50D9"/>
    <w:rsid w:val="009D54FB"/>
    <w:rsid w:val="009D5596"/>
    <w:rsid w:val="009D55F1"/>
    <w:rsid w:val="009D566F"/>
    <w:rsid w:val="009D5710"/>
    <w:rsid w:val="009D60D2"/>
    <w:rsid w:val="009D60F3"/>
    <w:rsid w:val="009D61F2"/>
    <w:rsid w:val="009D650F"/>
    <w:rsid w:val="009D6726"/>
    <w:rsid w:val="009D6A2F"/>
    <w:rsid w:val="009D6F91"/>
    <w:rsid w:val="009D7087"/>
    <w:rsid w:val="009D7539"/>
    <w:rsid w:val="009D757B"/>
    <w:rsid w:val="009D75D6"/>
    <w:rsid w:val="009D775C"/>
    <w:rsid w:val="009D7B7A"/>
    <w:rsid w:val="009D7C4E"/>
    <w:rsid w:val="009D7DC0"/>
    <w:rsid w:val="009D7F3A"/>
    <w:rsid w:val="009D7F8A"/>
    <w:rsid w:val="009E0142"/>
    <w:rsid w:val="009E03E0"/>
    <w:rsid w:val="009E0CFE"/>
    <w:rsid w:val="009E18F1"/>
    <w:rsid w:val="009E19A2"/>
    <w:rsid w:val="009E21C7"/>
    <w:rsid w:val="009E2370"/>
    <w:rsid w:val="009E23C0"/>
    <w:rsid w:val="009E2594"/>
    <w:rsid w:val="009E271F"/>
    <w:rsid w:val="009E28C4"/>
    <w:rsid w:val="009E291A"/>
    <w:rsid w:val="009E2988"/>
    <w:rsid w:val="009E2D54"/>
    <w:rsid w:val="009E3536"/>
    <w:rsid w:val="009E379A"/>
    <w:rsid w:val="009E3CE1"/>
    <w:rsid w:val="009E3D01"/>
    <w:rsid w:val="009E3D77"/>
    <w:rsid w:val="009E3D95"/>
    <w:rsid w:val="009E3E2E"/>
    <w:rsid w:val="009E405F"/>
    <w:rsid w:val="009E4136"/>
    <w:rsid w:val="009E454C"/>
    <w:rsid w:val="009E470A"/>
    <w:rsid w:val="009E47CB"/>
    <w:rsid w:val="009E47E4"/>
    <w:rsid w:val="009E4962"/>
    <w:rsid w:val="009E4A71"/>
    <w:rsid w:val="009E4A8F"/>
    <w:rsid w:val="009E4F6B"/>
    <w:rsid w:val="009E4FCF"/>
    <w:rsid w:val="009E50CF"/>
    <w:rsid w:val="009E515F"/>
    <w:rsid w:val="009E5341"/>
    <w:rsid w:val="009E563F"/>
    <w:rsid w:val="009E57E3"/>
    <w:rsid w:val="009E5CA0"/>
    <w:rsid w:val="009E5F4C"/>
    <w:rsid w:val="009E5FF9"/>
    <w:rsid w:val="009E6180"/>
    <w:rsid w:val="009E662A"/>
    <w:rsid w:val="009E66A3"/>
    <w:rsid w:val="009E6917"/>
    <w:rsid w:val="009E696F"/>
    <w:rsid w:val="009E6994"/>
    <w:rsid w:val="009E6AB0"/>
    <w:rsid w:val="009E6D0D"/>
    <w:rsid w:val="009E6EF6"/>
    <w:rsid w:val="009E7041"/>
    <w:rsid w:val="009E73E0"/>
    <w:rsid w:val="009E74F9"/>
    <w:rsid w:val="009E76F1"/>
    <w:rsid w:val="009E7C01"/>
    <w:rsid w:val="009F0398"/>
    <w:rsid w:val="009F0434"/>
    <w:rsid w:val="009F046A"/>
    <w:rsid w:val="009F04DA"/>
    <w:rsid w:val="009F092E"/>
    <w:rsid w:val="009F0961"/>
    <w:rsid w:val="009F0DD9"/>
    <w:rsid w:val="009F1165"/>
    <w:rsid w:val="009F14C4"/>
    <w:rsid w:val="009F1672"/>
    <w:rsid w:val="009F1777"/>
    <w:rsid w:val="009F1A4F"/>
    <w:rsid w:val="009F1CD9"/>
    <w:rsid w:val="009F1E7F"/>
    <w:rsid w:val="009F1FBA"/>
    <w:rsid w:val="009F21F8"/>
    <w:rsid w:val="009F2391"/>
    <w:rsid w:val="009F26A5"/>
    <w:rsid w:val="009F28E0"/>
    <w:rsid w:val="009F31AB"/>
    <w:rsid w:val="009F3560"/>
    <w:rsid w:val="009F37E0"/>
    <w:rsid w:val="009F3A2E"/>
    <w:rsid w:val="009F3D1E"/>
    <w:rsid w:val="009F3E77"/>
    <w:rsid w:val="009F4105"/>
    <w:rsid w:val="009F482A"/>
    <w:rsid w:val="009F497D"/>
    <w:rsid w:val="009F4991"/>
    <w:rsid w:val="009F4B3C"/>
    <w:rsid w:val="009F4C60"/>
    <w:rsid w:val="009F4D23"/>
    <w:rsid w:val="009F4DAF"/>
    <w:rsid w:val="009F4FD2"/>
    <w:rsid w:val="009F5284"/>
    <w:rsid w:val="009F52E2"/>
    <w:rsid w:val="009F5513"/>
    <w:rsid w:val="009F55AE"/>
    <w:rsid w:val="009F5737"/>
    <w:rsid w:val="009F58D9"/>
    <w:rsid w:val="009F5A50"/>
    <w:rsid w:val="009F5AF1"/>
    <w:rsid w:val="009F5E5D"/>
    <w:rsid w:val="009F5EFD"/>
    <w:rsid w:val="009F6052"/>
    <w:rsid w:val="009F607B"/>
    <w:rsid w:val="009F60B6"/>
    <w:rsid w:val="009F62F9"/>
    <w:rsid w:val="009F64A0"/>
    <w:rsid w:val="009F677F"/>
    <w:rsid w:val="009F6BF4"/>
    <w:rsid w:val="009F6C57"/>
    <w:rsid w:val="009F6F4A"/>
    <w:rsid w:val="009F70D8"/>
    <w:rsid w:val="009F7262"/>
    <w:rsid w:val="009F757C"/>
    <w:rsid w:val="009F7683"/>
    <w:rsid w:val="009F774C"/>
    <w:rsid w:val="009F7821"/>
    <w:rsid w:val="009F7B20"/>
    <w:rsid w:val="009F7C3E"/>
    <w:rsid w:val="009F7C42"/>
    <w:rsid w:val="00A000F6"/>
    <w:rsid w:val="00A006C6"/>
    <w:rsid w:val="00A0072C"/>
    <w:rsid w:val="00A007F9"/>
    <w:rsid w:val="00A008F0"/>
    <w:rsid w:val="00A0098A"/>
    <w:rsid w:val="00A00B3F"/>
    <w:rsid w:val="00A00B61"/>
    <w:rsid w:val="00A00D27"/>
    <w:rsid w:val="00A01788"/>
    <w:rsid w:val="00A01F40"/>
    <w:rsid w:val="00A02167"/>
    <w:rsid w:val="00A0230F"/>
    <w:rsid w:val="00A0237C"/>
    <w:rsid w:val="00A0245B"/>
    <w:rsid w:val="00A029AD"/>
    <w:rsid w:val="00A02B7F"/>
    <w:rsid w:val="00A02C2A"/>
    <w:rsid w:val="00A02D08"/>
    <w:rsid w:val="00A035C1"/>
    <w:rsid w:val="00A0398C"/>
    <w:rsid w:val="00A03AD1"/>
    <w:rsid w:val="00A03B18"/>
    <w:rsid w:val="00A03BC3"/>
    <w:rsid w:val="00A04086"/>
    <w:rsid w:val="00A04331"/>
    <w:rsid w:val="00A045CB"/>
    <w:rsid w:val="00A047C5"/>
    <w:rsid w:val="00A0505C"/>
    <w:rsid w:val="00A05B04"/>
    <w:rsid w:val="00A05B6F"/>
    <w:rsid w:val="00A05BC5"/>
    <w:rsid w:val="00A05C1B"/>
    <w:rsid w:val="00A06011"/>
    <w:rsid w:val="00A06356"/>
    <w:rsid w:val="00A0642D"/>
    <w:rsid w:val="00A06615"/>
    <w:rsid w:val="00A06902"/>
    <w:rsid w:val="00A06987"/>
    <w:rsid w:val="00A06A4F"/>
    <w:rsid w:val="00A06B27"/>
    <w:rsid w:val="00A06C07"/>
    <w:rsid w:val="00A0733B"/>
    <w:rsid w:val="00A0764E"/>
    <w:rsid w:val="00A077D9"/>
    <w:rsid w:val="00A077E2"/>
    <w:rsid w:val="00A0798E"/>
    <w:rsid w:val="00A07B80"/>
    <w:rsid w:val="00A07EA1"/>
    <w:rsid w:val="00A07FA1"/>
    <w:rsid w:val="00A10154"/>
    <w:rsid w:val="00A1022D"/>
    <w:rsid w:val="00A1030E"/>
    <w:rsid w:val="00A10434"/>
    <w:rsid w:val="00A1048B"/>
    <w:rsid w:val="00A106D9"/>
    <w:rsid w:val="00A10A96"/>
    <w:rsid w:val="00A10AD9"/>
    <w:rsid w:val="00A10F57"/>
    <w:rsid w:val="00A11225"/>
    <w:rsid w:val="00A1135E"/>
    <w:rsid w:val="00A11416"/>
    <w:rsid w:val="00A116D4"/>
    <w:rsid w:val="00A11793"/>
    <w:rsid w:val="00A11824"/>
    <w:rsid w:val="00A11A9D"/>
    <w:rsid w:val="00A11F77"/>
    <w:rsid w:val="00A123BC"/>
    <w:rsid w:val="00A123DE"/>
    <w:rsid w:val="00A12C16"/>
    <w:rsid w:val="00A13092"/>
    <w:rsid w:val="00A13327"/>
    <w:rsid w:val="00A13332"/>
    <w:rsid w:val="00A13339"/>
    <w:rsid w:val="00A1359C"/>
    <w:rsid w:val="00A137C8"/>
    <w:rsid w:val="00A13CBB"/>
    <w:rsid w:val="00A13CCF"/>
    <w:rsid w:val="00A14349"/>
    <w:rsid w:val="00A1483F"/>
    <w:rsid w:val="00A14CC3"/>
    <w:rsid w:val="00A14F73"/>
    <w:rsid w:val="00A15015"/>
    <w:rsid w:val="00A150CC"/>
    <w:rsid w:val="00A150F7"/>
    <w:rsid w:val="00A1512D"/>
    <w:rsid w:val="00A15337"/>
    <w:rsid w:val="00A153B2"/>
    <w:rsid w:val="00A15789"/>
    <w:rsid w:val="00A157AD"/>
    <w:rsid w:val="00A1591A"/>
    <w:rsid w:val="00A15999"/>
    <w:rsid w:val="00A1648E"/>
    <w:rsid w:val="00A16628"/>
    <w:rsid w:val="00A167B9"/>
    <w:rsid w:val="00A167BF"/>
    <w:rsid w:val="00A16DCF"/>
    <w:rsid w:val="00A16E8C"/>
    <w:rsid w:val="00A17376"/>
    <w:rsid w:val="00A173BB"/>
    <w:rsid w:val="00A17481"/>
    <w:rsid w:val="00A17551"/>
    <w:rsid w:val="00A17B89"/>
    <w:rsid w:val="00A17C77"/>
    <w:rsid w:val="00A17CE2"/>
    <w:rsid w:val="00A2037E"/>
    <w:rsid w:val="00A203F3"/>
    <w:rsid w:val="00A20BC7"/>
    <w:rsid w:val="00A20FB4"/>
    <w:rsid w:val="00A20FC6"/>
    <w:rsid w:val="00A2102A"/>
    <w:rsid w:val="00A212D3"/>
    <w:rsid w:val="00A21DD1"/>
    <w:rsid w:val="00A221EC"/>
    <w:rsid w:val="00A2237D"/>
    <w:rsid w:val="00A228E8"/>
    <w:rsid w:val="00A23560"/>
    <w:rsid w:val="00A237D6"/>
    <w:rsid w:val="00A23A93"/>
    <w:rsid w:val="00A23BBF"/>
    <w:rsid w:val="00A23C61"/>
    <w:rsid w:val="00A23C92"/>
    <w:rsid w:val="00A23D71"/>
    <w:rsid w:val="00A24261"/>
    <w:rsid w:val="00A24298"/>
    <w:rsid w:val="00A24532"/>
    <w:rsid w:val="00A2467B"/>
    <w:rsid w:val="00A24717"/>
    <w:rsid w:val="00A2495B"/>
    <w:rsid w:val="00A24CA8"/>
    <w:rsid w:val="00A24FA5"/>
    <w:rsid w:val="00A250A8"/>
    <w:rsid w:val="00A25391"/>
    <w:rsid w:val="00A255F6"/>
    <w:rsid w:val="00A2579C"/>
    <w:rsid w:val="00A259E2"/>
    <w:rsid w:val="00A259E5"/>
    <w:rsid w:val="00A25C53"/>
    <w:rsid w:val="00A25CD7"/>
    <w:rsid w:val="00A26173"/>
    <w:rsid w:val="00A2623C"/>
    <w:rsid w:val="00A26B9D"/>
    <w:rsid w:val="00A26E5C"/>
    <w:rsid w:val="00A271CB"/>
    <w:rsid w:val="00A2764E"/>
    <w:rsid w:val="00A2785B"/>
    <w:rsid w:val="00A278A0"/>
    <w:rsid w:val="00A27A86"/>
    <w:rsid w:val="00A27ADB"/>
    <w:rsid w:val="00A27BA1"/>
    <w:rsid w:val="00A302B3"/>
    <w:rsid w:val="00A305CB"/>
    <w:rsid w:val="00A3064E"/>
    <w:rsid w:val="00A30797"/>
    <w:rsid w:val="00A3097B"/>
    <w:rsid w:val="00A3099D"/>
    <w:rsid w:val="00A30A0B"/>
    <w:rsid w:val="00A30AA5"/>
    <w:rsid w:val="00A30B42"/>
    <w:rsid w:val="00A30F91"/>
    <w:rsid w:val="00A31065"/>
    <w:rsid w:val="00A31114"/>
    <w:rsid w:val="00A31433"/>
    <w:rsid w:val="00A31848"/>
    <w:rsid w:val="00A31922"/>
    <w:rsid w:val="00A320CB"/>
    <w:rsid w:val="00A32186"/>
    <w:rsid w:val="00A3235E"/>
    <w:rsid w:val="00A32770"/>
    <w:rsid w:val="00A327AF"/>
    <w:rsid w:val="00A32810"/>
    <w:rsid w:val="00A32BC1"/>
    <w:rsid w:val="00A32D5A"/>
    <w:rsid w:val="00A32E15"/>
    <w:rsid w:val="00A32EE0"/>
    <w:rsid w:val="00A3307C"/>
    <w:rsid w:val="00A3340C"/>
    <w:rsid w:val="00A33637"/>
    <w:rsid w:val="00A3364D"/>
    <w:rsid w:val="00A33810"/>
    <w:rsid w:val="00A339F2"/>
    <w:rsid w:val="00A33A8A"/>
    <w:rsid w:val="00A33BB3"/>
    <w:rsid w:val="00A33E28"/>
    <w:rsid w:val="00A34166"/>
    <w:rsid w:val="00A3423F"/>
    <w:rsid w:val="00A34472"/>
    <w:rsid w:val="00A344EA"/>
    <w:rsid w:val="00A34627"/>
    <w:rsid w:val="00A34DEE"/>
    <w:rsid w:val="00A34FAC"/>
    <w:rsid w:val="00A34FE1"/>
    <w:rsid w:val="00A34FF0"/>
    <w:rsid w:val="00A34FF3"/>
    <w:rsid w:val="00A35094"/>
    <w:rsid w:val="00A350B0"/>
    <w:rsid w:val="00A35191"/>
    <w:rsid w:val="00A3523C"/>
    <w:rsid w:val="00A35822"/>
    <w:rsid w:val="00A358AE"/>
    <w:rsid w:val="00A359BF"/>
    <w:rsid w:val="00A36607"/>
    <w:rsid w:val="00A369BA"/>
    <w:rsid w:val="00A36B23"/>
    <w:rsid w:val="00A36DCB"/>
    <w:rsid w:val="00A36F09"/>
    <w:rsid w:val="00A3748C"/>
    <w:rsid w:val="00A37939"/>
    <w:rsid w:val="00A37A4D"/>
    <w:rsid w:val="00A400D1"/>
    <w:rsid w:val="00A400EA"/>
    <w:rsid w:val="00A400F8"/>
    <w:rsid w:val="00A4037B"/>
    <w:rsid w:val="00A404DD"/>
    <w:rsid w:val="00A405AC"/>
    <w:rsid w:val="00A407D4"/>
    <w:rsid w:val="00A40A1A"/>
    <w:rsid w:val="00A40C68"/>
    <w:rsid w:val="00A40D57"/>
    <w:rsid w:val="00A40DE3"/>
    <w:rsid w:val="00A40E3E"/>
    <w:rsid w:val="00A40F32"/>
    <w:rsid w:val="00A40F50"/>
    <w:rsid w:val="00A41396"/>
    <w:rsid w:val="00A413B3"/>
    <w:rsid w:val="00A414A7"/>
    <w:rsid w:val="00A417EE"/>
    <w:rsid w:val="00A41897"/>
    <w:rsid w:val="00A41A91"/>
    <w:rsid w:val="00A41D3F"/>
    <w:rsid w:val="00A41FD4"/>
    <w:rsid w:val="00A42033"/>
    <w:rsid w:val="00A43337"/>
    <w:rsid w:val="00A433A0"/>
    <w:rsid w:val="00A4356B"/>
    <w:rsid w:val="00A4363B"/>
    <w:rsid w:val="00A43889"/>
    <w:rsid w:val="00A43AE1"/>
    <w:rsid w:val="00A43D99"/>
    <w:rsid w:val="00A43ED9"/>
    <w:rsid w:val="00A44254"/>
    <w:rsid w:val="00A446A5"/>
    <w:rsid w:val="00A447F3"/>
    <w:rsid w:val="00A44983"/>
    <w:rsid w:val="00A449E2"/>
    <w:rsid w:val="00A44BF9"/>
    <w:rsid w:val="00A44DA4"/>
    <w:rsid w:val="00A44DF0"/>
    <w:rsid w:val="00A45093"/>
    <w:rsid w:val="00A4510D"/>
    <w:rsid w:val="00A4516E"/>
    <w:rsid w:val="00A45180"/>
    <w:rsid w:val="00A45304"/>
    <w:rsid w:val="00A45489"/>
    <w:rsid w:val="00A455A0"/>
    <w:rsid w:val="00A45614"/>
    <w:rsid w:val="00A458FF"/>
    <w:rsid w:val="00A4599B"/>
    <w:rsid w:val="00A45BDC"/>
    <w:rsid w:val="00A45E3F"/>
    <w:rsid w:val="00A45E64"/>
    <w:rsid w:val="00A45EB3"/>
    <w:rsid w:val="00A45FC0"/>
    <w:rsid w:val="00A4606F"/>
    <w:rsid w:val="00A461A4"/>
    <w:rsid w:val="00A46427"/>
    <w:rsid w:val="00A4657D"/>
    <w:rsid w:val="00A46808"/>
    <w:rsid w:val="00A468B4"/>
    <w:rsid w:val="00A46C66"/>
    <w:rsid w:val="00A46D3A"/>
    <w:rsid w:val="00A46ECA"/>
    <w:rsid w:val="00A46FA9"/>
    <w:rsid w:val="00A4704E"/>
    <w:rsid w:val="00A473DF"/>
    <w:rsid w:val="00A47528"/>
    <w:rsid w:val="00A476B2"/>
    <w:rsid w:val="00A47A39"/>
    <w:rsid w:val="00A47B91"/>
    <w:rsid w:val="00A47D88"/>
    <w:rsid w:val="00A50222"/>
    <w:rsid w:val="00A503BB"/>
    <w:rsid w:val="00A50535"/>
    <w:rsid w:val="00A506A1"/>
    <w:rsid w:val="00A50D92"/>
    <w:rsid w:val="00A50FCC"/>
    <w:rsid w:val="00A51444"/>
    <w:rsid w:val="00A51549"/>
    <w:rsid w:val="00A51835"/>
    <w:rsid w:val="00A518A2"/>
    <w:rsid w:val="00A51A1B"/>
    <w:rsid w:val="00A51BA2"/>
    <w:rsid w:val="00A51C15"/>
    <w:rsid w:val="00A51DF2"/>
    <w:rsid w:val="00A51E88"/>
    <w:rsid w:val="00A5204B"/>
    <w:rsid w:val="00A52429"/>
    <w:rsid w:val="00A526E8"/>
    <w:rsid w:val="00A52C94"/>
    <w:rsid w:val="00A5314D"/>
    <w:rsid w:val="00A5337A"/>
    <w:rsid w:val="00A53418"/>
    <w:rsid w:val="00A534B3"/>
    <w:rsid w:val="00A53554"/>
    <w:rsid w:val="00A53630"/>
    <w:rsid w:val="00A5369F"/>
    <w:rsid w:val="00A536ED"/>
    <w:rsid w:val="00A53951"/>
    <w:rsid w:val="00A540C5"/>
    <w:rsid w:val="00A541A2"/>
    <w:rsid w:val="00A54629"/>
    <w:rsid w:val="00A548B1"/>
    <w:rsid w:val="00A549BC"/>
    <w:rsid w:val="00A549F4"/>
    <w:rsid w:val="00A54E98"/>
    <w:rsid w:val="00A55106"/>
    <w:rsid w:val="00A5519E"/>
    <w:rsid w:val="00A55439"/>
    <w:rsid w:val="00A55601"/>
    <w:rsid w:val="00A55900"/>
    <w:rsid w:val="00A55EDA"/>
    <w:rsid w:val="00A560A4"/>
    <w:rsid w:val="00A5618B"/>
    <w:rsid w:val="00A5618C"/>
    <w:rsid w:val="00A5623E"/>
    <w:rsid w:val="00A56626"/>
    <w:rsid w:val="00A567C9"/>
    <w:rsid w:val="00A56CF5"/>
    <w:rsid w:val="00A56DA1"/>
    <w:rsid w:val="00A5726B"/>
    <w:rsid w:val="00A574DA"/>
    <w:rsid w:val="00A576D2"/>
    <w:rsid w:val="00A578CE"/>
    <w:rsid w:val="00A579B7"/>
    <w:rsid w:val="00A57BDF"/>
    <w:rsid w:val="00A57D4F"/>
    <w:rsid w:val="00A57DA0"/>
    <w:rsid w:val="00A57F23"/>
    <w:rsid w:val="00A600D0"/>
    <w:rsid w:val="00A60206"/>
    <w:rsid w:val="00A60266"/>
    <w:rsid w:val="00A603B3"/>
    <w:rsid w:val="00A60671"/>
    <w:rsid w:val="00A609C0"/>
    <w:rsid w:val="00A60A65"/>
    <w:rsid w:val="00A60D5B"/>
    <w:rsid w:val="00A6116F"/>
    <w:rsid w:val="00A611B0"/>
    <w:rsid w:val="00A615C8"/>
    <w:rsid w:val="00A618F3"/>
    <w:rsid w:val="00A61907"/>
    <w:rsid w:val="00A61A23"/>
    <w:rsid w:val="00A61AB7"/>
    <w:rsid w:val="00A61CCA"/>
    <w:rsid w:val="00A61DBE"/>
    <w:rsid w:val="00A61E9C"/>
    <w:rsid w:val="00A62195"/>
    <w:rsid w:val="00A62753"/>
    <w:rsid w:val="00A627D7"/>
    <w:rsid w:val="00A62C1C"/>
    <w:rsid w:val="00A62CD7"/>
    <w:rsid w:val="00A62DCE"/>
    <w:rsid w:val="00A62EB9"/>
    <w:rsid w:val="00A63011"/>
    <w:rsid w:val="00A6315B"/>
    <w:rsid w:val="00A63389"/>
    <w:rsid w:val="00A637CA"/>
    <w:rsid w:val="00A63DBC"/>
    <w:rsid w:val="00A6429D"/>
    <w:rsid w:val="00A643C2"/>
    <w:rsid w:val="00A644F8"/>
    <w:rsid w:val="00A6465E"/>
    <w:rsid w:val="00A64944"/>
    <w:rsid w:val="00A64F5E"/>
    <w:rsid w:val="00A64FD8"/>
    <w:rsid w:val="00A65005"/>
    <w:rsid w:val="00A65438"/>
    <w:rsid w:val="00A65498"/>
    <w:rsid w:val="00A655AB"/>
    <w:rsid w:val="00A655E5"/>
    <w:rsid w:val="00A65798"/>
    <w:rsid w:val="00A65A9F"/>
    <w:rsid w:val="00A65EAE"/>
    <w:rsid w:val="00A65F3C"/>
    <w:rsid w:val="00A65FC2"/>
    <w:rsid w:val="00A660C4"/>
    <w:rsid w:val="00A660E3"/>
    <w:rsid w:val="00A66D71"/>
    <w:rsid w:val="00A67058"/>
    <w:rsid w:val="00A670F6"/>
    <w:rsid w:val="00A6794E"/>
    <w:rsid w:val="00A67ACB"/>
    <w:rsid w:val="00A67BD1"/>
    <w:rsid w:val="00A67C43"/>
    <w:rsid w:val="00A701DE"/>
    <w:rsid w:val="00A70541"/>
    <w:rsid w:val="00A707CE"/>
    <w:rsid w:val="00A708DE"/>
    <w:rsid w:val="00A70B34"/>
    <w:rsid w:val="00A70DAA"/>
    <w:rsid w:val="00A70FD4"/>
    <w:rsid w:val="00A71144"/>
    <w:rsid w:val="00A71189"/>
    <w:rsid w:val="00A715E2"/>
    <w:rsid w:val="00A71771"/>
    <w:rsid w:val="00A719DD"/>
    <w:rsid w:val="00A71DED"/>
    <w:rsid w:val="00A722C0"/>
    <w:rsid w:val="00A72622"/>
    <w:rsid w:val="00A72A58"/>
    <w:rsid w:val="00A72E90"/>
    <w:rsid w:val="00A731F3"/>
    <w:rsid w:val="00A73247"/>
    <w:rsid w:val="00A73324"/>
    <w:rsid w:val="00A733CD"/>
    <w:rsid w:val="00A7340F"/>
    <w:rsid w:val="00A7341F"/>
    <w:rsid w:val="00A73548"/>
    <w:rsid w:val="00A73779"/>
    <w:rsid w:val="00A73A21"/>
    <w:rsid w:val="00A73A3F"/>
    <w:rsid w:val="00A73B52"/>
    <w:rsid w:val="00A73EE3"/>
    <w:rsid w:val="00A73F07"/>
    <w:rsid w:val="00A73F5A"/>
    <w:rsid w:val="00A74275"/>
    <w:rsid w:val="00A745AF"/>
    <w:rsid w:val="00A747A8"/>
    <w:rsid w:val="00A7495C"/>
    <w:rsid w:val="00A74A25"/>
    <w:rsid w:val="00A74EE0"/>
    <w:rsid w:val="00A74F09"/>
    <w:rsid w:val="00A74F86"/>
    <w:rsid w:val="00A75649"/>
    <w:rsid w:val="00A75770"/>
    <w:rsid w:val="00A759EE"/>
    <w:rsid w:val="00A75B3B"/>
    <w:rsid w:val="00A75BCA"/>
    <w:rsid w:val="00A75C2B"/>
    <w:rsid w:val="00A75C86"/>
    <w:rsid w:val="00A75DE4"/>
    <w:rsid w:val="00A75F51"/>
    <w:rsid w:val="00A75FC8"/>
    <w:rsid w:val="00A76B22"/>
    <w:rsid w:val="00A76C7E"/>
    <w:rsid w:val="00A7700C"/>
    <w:rsid w:val="00A77034"/>
    <w:rsid w:val="00A773AA"/>
    <w:rsid w:val="00A7767D"/>
    <w:rsid w:val="00A778B4"/>
    <w:rsid w:val="00A77958"/>
    <w:rsid w:val="00A77C2C"/>
    <w:rsid w:val="00A77D88"/>
    <w:rsid w:val="00A77F96"/>
    <w:rsid w:val="00A8019D"/>
    <w:rsid w:val="00A80366"/>
    <w:rsid w:val="00A808E3"/>
    <w:rsid w:val="00A80E8C"/>
    <w:rsid w:val="00A81027"/>
    <w:rsid w:val="00A810D6"/>
    <w:rsid w:val="00A8154D"/>
    <w:rsid w:val="00A81686"/>
    <w:rsid w:val="00A8176B"/>
    <w:rsid w:val="00A818A3"/>
    <w:rsid w:val="00A819AE"/>
    <w:rsid w:val="00A81EAF"/>
    <w:rsid w:val="00A81F08"/>
    <w:rsid w:val="00A822FD"/>
    <w:rsid w:val="00A82313"/>
    <w:rsid w:val="00A8245A"/>
    <w:rsid w:val="00A8272B"/>
    <w:rsid w:val="00A82B05"/>
    <w:rsid w:val="00A82F93"/>
    <w:rsid w:val="00A830DA"/>
    <w:rsid w:val="00A831E1"/>
    <w:rsid w:val="00A83338"/>
    <w:rsid w:val="00A83446"/>
    <w:rsid w:val="00A83589"/>
    <w:rsid w:val="00A83924"/>
    <w:rsid w:val="00A83C26"/>
    <w:rsid w:val="00A83E77"/>
    <w:rsid w:val="00A84099"/>
    <w:rsid w:val="00A84B57"/>
    <w:rsid w:val="00A84DF1"/>
    <w:rsid w:val="00A850ED"/>
    <w:rsid w:val="00A853A8"/>
    <w:rsid w:val="00A8555F"/>
    <w:rsid w:val="00A85722"/>
    <w:rsid w:val="00A85745"/>
    <w:rsid w:val="00A8574A"/>
    <w:rsid w:val="00A858CB"/>
    <w:rsid w:val="00A85B4C"/>
    <w:rsid w:val="00A85FAE"/>
    <w:rsid w:val="00A86394"/>
    <w:rsid w:val="00A863B8"/>
    <w:rsid w:val="00A86400"/>
    <w:rsid w:val="00A864B1"/>
    <w:rsid w:val="00A867C5"/>
    <w:rsid w:val="00A86D63"/>
    <w:rsid w:val="00A86D91"/>
    <w:rsid w:val="00A86E31"/>
    <w:rsid w:val="00A87110"/>
    <w:rsid w:val="00A87158"/>
    <w:rsid w:val="00A872E7"/>
    <w:rsid w:val="00A87387"/>
    <w:rsid w:val="00A8751A"/>
    <w:rsid w:val="00A87687"/>
    <w:rsid w:val="00A87821"/>
    <w:rsid w:val="00A87B7B"/>
    <w:rsid w:val="00A87DF8"/>
    <w:rsid w:val="00A9000D"/>
    <w:rsid w:val="00A9003B"/>
    <w:rsid w:val="00A901BC"/>
    <w:rsid w:val="00A901E1"/>
    <w:rsid w:val="00A9049F"/>
    <w:rsid w:val="00A904B1"/>
    <w:rsid w:val="00A90582"/>
    <w:rsid w:val="00A905D1"/>
    <w:rsid w:val="00A90B4E"/>
    <w:rsid w:val="00A90BE7"/>
    <w:rsid w:val="00A90C5A"/>
    <w:rsid w:val="00A90C7E"/>
    <w:rsid w:val="00A91113"/>
    <w:rsid w:val="00A9146D"/>
    <w:rsid w:val="00A914CE"/>
    <w:rsid w:val="00A916DD"/>
    <w:rsid w:val="00A91895"/>
    <w:rsid w:val="00A91C0E"/>
    <w:rsid w:val="00A92029"/>
    <w:rsid w:val="00A92083"/>
    <w:rsid w:val="00A921F9"/>
    <w:rsid w:val="00A927AA"/>
    <w:rsid w:val="00A92898"/>
    <w:rsid w:val="00A929E3"/>
    <w:rsid w:val="00A92CEA"/>
    <w:rsid w:val="00A92D3F"/>
    <w:rsid w:val="00A92D55"/>
    <w:rsid w:val="00A92FDA"/>
    <w:rsid w:val="00A932B7"/>
    <w:rsid w:val="00A934EE"/>
    <w:rsid w:val="00A93816"/>
    <w:rsid w:val="00A938DD"/>
    <w:rsid w:val="00A93C2B"/>
    <w:rsid w:val="00A94122"/>
    <w:rsid w:val="00A94534"/>
    <w:rsid w:val="00A94794"/>
    <w:rsid w:val="00A9492A"/>
    <w:rsid w:val="00A94A57"/>
    <w:rsid w:val="00A94B01"/>
    <w:rsid w:val="00A94E04"/>
    <w:rsid w:val="00A9502B"/>
    <w:rsid w:val="00A95518"/>
    <w:rsid w:val="00A958B7"/>
    <w:rsid w:val="00A95936"/>
    <w:rsid w:val="00A95A29"/>
    <w:rsid w:val="00A95A39"/>
    <w:rsid w:val="00A95AF5"/>
    <w:rsid w:val="00A96164"/>
    <w:rsid w:val="00A9625F"/>
    <w:rsid w:val="00A9690C"/>
    <w:rsid w:val="00A9693E"/>
    <w:rsid w:val="00A96ACA"/>
    <w:rsid w:val="00A96BD6"/>
    <w:rsid w:val="00A96C92"/>
    <w:rsid w:val="00A96EC4"/>
    <w:rsid w:val="00A96F1C"/>
    <w:rsid w:val="00A97BA1"/>
    <w:rsid w:val="00A97C3E"/>
    <w:rsid w:val="00AA0064"/>
    <w:rsid w:val="00AA00F1"/>
    <w:rsid w:val="00AA112F"/>
    <w:rsid w:val="00AA14BC"/>
    <w:rsid w:val="00AA1ECB"/>
    <w:rsid w:val="00AA21D5"/>
    <w:rsid w:val="00AA22B8"/>
    <w:rsid w:val="00AA23A2"/>
    <w:rsid w:val="00AA2750"/>
    <w:rsid w:val="00AA284E"/>
    <w:rsid w:val="00AA2DC3"/>
    <w:rsid w:val="00AA2FAB"/>
    <w:rsid w:val="00AA3082"/>
    <w:rsid w:val="00AA316F"/>
    <w:rsid w:val="00AA31E7"/>
    <w:rsid w:val="00AA321A"/>
    <w:rsid w:val="00AA338A"/>
    <w:rsid w:val="00AA389C"/>
    <w:rsid w:val="00AA38A8"/>
    <w:rsid w:val="00AA3EAE"/>
    <w:rsid w:val="00AA424E"/>
    <w:rsid w:val="00AA4310"/>
    <w:rsid w:val="00AA4580"/>
    <w:rsid w:val="00AA4597"/>
    <w:rsid w:val="00AA46DC"/>
    <w:rsid w:val="00AA476B"/>
    <w:rsid w:val="00AA49CA"/>
    <w:rsid w:val="00AA4CE2"/>
    <w:rsid w:val="00AA4F47"/>
    <w:rsid w:val="00AA4FFE"/>
    <w:rsid w:val="00AA553C"/>
    <w:rsid w:val="00AA56A6"/>
    <w:rsid w:val="00AA5B6A"/>
    <w:rsid w:val="00AA5BCA"/>
    <w:rsid w:val="00AA5C5C"/>
    <w:rsid w:val="00AA5FFF"/>
    <w:rsid w:val="00AA61CF"/>
    <w:rsid w:val="00AA685B"/>
    <w:rsid w:val="00AA68EE"/>
    <w:rsid w:val="00AA6BF8"/>
    <w:rsid w:val="00AA6C7D"/>
    <w:rsid w:val="00AA6DC0"/>
    <w:rsid w:val="00AA7186"/>
    <w:rsid w:val="00AA7230"/>
    <w:rsid w:val="00AA72A0"/>
    <w:rsid w:val="00AA74A0"/>
    <w:rsid w:val="00AA7502"/>
    <w:rsid w:val="00AA765E"/>
    <w:rsid w:val="00AA7749"/>
    <w:rsid w:val="00AA7788"/>
    <w:rsid w:val="00AA779F"/>
    <w:rsid w:val="00AA7939"/>
    <w:rsid w:val="00AA7941"/>
    <w:rsid w:val="00AA7DE8"/>
    <w:rsid w:val="00AA7F77"/>
    <w:rsid w:val="00AB0029"/>
    <w:rsid w:val="00AB005F"/>
    <w:rsid w:val="00AB073B"/>
    <w:rsid w:val="00AB089C"/>
    <w:rsid w:val="00AB098F"/>
    <w:rsid w:val="00AB0CB9"/>
    <w:rsid w:val="00AB0D4F"/>
    <w:rsid w:val="00AB0E26"/>
    <w:rsid w:val="00AB112F"/>
    <w:rsid w:val="00AB1700"/>
    <w:rsid w:val="00AB1902"/>
    <w:rsid w:val="00AB198F"/>
    <w:rsid w:val="00AB1F6A"/>
    <w:rsid w:val="00AB2545"/>
    <w:rsid w:val="00AB2769"/>
    <w:rsid w:val="00AB297B"/>
    <w:rsid w:val="00AB2C2A"/>
    <w:rsid w:val="00AB2CAA"/>
    <w:rsid w:val="00AB2CBB"/>
    <w:rsid w:val="00AB30C5"/>
    <w:rsid w:val="00AB3849"/>
    <w:rsid w:val="00AB39AC"/>
    <w:rsid w:val="00AB3A1B"/>
    <w:rsid w:val="00AB3AF4"/>
    <w:rsid w:val="00AB3DAA"/>
    <w:rsid w:val="00AB3FEE"/>
    <w:rsid w:val="00AB419B"/>
    <w:rsid w:val="00AB46EA"/>
    <w:rsid w:val="00AB4800"/>
    <w:rsid w:val="00AB4B8A"/>
    <w:rsid w:val="00AB4D07"/>
    <w:rsid w:val="00AB57CD"/>
    <w:rsid w:val="00AB5802"/>
    <w:rsid w:val="00AB5A82"/>
    <w:rsid w:val="00AB5B17"/>
    <w:rsid w:val="00AB5B34"/>
    <w:rsid w:val="00AB5E92"/>
    <w:rsid w:val="00AB5EF3"/>
    <w:rsid w:val="00AB5F5D"/>
    <w:rsid w:val="00AB61E8"/>
    <w:rsid w:val="00AB6258"/>
    <w:rsid w:val="00AB6353"/>
    <w:rsid w:val="00AB65A7"/>
    <w:rsid w:val="00AB6726"/>
    <w:rsid w:val="00AB6B1F"/>
    <w:rsid w:val="00AB6B7F"/>
    <w:rsid w:val="00AB6BDB"/>
    <w:rsid w:val="00AB6C65"/>
    <w:rsid w:val="00AB6EC6"/>
    <w:rsid w:val="00AB7621"/>
    <w:rsid w:val="00AB7813"/>
    <w:rsid w:val="00AB7C2C"/>
    <w:rsid w:val="00AB7C3E"/>
    <w:rsid w:val="00AC0138"/>
    <w:rsid w:val="00AC050D"/>
    <w:rsid w:val="00AC0626"/>
    <w:rsid w:val="00AC069C"/>
    <w:rsid w:val="00AC0E60"/>
    <w:rsid w:val="00AC0EF0"/>
    <w:rsid w:val="00AC1137"/>
    <w:rsid w:val="00AC1462"/>
    <w:rsid w:val="00AC17CC"/>
    <w:rsid w:val="00AC1A1C"/>
    <w:rsid w:val="00AC1AD2"/>
    <w:rsid w:val="00AC1B42"/>
    <w:rsid w:val="00AC1B9B"/>
    <w:rsid w:val="00AC1BCF"/>
    <w:rsid w:val="00AC208C"/>
    <w:rsid w:val="00AC20F0"/>
    <w:rsid w:val="00AC220F"/>
    <w:rsid w:val="00AC2784"/>
    <w:rsid w:val="00AC27D6"/>
    <w:rsid w:val="00AC2AAD"/>
    <w:rsid w:val="00AC2C03"/>
    <w:rsid w:val="00AC3351"/>
    <w:rsid w:val="00AC36DB"/>
    <w:rsid w:val="00AC3B23"/>
    <w:rsid w:val="00AC3B5C"/>
    <w:rsid w:val="00AC3C39"/>
    <w:rsid w:val="00AC3D14"/>
    <w:rsid w:val="00AC3D73"/>
    <w:rsid w:val="00AC3D98"/>
    <w:rsid w:val="00AC3F00"/>
    <w:rsid w:val="00AC41DC"/>
    <w:rsid w:val="00AC42AB"/>
    <w:rsid w:val="00AC4464"/>
    <w:rsid w:val="00AC481B"/>
    <w:rsid w:val="00AC487F"/>
    <w:rsid w:val="00AC4BAF"/>
    <w:rsid w:val="00AC5287"/>
    <w:rsid w:val="00AC57E8"/>
    <w:rsid w:val="00AC5A06"/>
    <w:rsid w:val="00AC5C2F"/>
    <w:rsid w:val="00AC600A"/>
    <w:rsid w:val="00AC610D"/>
    <w:rsid w:val="00AC62CA"/>
    <w:rsid w:val="00AC6628"/>
    <w:rsid w:val="00AC6655"/>
    <w:rsid w:val="00AC66D2"/>
    <w:rsid w:val="00AC67C9"/>
    <w:rsid w:val="00AC69AD"/>
    <w:rsid w:val="00AC6C76"/>
    <w:rsid w:val="00AC6DAF"/>
    <w:rsid w:val="00AC6E1D"/>
    <w:rsid w:val="00AC6E2F"/>
    <w:rsid w:val="00AC6F09"/>
    <w:rsid w:val="00AC71F6"/>
    <w:rsid w:val="00AC7582"/>
    <w:rsid w:val="00AC761E"/>
    <w:rsid w:val="00AC795C"/>
    <w:rsid w:val="00AC7B68"/>
    <w:rsid w:val="00AC7FC1"/>
    <w:rsid w:val="00AD0117"/>
    <w:rsid w:val="00AD03BB"/>
    <w:rsid w:val="00AD059F"/>
    <w:rsid w:val="00AD07C4"/>
    <w:rsid w:val="00AD09B3"/>
    <w:rsid w:val="00AD109E"/>
    <w:rsid w:val="00AD12FD"/>
    <w:rsid w:val="00AD1496"/>
    <w:rsid w:val="00AD15B2"/>
    <w:rsid w:val="00AD1D6B"/>
    <w:rsid w:val="00AD202F"/>
    <w:rsid w:val="00AD238D"/>
    <w:rsid w:val="00AD23B0"/>
    <w:rsid w:val="00AD2807"/>
    <w:rsid w:val="00AD29B7"/>
    <w:rsid w:val="00AD2B40"/>
    <w:rsid w:val="00AD2C6D"/>
    <w:rsid w:val="00AD2F02"/>
    <w:rsid w:val="00AD31D5"/>
    <w:rsid w:val="00AD3603"/>
    <w:rsid w:val="00AD3787"/>
    <w:rsid w:val="00AD3A99"/>
    <w:rsid w:val="00AD3B52"/>
    <w:rsid w:val="00AD3B7D"/>
    <w:rsid w:val="00AD3BC5"/>
    <w:rsid w:val="00AD4344"/>
    <w:rsid w:val="00AD4592"/>
    <w:rsid w:val="00AD4671"/>
    <w:rsid w:val="00AD4678"/>
    <w:rsid w:val="00AD46FF"/>
    <w:rsid w:val="00AD4A46"/>
    <w:rsid w:val="00AD4AAF"/>
    <w:rsid w:val="00AD52A3"/>
    <w:rsid w:val="00AD52CA"/>
    <w:rsid w:val="00AD5315"/>
    <w:rsid w:val="00AD5841"/>
    <w:rsid w:val="00AD5C16"/>
    <w:rsid w:val="00AD5EC7"/>
    <w:rsid w:val="00AD5F2A"/>
    <w:rsid w:val="00AD5FE6"/>
    <w:rsid w:val="00AD5FFE"/>
    <w:rsid w:val="00AD61BD"/>
    <w:rsid w:val="00AD6220"/>
    <w:rsid w:val="00AD644C"/>
    <w:rsid w:val="00AD6C4F"/>
    <w:rsid w:val="00AD6D6C"/>
    <w:rsid w:val="00AD6E39"/>
    <w:rsid w:val="00AD70B6"/>
    <w:rsid w:val="00AD72CA"/>
    <w:rsid w:val="00AD74C2"/>
    <w:rsid w:val="00AD7714"/>
    <w:rsid w:val="00AD7B1C"/>
    <w:rsid w:val="00AD7F28"/>
    <w:rsid w:val="00AE0194"/>
    <w:rsid w:val="00AE0249"/>
    <w:rsid w:val="00AE06D0"/>
    <w:rsid w:val="00AE0708"/>
    <w:rsid w:val="00AE0977"/>
    <w:rsid w:val="00AE0CBE"/>
    <w:rsid w:val="00AE0D21"/>
    <w:rsid w:val="00AE0D61"/>
    <w:rsid w:val="00AE0DD9"/>
    <w:rsid w:val="00AE110B"/>
    <w:rsid w:val="00AE1188"/>
    <w:rsid w:val="00AE1576"/>
    <w:rsid w:val="00AE15A7"/>
    <w:rsid w:val="00AE1816"/>
    <w:rsid w:val="00AE1B2A"/>
    <w:rsid w:val="00AE2319"/>
    <w:rsid w:val="00AE29AF"/>
    <w:rsid w:val="00AE2B3F"/>
    <w:rsid w:val="00AE2BCB"/>
    <w:rsid w:val="00AE31F1"/>
    <w:rsid w:val="00AE3366"/>
    <w:rsid w:val="00AE360A"/>
    <w:rsid w:val="00AE3C83"/>
    <w:rsid w:val="00AE40FD"/>
    <w:rsid w:val="00AE423B"/>
    <w:rsid w:val="00AE42C1"/>
    <w:rsid w:val="00AE4481"/>
    <w:rsid w:val="00AE45C6"/>
    <w:rsid w:val="00AE5129"/>
    <w:rsid w:val="00AE52D7"/>
    <w:rsid w:val="00AE52F9"/>
    <w:rsid w:val="00AE5596"/>
    <w:rsid w:val="00AE5A2B"/>
    <w:rsid w:val="00AE5A44"/>
    <w:rsid w:val="00AE5A89"/>
    <w:rsid w:val="00AE5B67"/>
    <w:rsid w:val="00AE5CF9"/>
    <w:rsid w:val="00AE5E2C"/>
    <w:rsid w:val="00AE5E5F"/>
    <w:rsid w:val="00AE5F31"/>
    <w:rsid w:val="00AE631E"/>
    <w:rsid w:val="00AE64AC"/>
    <w:rsid w:val="00AE6A0D"/>
    <w:rsid w:val="00AE6EC8"/>
    <w:rsid w:val="00AE73AE"/>
    <w:rsid w:val="00AE759F"/>
    <w:rsid w:val="00AE76FC"/>
    <w:rsid w:val="00AE7720"/>
    <w:rsid w:val="00AE785E"/>
    <w:rsid w:val="00AE7978"/>
    <w:rsid w:val="00AE7C6B"/>
    <w:rsid w:val="00AF0244"/>
    <w:rsid w:val="00AF032F"/>
    <w:rsid w:val="00AF04A0"/>
    <w:rsid w:val="00AF04BF"/>
    <w:rsid w:val="00AF07A6"/>
    <w:rsid w:val="00AF07DD"/>
    <w:rsid w:val="00AF0DA7"/>
    <w:rsid w:val="00AF0DC9"/>
    <w:rsid w:val="00AF0EE9"/>
    <w:rsid w:val="00AF0FDB"/>
    <w:rsid w:val="00AF12FE"/>
    <w:rsid w:val="00AF15F4"/>
    <w:rsid w:val="00AF1BF4"/>
    <w:rsid w:val="00AF1D84"/>
    <w:rsid w:val="00AF2055"/>
    <w:rsid w:val="00AF20FD"/>
    <w:rsid w:val="00AF211A"/>
    <w:rsid w:val="00AF217E"/>
    <w:rsid w:val="00AF24C3"/>
    <w:rsid w:val="00AF2745"/>
    <w:rsid w:val="00AF286E"/>
    <w:rsid w:val="00AF29E8"/>
    <w:rsid w:val="00AF2A14"/>
    <w:rsid w:val="00AF2B1A"/>
    <w:rsid w:val="00AF2B54"/>
    <w:rsid w:val="00AF2D07"/>
    <w:rsid w:val="00AF2F75"/>
    <w:rsid w:val="00AF3230"/>
    <w:rsid w:val="00AF32A3"/>
    <w:rsid w:val="00AF3843"/>
    <w:rsid w:val="00AF3A55"/>
    <w:rsid w:val="00AF3D3D"/>
    <w:rsid w:val="00AF3DB1"/>
    <w:rsid w:val="00AF3E14"/>
    <w:rsid w:val="00AF3E17"/>
    <w:rsid w:val="00AF4127"/>
    <w:rsid w:val="00AF427E"/>
    <w:rsid w:val="00AF448E"/>
    <w:rsid w:val="00AF4571"/>
    <w:rsid w:val="00AF48DB"/>
    <w:rsid w:val="00AF4D23"/>
    <w:rsid w:val="00AF4F83"/>
    <w:rsid w:val="00AF5389"/>
    <w:rsid w:val="00AF5CC5"/>
    <w:rsid w:val="00AF5D73"/>
    <w:rsid w:val="00AF6381"/>
    <w:rsid w:val="00AF6D6C"/>
    <w:rsid w:val="00AF7059"/>
    <w:rsid w:val="00AF713A"/>
    <w:rsid w:val="00AF71B6"/>
    <w:rsid w:val="00AF7379"/>
    <w:rsid w:val="00AF73BA"/>
    <w:rsid w:val="00AF74BB"/>
    <w:rsid w:val="00AF75E0"/>
    <w:rsid w:val="00AF7B37"/>
    <w:rsid w:val="00AF7CFF"/>
    <w:rsid w:val="00AF7F5C"/>
    <w:rsid w:val="00B00639"/>
    <w:rsid w:val="00B006DC"/>
    <w:rsid w:val="00B0073D"/>
    <w:rsid w:val="00B00AA0"/>
    <w:rsid w:val="00B01138"/>
    <w:rsid w:val="00B01799"/>
    <w:rsid w:val="00B019A1"/>
    <w:rsid w:val="00B01A78"/>
    <w:rsid w:val="00B01B3C"/>
    <w:rsid w:val="00B02142"/>
    <w:rsid w:val="00B02699"/>
    <w:rsid w:val="00B029B5"/>
    <w:rsid w:val="00B029D4"/>
    <w:rsid w:val="00B02A35"/>
    <w:rsid w:val="00B02C9C"/>
    <w:rsid w:val="00B032CE"/>
    <w:rsid w:val="00B03713"/>
    <w:rsid w:val="00B03A11"/>
    <w:rsid w:val="00B03A22"/>
    <w:rsid w:val="00B03BFC"/>
    <w:rsid w:val="00B03C9C"/>
    <w:rsid w:val="00B03DF9"/>
    <w:rsid w:val="00B0400F"/>
    <w:rsid w:val="00B04103"/>
    <w:rsid w:val="00B0445C"/>
    <w:rsid w:val="00B04804"/>
    <w:rsid w:val="00B056C3"/>
    <w:rsid w:val="00B056DE"/>
    <w:rsid w:val="00B056DF"/>
    <w:rsid w:val="00B0571D"/>
    <w:rsid w:val="00B05A75"/>
    <w:rsid w:val="00B05BDC"/>
    <w:rsid w:val="00B05C61"/>
    <w:rsid w:val="00B05F31"/>
    <w:rsid w:val="00B05F83"/>
    <w:rsid w:val="00B063CF"/>
    <w:rsid w:val="00B06479"/>
    <w:rsid w:val="00B067BF"/>
    <w:rsid w:val="00B06FB9"/>
    <w:rsid w:val="00B06FDE"/>
    <w:rsid w:val="00B074BC"/>
    <w:rsid w:val="00B074E1"/>
    <w:rsid w:val="00B075F3"/>
    <w:rsid w:val="00B07A42"/>
    <w:rsid w:val="00B07EB9"/>
    <w:rsid w:val="00B10146"/>
    <w:rsid w:val="00B10206"/>
    <w:rsid w:val="00B102D7"/>
    <w:rsid w:val="00B10437"/>
    <w:rsid w:val="00B10918"/>
    <w:rsid w:val="00B1098F"/>
    <w:rsid w:val="00B10C1F"/>
    <w:rsid w:val="00B10CFA"/>
    <w:rsid w:val="00B11054"/>
    <w:rsid w:val="00B110E3"/>
    <w:rsid w:val="00B11243"/>
    <w:rsid w:val="00B112BC"/>
    <w:rsid w:val="00B1170F"/>
    <w:rsid w:val="00B1173A"/>
    <w:rsid w:val="00B11897"/>
    <w:rsid w:val="00B11E60"/>
    <w:rsid w:val="00B11F33"/>
    <w:rsid w:val="00B12424"/>
    <w:rsid w:val="00B12440"/>
    <w:rsid w:val="00B12684"/>
    <w:rsid w:val="00B126C1"/>
    <w:rsid w:val="00B128FA"/>
    <w:rsid w:val="00B12E08"/>
    <w:rsid w:val="00B12E4F"/>
    <w:rsid w:val="00B12F9D"/>
    <w:rsid w:val="00B131A6"/>
    <w:rsid w:val="00B1362D"/>
    <w:rsid w:val="00B13759"/>
    <w:rsid w:val="00B13B9C"/>
    <w:rsid w:val="00B13C63"/>
    <w:rsid w:val="00B13E97"/>
    <w:rsid w:val="00B14107"/>
    <w:rsid w:val="00B141A0"/>
    <w:rsid w:val="00B14531"/>
    <w:rsid w:val="00B14593"/>
    <w:rsid w:val="00B1484D"/>
    <w:rsid w:val="00B148B4"/>
    <w:rsid w:val="00B14954"/>
    <w:rsid w:val="00B14A0B"/>
    <w:rsid w:val="00B14B12"/>
    <w:rsid w:val="00B14CDC"/>
    <w:rsid w:val="00B14FCF"/>
    <w:rsid w:val="00B14FD8"/>
    <w:rsid w:val="00B1523B"/>
    <w:rsid w:val="00B152A1"/>
    <w:rsid w:val="00B153B2"/>
    <w:rsid w:val="00B15839"/>
    <w:rsid w:val="00B15D97"/>
    <w:rsid w:val="00B15FBF"/>
    <w:rsid w:val="00B16045"/>
    <w:rsid w:val="00B162C5"/>
    <w:rsid w:val="00B163BC"/>
    <w:rsid w:val="00B169EC"/>
    <w:rsid w:val="00B16AD2"/>
    <w:rsid w:val="00B16B02"/>
    <w:rsid w:val="00B16B06"/>
    <w:rsid w:val="00B16E4F"/>
    <w:rsid w:val="00B17009"/>
    <w:rsid w:val="00B17095"/>
    <w:rsid w:val="00B172CE"/>
    <w:rsid w:val="00B17579"/>
    <w:rsid w:val="00B1758F"/>
    <w:rsid w:val="00B17851"/>
    <w:rsid w:val="00B20013"/>
    <w:rsid w:val="00B203B6"/>
    <w:rsid w:val="00B20444"/>
    <w:rsid w:val="00B207AB"/>
    <w:rsid w:val="00B2091F"/>
    <w:rsid w:val="00B20DEE"/>
    <w:rsid w:val="00B20EDA"/>
    <w:rsid w:val="00B210F4"/>
    <w:rsid w:val="00B21198"/>
    <w:rsid w:val="00B21421"/>
    <w:rsid w:val="00B215CC"/>
    <w:rsid w:val="00B21C7C"/>
    <w:rsid w:val="00B21EC8"/>
    <w:rsid w:val="00B21FF4"/>
    <w:rsid w:val="00B22047"/>
    <w:rsid w:val="00B22DDC"/>
    <w:rsid w:val="00B232CF"/>
    <w:rsid w:val="00B23346"/>
    <w:rsid w:val="00B233DF"/>
    <w:rsid w:val="00B236B8"/>
    <w:rsid w:val="00B23725"/>
    <w:rsid w:val="00B23B33"/>
    <w:rsid w:val="00B23DAB"/>
    <w:rsid w:val="00B23F8C"/>
    <w:rsid w:val="00B23FD9"/>
    <w:rsid w:val="00B24283"/>
    <w:rsid w:val="00B24289"/>
    <w:rsid w:val="00B243DC"/>
    <w:rsid w:val="00B24854"/>
    <w:rsid w:val="00B24C71"/>
    <w:rsid w:val="00B25057"/>
    <w:rsid w:val="00B25127"/>
    <w:rsid w:val="00B251F0"/>
    <w:rsid w:val="00B251F9"/>
    <w:rsid w:val="00B25224"/>
    <w:rsid w:val="00B252A0"/>
    <w:rsid w:val="00B2543C"/>
    <w:rsid w:val="00B255FD"/>
    <w:rsid w:val="00B25B15"/>
    <w:rsid w:val="00B25F4F"/>
    <w:rsid w:val="00B25F9D"/>
    <w:rsid w:val="00B2602E"/>
    <w:rsid w:val="00B2616A"/>
    <w:rsid w:val="00B261F3"/>
    <w:rsid w:val="00B26248"/>
    <w:rsid w:val="00B26739"/>
    <w:rsid w:val="00B267E4"/>
    <w:rsid w:val="00B2688E"/>
    <w:rsid w:val="00B26C64"/>
    <w:rsid w:val="00B2719D"/>
    <w:rsid w:val="00B272B6"/>
    <w:rsid w:val="00B272D7"/>
    <w:rsid w:val="00B2778C"/>
    <w:rsid w:val="00B278A8"/>
    <w:rsid w:val="00B278B4"/>
    <w:rsid w:val="00B279CF"/>
    <w:rsid w:val="00B27D78"/>
    <w:rsid w:val="00B27E0C"/>
    <w:rsid w:val="00B27E95"/>
    <w:rsid w:val="00B27FA3"/>
    <w:rsid w:val="00B30013"/>
    <w:rsid w:val="00B301A8"/>
    <w:rsid w:val="00B30290"/>
    <w:rsid w:val="00B3089A"/>
    <w:rsid w:val="00B309A0"/>
    <w:rsid w:val="00B30AFD"/>
    <w:rsid w:val="00B30FEA"/>
    <w:rsid w:val="00B311EA"/>
    <w:rsid w:val="00B31389"/>
    <w:rsid w:val="00B3158F"/>
    <w:rsid w:val="00B31877"/>
    <w:rsid w:val="00B31B01"/>
    <w:rsid w:val="00B31BEC"/>
    <w:rsid w:val="00B31CE0"/>
    <w:rsid w:val="00B32076"/>
    <w:rsid w:val="00B3289C"/>
    <w:rsid w:val="00B32D53"/>
    <w:rsid w:val="00B32E27"/>
    <w:rsid w:val="00B330A5"/>
    <w:rsid w:val="00B336C6"/>
    <w:rsid w:val="00B33A66"/>
    <w:rsid w:val="00B33AFC"/>
    <w:rsid w:val="00B33B8F"/>
    <w:rsid w:val="00B33F9B"/>
    <w:rsid w:val="00B345D2"/>
    <w:rsid w:val="00B347C0"/>
    <w:rsid w:val="00B3484F"/>
    <w:rsid w:val="00B348D3"/>
    <w:rsid w:val="00B349FF"/>
    <w:rsid w:val="00B34F9A"/>
    <w:rsid w:val="00B35098"/>
    <w:rsid w:val="00B358EF"/>
    <w:rsid w:val="00B35E2F"/>
    <w:rsid w:val="00B36055"/>
    <w:rsid w:val="00B3652D"/>
    <w:rsid w:val="00B36705"/>
    <w:rsid w:val="00B36EBC"/>
    <w:rsid w:val="00B371D4"/>
    <w:rsid w:val="00B37475"/>
    <w:rsid w:val="00B37518"/>
    <w:rsid w:val="00B3751E"/>
    <w:rsid w:val="00B37569"/>
    <w:rsid w:val="00B37650"/>
    <w:rsid w:val="00B37849"/>
    <w:rsid w:val="00B378A0"/>
    <w:rsid w:val="00B37BCD"/>
    <w:rsid w:val="00B37BEA"/>
    <w:rsid w:val="00B40215"/>
    <w:rsid w:val="00B40294"/>
    <w:rsid w:val="00B403BB"/>
    <w:rsid w:val="00B405D7"/>
    <w:rsid w:val="00B406DB"/>
    <w:rsid w:val="00B4075D"/>
    <w:rsid w:val="00B407FE"/>
    <w:rsid w:val="00B410E5"/>
    <w:rsid w:val="00B410FE"/>
    <w:rsid w:val="00B41197"/>
    <w:rsid w:val="00B411A7"/>
    <w:rsid w:val="00B41380"/>
    <w:rsid w:val="00B41691"/>
    <w:rsid w:val="00B416C5"/>
    <w:rsid w:val="00B41788"/>
    <w:rsid w:val="00B417A6"/>
    <w:rsid w:val="00B41C95"/>
    <w:rsid w:val="00B41C9D"/>
    <w:rsid w:val="00B41F08"/>
    <w:rsid w:val="00B421F6"/>
    <w:rsid w:val="00B42202"/>
    <w:rsid w:val="00B42603"/>
    <w:rsid w:val="00B42B00"/>
    <w:rsid w:val="00B42B4E"/>
    <w:rsid w:val="00B42F7A"/>
    <w:rsid w:val="00B437B5"/>
    <w:rsid w:val="00B43908"/>
    <w:rsid w:val="00B43B1D"/>
    <w:rsid w:val="00B44003"/>
    <w:rsid w:val="00B44046"/>
    <w:rsid w:val="00B44158"/>
    <w:rsid w:val="00B441DE"/>
    <w:rsid w:val="00B445FB"/>
    <w:rsid w:val="00B446A9"/>
    <w:rsid w:val="00B447B3"/>
    <w:rsid w:val="00B44C6E"/>
    <w:rsid w:val="00B44E6A"/>
    <w:rsid w:val="00B452F4"/>
    <w:rsid w:val="00B4563C"/>
    <w:rsid w:val="00B45720"/>
    <w:rsid w:val="00B45846"/>
    <w:rsid w:val="00B458AC"/>
    <w:rsid w:val="00B45C0B"/>
    <w:rsid w:val="00B460CA"/>
    <w:rsid w:val="00B468E7"/>
    <w:rsid w:val="00B46B04"/>
    <w:rsid w:val="00B46C0B"/>
    <w:rsid w:val="00B46CD3"/>
    <w:rsid w:val="00B46E9F"/>
    <w:rsid w:val="00B470D3"/>
    <w:rsid w:val="00B4737B"/>
    <w:rsid w:val="00B473F8"/>
    <w:rsid w:val="00B47AC6"/>
    <w:rsid w:val="00B47B35"/>
    <w:rsid w:val="00B47DE1"/>
    <w:rsid w:val="00B47EAC"/>
    <w:rsid w:val="00B50019"/>
    <w:rsid w:val="00B5008A"/>
    <w:rsid w:val="00B5058F"/>
    <w:rsid w:val="00B50614"/>
    <w:rsid w:val="00B50626"/>
    <w:rsid w:val="00B50F89"/>
    <w:rsid w:val="00B51059"/>
    <w:rsid w:val="00B5140D"/>
    <w:rsid w:val="00B516A7"/>
    <w:rsid w:val="00B517A2"/>
    <w:rsid w:val="00B51AB9"/>
    <w:rsid w:val="00B51B1A"/>
    <w:rsid w:val="00B51D26"/>
    <w:rsid w:val="00B520F6"/>
    <w:rsid w:val="00B52104"/>
    <w:rsid w:val="00B52280"/>
    <w:rsid w:val="00B5237F"/>
    <w:rsid w:val="00B523F3"/>
    <w:rsid w:val="00B52657"/>
    <w:rsid w:val="00B52A54"/>
    <w:rsid w:val="00B52ABA"/>
    <w:rsid w:val="00B53116"/>
    <w:rsid w:val="00B532C2"/>
    <w:rsid w:val="00B5344B"/>
    <w:rsid w:val="00B534B3"/>
    <w:rsid w:val="00B53D21"/>
    <w:rsid w:val="00B53D8C"/>
    <w:rsid w:val="00B53DE5"/>
    <w:rsid w:val="00B54126"/>
    <w:rsid w:val="00B54134"/>
    <w:rsid w:val="00B54164"/>
    <w:rsid w:val="00B54425"/>
    <w:rsid w:val="00B54439"/>
    <w:rsid w:val="00B548C8"/>
    <w:rsid w:val="00B549F8"/>
    <w:rsid w:val="00B54AFA"/>
    <w:rsid w:val="00B54BF4"/>
    <w:rsid w:val="00B54E19"/>
    <w:rsid w:val="00B54EE4"/>
    <w:rsid w:val="00B5523E"/>
    <w:rsid w:val="00B55278"/>
    <w:rsid w:val="00B55DF9"/>
    <w:rsid w:val="00B56238"/>
    <w:rsid w:val="00B5626B"/>
    <w:rsid w:val="00B56737"/>
    <w:rsid w:val="00B56BEC"/>
    <w:rsid w:val="00B56DFF"/>
    <w:rsid w:val="00B5706B"/>
    <w:rsid w:val="00B57139"/>
    <w:rsid w:val="00B57569"/>
    <w:rsid w:val="00B575CF"/>
    <w:rsid w:val="00B57753"/>
    <w:rsid w:val="00B57796"/>
    <w:rsid w:val="00B57B7F"/>
    <w:rsid w:val="00B57BAB"/>
    <w:rsid w:val="00B57C58"/>
    <w:rsid w:val="00B57CCD"/>
    <w:rsid w:val="00B57D91"/>
    <w:rsid w:val="00B604AB"/>
    <w:rsid w:val="00B606C7"/>
    <w:rsid w:val="00B60767"/>
    <w:rsid w:val="00B61445"/>
    <w:rsid w:val="00B614AE"/>
    <w:rsid w:val="00B61741"/>
    <w:rsid w:val="00B617B8"/>
    <w:rsid w:val="00B61863"/>
    <w:rsid w:val="00B61A6A"/>
    <w:rsid w:val="00B62223"/>
    <w:rsid w:val="00B62293"/>
    <w:rsid w:val="00B62699"/>
    <w:rsid w:val="00B6292E"/>
    <w:rsid w:val="00B62BCA"/>
    <w:rsid w:val="00B62C36"/>
    <w:rsid w:val="00B62F1B"/>
    <w:rsid w:val="00B62FFA"/>
    <w:rsid w:val="00B63114"/>
    <w:rsid w:val="00B63187"/>
    <w:rsid w:val="00B636C7"/>
    <w:rsid w:val="00B6384B"/>
    <w:rsid w:val="00B63B02"/>
    <w:rsid w:val="00B63BAD"/>
    <w:rsid w:val="00B63BE1"/>
    <w:rsid w:val="00B63C74"/>
    <w:rsid w:val="00B63E23"/>
    <w:rsid w:val="00B64245"/>
    <w:rsid w:val="00B64389"/>
    <w:rsid w:val="00B643CC"/>
    <w:rsid w:val="00B64E60"/>
    <w:rsid w:val="00B64F0A"/>
    <w:rsid w:val="00B65053"/>
    <w:rsid w:val="00B65094"/>
    <w:rsid w:val="00B651A2"/>
    <w:rsid w:val="00B6543A"/>
    <w:rsid w:val="00B6553C"/>
    <w:rsid w:val="00B65657"/>
    <w:rsid w:val="00B6585E"/>
    <w:rsid w:val="00B658AC"/>
    <w:rsid w:val="00B659B0"/>
    <w:rsid w:val="00B65ED2"/>
    <w:rsid w:val="00B66210"/>
    <w:rsid w:val="00B66296"/>
    <w:rsid w:val="00B6629F"/>
    <w:rsid w:val="00B66471"/>
    <w:rsid w:val="00B66637"/>
    <w:rsid w:val="00B669F8"/>
    <w:rsid w:val="00B66A4A"/>
    <w:rsid w:val="00B66F9F"/>
    <w:rsid w:val="00B672A5"/>
    <w:rsid w:val="00B672DB"/>
    <w:rsid w:val="00B67328"/>
    <w:rsid w:val="00B67364"/>
    <w:rsid w:val="00B6739B"/>
    <w:rsid w:val="00B6784C"/>
    <w:rsid w:val="00B67F14"/>
    <w:rsid w:val="00B7048C"/>
    <w:rsid w:val="00B70633"/>
    <w:rsid w:val="00B70696"/>
    <w:rsid w:val="00B7074E"/>
    <w:rsid w:val="00B7085A"/>
    <w:rsid w:val="00B70A2D"/>
    <w:rsid w:val="00B70EC5"/>
    <w:rsid w:val="00B70F0B"/>
    <w:rsid w:val="00B713B3"/>
    <w:rsid w:val="00B7176D"/>
    <w:rsid w:val="00B7186D"/>
    <w:rsid w:val="00B718FA"/>
    <w:rsid w:val="00B719CE"/>
    <w:rsid w:val="00B71DB9"/>
    <w:rsid w:val="00B7208D"/>
    <w:rsid w:val="00B72114"/>
    <w:rsid w:val="00B72451"/>
    <w:rsid w:val="00B72AE2"/>
    <w:rsid w:val="00B72E26"/>
    <w:rsid w:val="00B72EDF"/>
    <w:rsid w:val="00B731BA"/>
    <w:rsid w:val="00B7357F"/>
    <w:rsid w:val="00B73BE3"/>
    <w:rsid w:val="00B74163"/>
    <w:rsid w:val="00B743D1"/>
    <w:rsid w:val="00B74401"/>
    <w:rsid w:val="00B74492"/>
    <w:rsid w:val="00B746A5"/>
    <w:rsid w:val="00B74789"/>
    <w:rsid w:val="00B74998"/>
    <w:rsid w:val="00B749B3"/>
    <w:rsid w:val="00B749FB"/>
    <w:rsid w:val="00B75CCE"/>
    <w:rsid w:val="00B75DFE"/>
    <w:rsid w:val="00B75E5C"/>
    <w:rsid w:val="00B75E6F"/>
    <w:rsid w:val="00B760A9"/>
    <w:rsid w:val="00B76737"/>
    <w:rsid w:val="00B767C8"/>
    <w:rsid w:val="00B767F6"/>
    <w:rsid w:val="00B769C6"/>
    <w:rsid w:val="00B769DF"/>
    <w:rsid w:val="00B76A15"/>
    <w:rsid w:val="00B76AB2"/>
    <w:rsid w:val="00B76EA2"/>
    <w:rsid w:val="00B771EC"/>
    <w:rsid w:val="00B77220"/>
    <w:rsid w:val="00B77225"/>
    <w:rsid w:val="00B77664"/>
    <w:rsid w:val="00B777CD"/>
    <w:rsid w:val="00B777E6"/>
    <w:rsid w:val="00B778FD"/>
    <w:rsid w:val="00B77BD4"/>
    <w:rsid w:val="00B80023"/>
    <w:rsid w:val="00B802B4"/>
    <w:rsid w:val="00B80398"/>
    <w:rsid w:val="00B805B6"/>
    <w:rsid w:val="00B8062A"/>
    <w:rsid w:val="00B8064A"/>
    <w:rsid w:val="00B8064D"/>
    <w:rsid w:val="00B80745"/>
    <w:rsid w:val="00B80D4B"/>
    <w:rsid w:val="00B80DA2"/>
    <w:rsid w:val="00B81632"/>
    <w:rsid w:val="00B817A6"/>
    <w:rsid w:val="00B81940"/>
    <w:rsid w:val="00B819A3"/>
    <w:rsid w:val="00B81B96"/>
    <w:rsid w:val="00B81C3C"/>
    <w:rsid w:val="00B81D93"/>
    <w:rsid w:val="00B81FEC"/>
    <w:rsid w:val="00B8204D"/>
    <w:rsid w:val="00B82394"/>
    <w:rsid w:val="00B825DB"/>
    <w:rsid w:val="00B82C2B"/>
    <w:rsid w:val="00B82CBD"/>
    <w:rsid w:val="00B82DD3"/>
    <w:rsid w:val="00B82F15"/>
    <w:rsid w:val="00B8335D"/>
    <w:rsid w:val="00B83508"/>
    <w:rsid w:val="00B836BB"/>
    <w:rsid w:val="00B83811"/>
    <w:rsid w:val="00B8385B"/>
    <w:rsid w:val="00B83B9A"/>
    <w:rsid w:val="00B83D3C"/>
    <w:rsid w:val="00B83E80"/>
    <w:rsid w:val="00B84206"/>
    <w:rsid w:val="00B8436D"/>
    <w:rsid w:val="00B84469"/>
    <w:rsid w:val="00B84ADE"/>
    <w:rsid w:val="00B84BD9"/>
    <w:rsid w:val="00B84CC7"/>
    <w:rsid w:val="00B84E53"/>
    <w:rsid w:val="00B84E93"/>
    <w:rsid w:val="00B84F46"/>
    <w:rsid w:val="00B84FA0"/>
    <w:rsid w:val="00B84FC7"/>
    <w:rsid w:val="00B85017"/>
    <w:rsid w:val="00B85483"/>
    <w:rsid w:val="00B8568B"/>
    <w:rsid w:val="00B85977"/>
    <w:rsid w:val="00B85A0E"/>
    <w:rsid w:val="00B85B49"/>
    <w:rsid w:val="00B85C78"/>
    <w:rsid w:val="00B85D2C"/>
    <w:rsid w:val="00B85D5B"/>
    <w:rsid w:val="00B85F0D"/>
    <w:rsid w:val="00B86074"/>
    <w:rsid w:val="00B86129"/>
    <w:rsid w:val="00B861B9"/>
    <w:rsid w:val="00B864AC"/>
    <w:rsid w:val="00B86821"/>
    <w:rsid w:val="00B86A5C"/>
    <w:rsid w:val="00B86A85"/>
    <w:rsid w:val="00B86EB2"/>
    <w:rsid w:val="00B86F0C"/>
    <w:rsid w:val="00B87471"/>
    <w:rsid w:val="00B875DA"/>
    <w:rsid w:val="00B8762A"/>
    <w:rsid w:val="00B8773E"/>
    <w:rsid w:val="00B9023D"/>
    <w:rsid w:val="00B905F4"/>
    <w:rsid w:val="00B909E0"/>
    <w:rsid w:val="00B90A91"/>
    <w:rsid w:val="00B90CFF"/>
    <w:rsid w:val="00B90EA8"/>
    <w:rsid w:val="00B90F20"/>
    <w:rsid w:val="00B90F89"/>
    <w:rsid w:val="00B91270"/>
    <w:rsid w:val="00B914A6"/>
    <w:rsid w:val="00B918E4"/>
    <w:rsid w:val="00B919F8"/>
    <w:rsid w:val="00B91A05"/>
    <w:rsid w:val="00B91C5D"/>
    <w:rsid w:val="00B920F9"/>
    <w:rsid w:val="00B922EE"/>
    <w:rsid w:val="00B92313"/>
    <w:rsid w:val="00B9240D"/>
    <w:rsid w:val="00B92548"/>
    <w:rsid w:val="00B9270D"/>
    <w:rsid w:val="00B9276E"/>
    <w:rsid w:val="00B9277C"/>
    <w:rsid w:val="00B92AC5"/>
    <w:rsid w:val="00B92F2A"/>
    <w:rsid w:val="00B930B5"/>
    <w:rsid w:val="00B935C8"/>
    <w:rsid w:val="00B935FB"/>
    <w:rsid w:val="00B937CB"/>
    <w:rsid w:val="00B93CA5"/>
    <w:rsid w:val="00B93DE5"/>
    <w:rsid w:val="00B93F48"/>
    <w:rsid w:val="00B94097"/>
    <w:rsid w:val="00B94757"/>
    <w:rsid w:val="00B9482B"/>
    <w:rsid w:val="00B94A59"/>
    <w:rsid w:val="00B951EE"/>
    <w:rsid w:val="00B95443"/>
    <w:rsid w:val="00B956CB"/>
    <w:rsid w:val="00B95892"/>
    <w:rsid w:val="00B959A7"/>
    <w:rsid w:val="00B95F22"/>
    <w:rsid w:val="00B961A7"/>
    <w:rsid w:val="00B965B4"/>
    <w:rsid w:val="00B967AA"/>
    <w:rsid w:val="00B96BD3"/>
    <w:rsid w:val="00B96DA6"/>
    <w:rsid w:val="00B97057"/>
    <w:rsid w:val="00B97066"/>
    <w:rsid w:val="00B9727E"/>
    <w:rsid w:val="00B97432"/>
    <w:rsid w:val="00B97456"/>
    <w:rsid w:val="00B974C0"/>
    <w:rsid w:val="00B979F6"/>
    <w:rsid w:val="00B97CB7"/>
    <w:rsid w:val="00BA0219"/>
    <w:rsid w:val="00BA0228"/>
    <w:rsid w:val="00BA0873"/>
    <w:rsid w:val="00BA0888"/>
    <w:rsid w:val="00BA0A82"/>
    <w:rsid w:val="00BA0AD7"/>
    <w:rsid w:val="00BA0AFE"/>
    <w:rsid w:val="00BA0B62"/>
    <w:rsid w:val="00BA0C98"/>
    <w:rsid w:val="00BA0FB4"/>
    <w:rsid w:val="00BA1045"/>
    <w:rsid w:val="00BA1245"/>
    <w:rsid w:val="00BA154B"/>
    <w:rsid w:val="00BA1649"/>
    <w:rsid w:val="00BA1984"/>
    <w:rsid w:val="00BA19BE"/>
    <w:rsid w:val="00BA1FB8"/>
    <w:rsid w:val="00BA2637"/>
    <w:rsid w:val="00BA264C"/>
    <w:rsid w:val="00BA26EC"/>
    <w:rsid w:val="00BA2B3A"/>
    <w:rsid w:val="00BA2C83"/>
    <w:rsid w:val="00BA2E1E"/>
    <w:rsid w:val="00BA3096"/>
    <w:rsid w:val="00BA3684"/>
    <w:rsid w:val="00BA380E"/>
    <w:rsid w:val="00BA39D3"/>
    <w:rsid w:val="00BA3ACC"/>
    <w:rsid w:val="00BA45E8"/>
    <w:rsid w:val="00BA47D0"/>
    <w:rsid w:val="00BA4883"/>
    <w:rsid w:val="00BA488D"/>
    <w:rsid w:val="00BA49AE"/>
    <w:rsid w:val="00BA4AD6"/>
    <w:rsid w:val="00BA4F59"/>
    <w:rsid w:val="00BA500C"/>
    <w:rsid w:val="00BA52C6"/>
    <w:rsid w:val="00BA5428"/>
    <w:rsid w:val="00BA5493"/>
    <w:rsid w:val="00BA54CA"/>
    <w:rsid w:val="00BA5606"/>
    <w:rsid w:val="00BA5A7E"/>
    <w:rsid w:val="00BA61BF"/>
    <w:rsid w:val="00BA621B"/>
    <w:rsid w:val="00BA665C"/>
    <w:rsid w:val="00BA677B"/>
    <w:rsid w:val="00BA679F"/>
    <w:rsid w:val="00BA699A"/>
    <w:rsid w:val="00BA6DDE"/>
    <w:rsid w:val="00BA70CC"/>
    <w:rsid w:val="00BA73BA"/>
    <w:rsid w:val="00BA7492"/>
    <w:rsid w:val="00BA760D"/>
    <w:rsid w:val="00BA7884"/>
    <w:rsid w:val="00BA7889"/>
    <w:rsid w:val="00BA7BBD"/>
    <w:rsid w:val="00BA7BC1"/>
    <w:rsid w:val="00BA7E18"/>
    <w:rsid w:val="00BA7E3B"/>
    <w:rsid w:val="00BA7E76"/>
    <w:rsid w:val="00BB011D"/>
    <w:rsid w:val="00BB05B1"/>
    <w:rsid w:val="00BB0602"/>
    <w:rsid w:val="00BB0AAB"/>
    <w:rsid w:val="00BB0BB4"/>
    <w:rsid w:val="00BB0D87"/>
    <w:rsid w:val="00BB0E75"/>
    <w:rsid w:val="00BB11A4"/>
    <w:rsid w:val="00BB14B8"/>
    <w:rsid w:val="00BB14D2"/>
    <w:rsid w:val="00BB1580"/>
    <w:rsid w:val="00BB1817"/>
    <w:rsid w:val="00BB1CFE"/>
    <w:rsid w:val="00BB2319"/>
    <w:rsid w:val="00BB2366"/>
    <w:rsid w:val="00BB24BE"/>
    <w:rsid w:val="00BB2831"/>
    <w:rsid w:val="00BB2D97"/>
    <w:rsid w:val="00BB2F80"/>
    <w:rsid w:val="00BB30F9"/>
    <w:rsid w:val="00BB3781"/>
    <w:rsid w:val="00BB3946"/>
    <w:rsid w:val="00BB3E2A"/>
    <w:rsid w:val="00BB400E"/>
    <w:rsid w:val="00BB4265"/>
    <w:rsid w:val="00BB46E8"/>
    <w:rsid w:val="00BB4798"/>
    <w:rsid w:val="00BB4B18"/>
    <w:rsid w:val="00BB4D21"/>
    <w:rsid w:val="00BB4D26"/>
    <w:rsid w:val="00BB4D2F"/>
    <w:rsid w:val="00BB5562"/>
    <w:rsid w:val="00BB5566"/>
    <w:rsid w:val="00BB5629"/>
    <w:rsid w:val="00BB58EB"/>
    <w:rsid w:val="00BB59F6"/>
    <w:rsid w:val="00BB5BF2"/>
    <w:rsid w:val="00BB5CD1"/>
    <w:rsid w:val="00BB5E84"/>
    <w:rsid w:val="00BB6313"/>
    <w:rsid w:val="00BB6463"/>
    <w:rsid w:val="00BB64A6"/>
    <w:rsid w:val="00BB671A"/>
    <w:rsid w:val="00BB673E"/>
    <w:rsid w:val="00BB67E2"/>
    <w:rsid w:val="00BB69E3"/>
    <w:rsid w:val="00BB6C20"/>
    <w:rsid w:val="00BB6E05"/>
    <w:rsid w:val="00BB6EF8"/>
    <w:rsid w:val="00BB7145"/>
    <w:rsid w:val="00BB7249"/>
    <w:rsid w:val="00BB7927"/>
    <w:rsid w:val="00BB7BFC"/>
    <w:rsid w:val="00BB7DD7"/>
    <w:rsid w:val="00BC0295"/>
    <w:rsid w:val="00BC029C"/>
    <w:rsid w:val="00BC03F8"/>
    <w:rsid w:val="00BC06D5"/>
    <w:rsid w:val="00BC08C1"/>
    <w:rsid w:val="00BC09EC"/>
    <w:rsid w:val="00BC0A8C"/>
    <w:rsid w:val="00BC0E8F"/>
    <w:rsid w:val="00BC0FC0"/>
    <w:rsid w:val="00BC10E9"/>
    <w:rsid w:val="00BC125D"/>
    <w:rsid w:val="00BC1298"/>
    <w:rsid w:val="00BC155F"/>
    <w:rsid w:val="00BC181B"/>
    <w:rsid w:val="00BC1FDC"/>
    <w:rsid w:val="00BC2077"/>
    <w:rsid w:val="00BC25F4"/>
    <w:rsid w:val="00BC26E5"/>
    <w:rsid w:val="00BC2AB4"/>
    <w:rsid w:val="00BC377C"/>
    <w:rsid w:val="00BC37A2"/>
    <w:rsid w:val="00BC39CA"/>
    <w:rsid w:val="00BC3C20"/>
    <w:rsid w:val="00BC3DB9"/>
    <w:rsid w:val="00BC3E8A"/>
    <w:rsid w:val="00BC3F40"/>
    <w:rsid w:val="00BC4206"/>
    <w:rsid w:val="00BC4383"/>
    <w:rsid w:val="00BC47DC"/>
    <w:rsid w:val="00BC48DB"/>
    <w:rsid w:val="00BC4976"/>
    <w:rsid w:val="00BC4E4E"/>
    <w:rsid w:val="00BC4F7A"/>
    <w:rsid w:val="00BC4FAF"/>
    <w:rsid w:val="00BC51E7"/>
    <w:rsid w:val="00BC58FC"/>
    <w:rsid w:val="00BC5A88"/>
    <w:rsid w:val="00BC64FE"/>
    <w:rsid w:val="00BC6606"/>
    <w:rsid w:val="00BC6852"/>
    <w:rsid w:val="00BC6D91"/>
    <w:rsid w:val="00BC6FE8"/>
    <w:rsid w:val="00BC73E1"/>
    <w:rsid w:val="00BC7684"/>
    <w:rsid w:val="00BC7C75"/>
    <w:rsid w:val="00BC7DB0"/>
    <w:rsid w:val="00BD0177"/>
    <w:rsid w:val="00BD02E4"/>
    <w:rsid w:val="00BD0608"/>
    <w:rsid w:val="00BD0853"/>
    <w:rsid w:val="00BD08AC"/>
    <w:rsid w:val="00BD091C"/>
    <w:rsid w:val="00BD0ACF"/>
    <w:rsid w:val="00BD125F"/>
    <w:rsid w:val="00BD174E"/>
    <w:rsid w:val="00BD1CE0"/>
    <w:rsid w:val="00BD1D45"/>
    <w:rsid w:val="00BD1D47"/>
    <w:rsid w:val="00BD1D5D"/>
    <w:rsid w:val="00BD1DD2"/>
    <w:rsid w:val="00BD21CE"/>
    <w:rsid w:val="00BD2254"/>
    <w:rsid w:val="00BD2339"/>
    <w:rsid w:val="00BD24C3"/>
    <w:rsid w:val="00BD251A"/>
    <w:rsid w:val="00BD26C1"/>
    <w:rsid w:val="00BD29AF"/>
    <w:rsid w:val="00BD29FF"/>
    <w:rsid w:val="00BD2AF5"/>
    <w:rsid w:val="00BD2DDD"/>
    <w:rsid w:val="00BD2ED3"/>
    <w:rsid w:val="00BD3257"/>
    <w:rsid w:val="00BD34AF"/>
    <w:rsid w:val="00BD3681"/>
    <w:rsid w:val="00BD37C5"/>
    <w:rsid w:val="00BD3867"/>
    <w:rsid w:val="00BD3928"/>
    <w:rsid w:val="00BD39D4"/>
    <w:rsid w:val="00BD3A6B"/>
    <w:rsid w:val="00BD3AB5"/>
    <w:rsid w:val="00BD3BEA"/>
    <w:rsid w:val="00BD3D3D"/>
    <w:rsid w:val="00BD4127"/>
    <w:rsid w:val="00BD4196"/>
    <w:rsid w:val="00BD4D9F"/>
    <w:rsid w:val="00BD4E81"/>
    <w:rsid w:val="00BD4FBD"/>
    <w:rsid w:val="00BD55A2"/>
    <w:rsid w:val="00BD56E1"/>
    <w:rsid w:val="00BD5A5A"/>
    <w:rsid w:val="00BD5BF6"/>
    <w:rsid w:val="00BD5D52"/>
    <w:rsid w:val="00BD654F"/>
    <w:rsid w:val="00BD6579"/>
    <w:rsid w:val="00BD6F9C"/>
    <w:rsid w:val="00BD700C"/>
    <w:rsid w:val="00BD713F"/>
    <w:rsid w:val="00BD71A8"/>
    <w:rsid w:val="00BD72D1"/>
    <w:rsid w:val="00BD775D"/>
    <w:rsid w:val="00BD784E"/>
    <w:rsid w:val="00BD78BE"/>
    <w:rsid w:val="00BD7BFA"/>
    <w:rsid w:val="00BE0170"/>
    <w:rsid w:val="00BE020D"/>
    <w:rsid w:val="00BE02CF"/>
    <w:rsid w:val="00BE03E3"/>
    <w:rsid w:val="00BE096A"/>
    <w:rsid w:val="00BE0BE2"/>
    <w:rsid w:val="00BE0C66"/>
    <w:rsid w:val="00BE0CF5"/>
    <w:rsid w:val="00BE0E7B"/>
    <w:rsid w:val="00BE1467"/>
    <w:rsid w:val="00BE16EA"/>
    <w:rsid w:val="00BE179A"/>
    <w:rsid w:val="00BE19F6"/>
    <w:rsid w:val="00BE1A3C"/>
    <w:rsid w:val="00BE1D1B"/>
    <w:rsid w:val="00BE1E43"/>
    <w:rsid w:val="00BE215A"/>
    <w:rsid w:val="00BE215B"/>
    <w:rsid w:val="00BE25EF"/>
    <w:rsid w:val="00BE2684"/>
    <w:rsid w:val="00BE28AB"/>
    <w:rsid w:val="00BE2973"/>
    <w:rsid w:val="00BE2AA9"/>
    <w:rsid w:val="00BE2C9A"/>
    <w:rsid w:val="00BE2D4C"/>
    <w:rsid w:val="00BE2D9D"/>
    <w:rsid w:val="00BE2EC3"/>
    <w:rsid w:val="00BE3135"/>
    <w:rsid w:val="00BE317C"/>
    <w:rsid w:val="00BE31B1"/>
    <w:rsid w:val="00BE322E"/>
    <w:rsid w:val="00BE3277"/>
    <w:rsid w:val="00BE33F0"/>
    <w:rsid w:val="00BE39D8"/>
    <w:rsid w:val="00BE3A1F"/>
    <w:rsid w:val="00BE41AA"/>
    <w:rsid w:val="00BE4337"/>
    <w:rsid w:val="00BE43BB"/>
    <w:rsid w:val="00BE4559"/>
    <w:rsid w:val="00BE49EE"/>
    <w:rsid w:val="00BE4F0E"/>
    <w:rsid w:val="00BE4F26"/>
    <w:rsid w:val="00BE50A0"/>
    <w:rsid w:val="00BE50CE"/>
    <w:rsid w:val="00BE51A7"/>
    <w:rsid w:val="00BE5546"/>
    <w:rsid w:val="00BE5605"/>
    <w:rsid w:val="00BE573A"/>
    <w:rsid w:val="00BE58B5"/>
    <w:rsid w:val="00BE5CA6"/>
    <w:rsid w:val="00BE65AC"/>
    <w:rsid w:val="00BE66FE"/>
    <w:rsid w:val="00BE6A1E"/>
    <w:rsid w:val="00BE6FAA"/>
    <w:rsid w:val="00BE723B"/>
    <w:rsid w:val="00BE792B"/>
    <w:rsid w:val="00BE7D13"/>
    <w:rsid w:val="00BE7D7C"/>
    <w:rsid w:val="00BE7F0B"/>
    <w:rsid w:val="00BF021D"/>
    <w:rsid w:val="00BF0324"/>
    <w:rsid w:val="00BF03AF"/>
    <w:rsid w:val="00BF04DC"/>
    <w:rsid w:val="00BF073D"/>
    <w:rsid w:val="00BF0ABF"/>
    <w:rsid w:val="00BF0BD0"/>
    <w:rsid w:val="00BF0C2D"/>
    <w:rsid w:val="00BF0EE9"/>
    <w:rsid w:val="00BF0F1C"/>
    <w:rsid w:val="00BF10F2"/>
    <w:rsid w:val="00BF11B0"/>
    <w:rsid w:val="00BF123C"/>
    <w:rsid w:val="00BF1573"/>
    <w:rsid w:val="00BF15BE"/>
    <w:rsid w:val="00BF16F6"/>
    <w:rsid w:val="00BF1AE9"/>
    <w:rsid w:val="00BF1DB6"/>
    <w:rsid w:val="00BF1FC1"/>
    <w:rsid w:val="00BF228A"/>
    <w:rsid w:val="00BF26FA"/>
    <w:rsid w:val="00BF325E"/>
    <w:rsid w:val="00BF3638"/>
    <w:rsid w:val="00BF3810"/>
    <w:rsid w:val="00BF3855"/>
    <w:rsid w:val="00BF3B89"/>
    <w:rsid w:val="00BF3C79"/>
    <w:rsid w:val="00BF3DF3"/>
    <w:rsid w:val="00BF4131"/>
    <w:rsid w:val="00BF4318"/>
    <w:rsid w:val="00BF464D"/>
    <w:rsid w:val="00BF4748"/>
    <w:rsid w:val="00BF49FB"/>
    <w:rsid w:val="00BF4B74"/>
    <w:rsid w:val="00BF4E02"/>
    <w:rsid w:val="00BF5300"/>
    <w:rsid w:val="00BF5387"/>
    <w:rsid w:val="00BF586A"/>
    <w:rsid w:val="00BF5B44"/>
    <w:rsid w:val="00BF602E"/>
    <w:rsid w:val="00BF620A"/>
    <w:rsid w:val="00BF622C"/>
    <w:rsid w:val="00BF6370"/>
    <w:rsid w:val="00BF672A"/>
    <w:rsid w:val="00BF73EC"/>
    <w:rsid w:val="00BF7879"/>
    <w:rsid w:val="00BF7A64"/>
    <w:rsid w:val="00BF7C04"/>
    <w:rsid w:val="00BF7FBC"/>
    <w:rsid w:val="00C00351"/>
    <w:rsid w:val="00C0068E"/>
    <w:rsid w:val="00C00A56"/>
    <w:rsid w:val="00C00FF2"/>
    <w:rsid w:val="00C01157"/>
    <w:rsid w:val="00C01300"/>
    <w:rsid w:val="00C01307"/>
    <w:rsid w:val="00C015F1"/>
    <w:rsid w:val="00C0173F"/>
    <w:rsid w:val="00C017B8"/>
    <w:rsid w:val="00C01E77"/>
    <w:rsid w:val="00C020B5"/>
    <w:rsid w:val="00C02234"/>
    <w:rsid w:val="00C02284"/>
    <w:rsid w:val="00C02435"/>
    <w:rsid w:val="00C0265F"/>
    <w:rsid w:val="00C0282E"/>
    <w:rsid w:val="00C029BB"/>
    <w:rsid w:val="00C02D42"/>
    <w:rsid w:val="00C02E85"/>
    <w:rsid w:val="00C02E86"/>
    <w:rsid w:val="00C02E8F"/>
    <w:rsid w:val="00C02EA6"/>
    <w:rsid w:val="00C034C5"/>
    <w:rsid w:val="00C03FB8"/>
    <w:rsid w:val="00C0400F"/>
    <w:rsid w:val="00C04081"/>
    <w:rsid w:val="00C0450C"/>
    <w:rsid w:val="00C04906"/>
    <w:rsid w:val="00C0492E"/>
    <w:rsid w:val="00C04A57"/>
    <w:rsid w:val="00C04F69"/>
    <w:rsid w:val="00C04F73"/>
    <w:rsid w:val="00C0537E"/>
    <w:rsid w:val="00C053B2"/>
    <w:rsid w:val="00C053F7"/>
    <w:rsid w:val="00C0585B"/>
    <w:rsid w:val="00C05C0B"/>
    <w:rsid w:val="00C05CC0"/>
    <w:rsid w:val="00C05CCE"/>
    <w:rsid w:val="00C05DE1"/>
    <w:rsid w:val="00C063D4"/>
    <w:rsid w:val="00C06462"/>
    <w:rsid w:val="00C06591"/>
    <w:rsid w:val="00C066AA"/>
    <w:rsid w:val="00C067D5"/>
    <w:rsid w:val="00C068FF"/>
    <w:rsid w:val="00C06B2B"/>
    <w:rsid w:val="00C06B54"/>
    <w:rsid w:val="00C06CB2"/>
    <w:rsid w:val="00C06FEB"/>
    <w:rsid w:val="00C07184"/>
    <w:rsid w:val="00C07272"/>
    <w:rsid w:val="00C0739E"/>
    <w:rsid w:val="00C07533"/>
    <w:rsid w:val="00C076F9"/>
    <w:rsid w:val="00C079FA"/>
    <w:rsid w:val="00C07D61"/>
    <w:rsid w:val="00C07D9E"/>
    <w:rsid w:val="00C07DB0"/>
    <w:rsid w:val="00C07DDB"/>
    <w:rsid w:val="00C07F6D"/>
    <w:rsid w:val="00C103BB"/>
    <w:rsid w:val="00C1066A"/>
    <w:rsid w:val="00C10970"/>
    <w:rsid w:val="00C10C35"/>
    <w:rsid w:val="00C10E61"/>
    <w:rsid w:val="00C1104B"/>
    <w:rsid w:val="00C11A2C"/>
    <w:rsid w:val="00C11BFD"/>
    <w:rsid w:val="00C11C3B"/>
    <w:rsid w:val="00C129AC"/>
    <w:rsid w:val="00C12BD1"/>
    <w:rsid w:val="00C13048"/>
    <w:rsid w:val="00C1305C"/>
    <w:rsid w:val="00C1305E"/>
    <w:rsid w:val="00C13388"/>
    <w:rsid w:val="00C1341F"/>
    <w:rsid w:val="00C13429"/>
    <w:rsid w:val="00C1381A"/>
    <w:rsid w:val="00C13CC6"/>
    <w:rsid w:val="00C13EF6"/>
    <w:rsid w:val="00C1467F"/>
    <w:rsid w:val="00C14C2C"/>
    <w:rsid w:val="00C1513F"/>
    <w:rsid w:val="00C151C8"/>
    <w:rsid w:val="00C15375"/>
    <w:rsid w:val="00C154A7"/>
    <w:rsid w:val="00C15723"/>
    <w:rsid w:val="00C15A47"/>
    <w:rsid w:val="00C15A73"/>
    <w:rsid w:val="00C15DAA"/>
    <w:rsid w:val="00C15DC3"/>
    <w:rsid w:val="00C16091"/>
    <w:rsid w:val="00C163E4"/>
    <w:rsid w:val="00C163F6"/>
    <w:rsid w:val="00C16B7A"/>
    <w:rsid w:val="00C16C4A"/>
    <w:rsid w:val="00C176E5"/>
    <w:rsid w:val="00C1778F"/>
    <w:rsid w:val="00C177B1"/>
    <w:rsid w:val="00C203F5"/>
    <w:rsid w:val="00C2044C"/>
    <w:rsid w:val="00C20451"/>
    <w:rsid w:val="00C204BB"/>
    <w:rsid w:val="00C2055F"/>
    <w:rsid w:val="00C20B40"/>
    <w:rsid w:val="00C20BC1"/>
    <w:rsid w:val="00C20EC6"/>
    <w:rsid w:val="00C20F80"/>
    <w:rsid w:val="00C21045"/>
    <w:rsid w:val="00C2191C"/>
    <w:rsid w:val="00C21E96"/>
    <w:rsid w:val="00C221C8"/>
    <w:rsid w:val="00C22322"/>
    <w:rsid w:val="00C22657"/>
    <w:rsid w:val="00C22677"/>
    <w:rsid w:val="00C22777"/>
    <w:rsid w:val="00C22778"/>
    <w:rsid w:val="00C228C0"/>
    <w:rsid w:val="00C22A94"/>
    <w:rsid w:val="00C22AEC"/>
    <w:rsid w:val="00C22B34"/>
    <w:rsid w:val="00C22C6C"/>
    <w:rsid w:val="00C22CAD"/>
    <w:rsid w:val="00C233B4"/>
    <w:rsid w:val="00C233EF"/>
    <w:rsid w:val="00C23500"/>
    <w:rsid w:val="00C2399E"/>
    <w:rsid w:val="00C23B2A"/>
    <w:rsid w:val="00C23CA8"/>
    <w:rsid w:val="00C23F8C"/>
    <w:rsid w:val="00C2497B"/>
    <w:rsid w:val="00C24B1D"/>
    <w:rsid w:val="00C24C99"/>
    <w:rsid w:val="00C24D39"/>
    <w:rsid w:val="00C24D6E"/>
    <w:rsid w:val="00C24D83"/>
    <w:rsid w:val="00C24F5F"/>
    <w:rsid w:val="00C2530F"/>
    <w:rsid w:val="00C2552B"/>
    <w:rsid w:val="00C257E1"/>
    <w:rsid w:val="00C25ABB"/>
    <w:rsid w:val="00C25D27"/>
    <w:rsid w:val="00C25DED"/>
    <w:rsid w:val="00C26154"/>
    <w:rsid w:val="00C26405"/>
    <w:rsid w:val="00C26736"/>
    <w:rsid w:val="00C26800"/>
    <w:rsid w:val="00C26B12"/>
    <w:rsid w:val="00C26E3E"/>
    <w:rsid w:val="00C26E63"/>
    <w:rsid w:val="00C26EEA"/>
    <w:rsid w:val="00C26FA8"/>
    <w:rsid w:val="00C27B57"/>
    <w:rsid w:val="00C27EC5"/>
    <w:rsid w:val="00C27FD3"/>
    <w:rsid w:val="00C3009B"/>
    <w:rsid w:val="00C301AE"/>
    <w:rsid w:val="00C3030F"/>
    <w:rsid w:val="00C3047D"/>
    <w:rsid w:val="00C30588"/>
    <w:rsid w:val="00C307EA"/>
    <w:rsid w:val="00C30A00"/>
    <w:rsid w:val="00C30ADD"/>
    <w:rsid w:val="00C30F55"/>
    <w:rsid w:val="00C3104D"/>
    <w:rsid w:val="00C31595"/>
    <w:rsid w:val="00C315AA"/>
    <w:rsid w:val="00C31623"/>
    <w:rsid w:val="00C319C8"/>
    <w:rsid w:val="00C31B09"/>
    <w:rsid w:val="00C31F08"/>
    <w:rsid w:val="00C322DA"/>
    <w:rsid w:val="00C32392"/>
    <w:rsid w:val="00C323CA"/>
    <w:rsid w:val="00C328FE"/>
    <w:rsid w:val="00C32A34"/>
    <w:rsid w:val="00C32C58"/>
    <w:rsid w:val="00C32E53"/>
    <w:rsid w:val="00C32EAF"/>
    <w:rsid w:val="00C3310D"/>
    <w:rsid w:val="00C331C5"/>
    <w:rsid w:val="00C3320C"/>
    <w:rsid w:val="00C33385"/>
    <w:rsid w:val="00C33543"/>
    <w:rsid w:val="00C3365E"/>
    <w:rsid w:val="00C33EA6"/>
    <w:rsid w:val="00C343F7"/>
    <w:rsid w:val="00C3443F"/>
    <w:rsid w:val="00C345E5"/>
    <w:rsid w:val="00C34B07"/>
    <w:rsid w:val="00C34B99"/>
    <w:rsid w:val="00C35411"/>
    <w:rsid w:val="00C35713"/>
    <w:rsid w:val="00C359FD"/>
    <w:rsid w:val="00C35C7D"/>
    <w:rsid w:val="00C35DDD"/>
    <w:rsid w:val="00C35F4F"/>
    <w:rsid w:val="00C36117"/>
    <w:rsid w:val="00C36352"/>
    <w:rsid w:val="00C36541"/>
    <w:rsid w:val="00C36904"/>
    <w:rsid w:val="00C3690F"/>
    <w:rsid w:val="00C36A87"/>
    <w:rsid w:val="00C36D72"/>
    <w:rsid w:val="00C36F96"/>
    <w:rsid w:val="00C3743E"/>
    <w:rsid w:val="00C37491"/>
    <w:rsid w:val="00C37529"/>
    <w:rsid w:val="00C37C27"/>
    <w:rsid w:val="00C37CB9"/>
    <w:rsid w:val="00C37D6C"/>
    <w:rsid w:val="00C37F66"/>
    <w:rsid w:val="00C40225"/>
    <w:rsid w:val="00C40435"/>
    <w:rsid w:val="00C410B7"/>
    <w:rsid w:val="00C41295"/>
    <w:rsid w:val="00C41378"/>
    <w:rsid w:val="00C413F3"/>
    <w:rsid w:val="00C41700"/>
    <w:rsid w:val="00C41751"/>
    <w:rsid w:val="00C41792"/>
    <w:rsid w:val="00C418DE"/>
    <w:rsid w:val="00C41B47"/>
    <w:rsid w:val="00C41F51"/>
    <w:rsid w:val="00C42104"/>
    <w:rsid w:val="00C421A5"/>
    <w:rsid w:val="00C42551"/>
    <w:rsid w:val="00C42930"/>
    <w:rsid w:val="00C429CE"/>
    <w:rsid w:val="00C42A36"/>
    <w:rsid w:val="00C42AB0"/>
    <w:rsid w:val="00C42B54"/>
    <w:rsid w:val="00C4314D"/>
    <w:rsid w:val="00C4346D"/>
    <w:rsid w:val="00C434CE"/>
    <w:rsid w:val="00C43699"/>
    <w:rsid w:val="00C436F2"/>
    <w:rsid w:val="00C43718"/>
    <w:rsid w:val="00C438AA"/>
    <w:rsid w:val="00C43BFC"/>
    <w:rsid w:val="00C43E4C"/>
    <w:rsid w:val="00C44189"/>
    <w:rsid w:val="00C44935"/>
    <w:rsid w:val="00C44D1F"/>
    <w:rsid w:val="00C450C0"/>
    <w:rsid w:val="00C451B7"/>
    <w:rsid w:val="00C451C0"/>
    <w:rsid w:val="00C45AB0"/>
    <w:rsid w:val="00C45D4C"/>
    <w:rsid w:val="00C45E35"/>
    <w:rsid w:val="00C45EBE"/>
    <w:rsid w:val="00C4619B"/>
    <w:rsid w:val="00C461AD"/>
    <w:rsid w:val="00C462CA"/>
    <w:rsid w:val="00C4679B"/>
    <w:rsid w:val="00C46F35"/>
    <w:rsid w:val="00C47645"/>
    <w:rsid w:val="00C47BC6"/>
    <w:rsid w:val="00C47CAC"/>
    <w:rsid w:val="00C47DE1"/>
    <w:rsid w:val="00C47F06"/>
    <w:rsid w:val="00C47F2B"/>
    <w:rsid w:val="00C47FC6"/>
    <w:rsid w:val="00C5009A"/>
    <w:rsid w:val="00C5023F"/>
    <w:rsid w:val="00C503CF"/>
    <w:rsid w:val="00C50AA3"/>
    <w:rsid w:val="00C50B1E"/>
    <w:rsid w:val="00C50C48"/>
    <w:rsid w:val="00C50F08"/>
    <w:rsid w:val="00C5108B"/>
    <w:rsid w:val="00C5110B"/>
    <w:rsid w:val="00C51482"/>
    <w:rsid w:val="00C5176A"/>
    <w:rsid w:val="00C517A8"/>
    <w:rsid w:val="00C51894"/>
    <w:rsid w:val="00C518B3"/>
    <w:rsid w:val="00C51E00"/>
    <w:rsid w:val="00C51EAE"/>
    <w:rsid w:val="00C52363"/>
    <w:rsid w:val="00C5240E"/>
    <w:rsid w:val="00C526B9"/>
    <w:rsid w:val="00C529DF"/>
    <w:rsid w:val="00C52A41"/>
    <w:rsid w:val="00C52C98"/>
    <w:rsid w:val="00C52EA0"/>
    <w:rsid w:val="00C52FC3"/>
    <w:rsid w:val="00C52FE5"/>
    <w:rsid w:val="00C531D4"/>
    <w:rsid w:val="00C533A4"/>
    <w:rsid w:val="00C53426"/>
    <w:rsid w:val="00C53549"/>
    <w:rsid w:val="00C5378D"/>
    <w:rsid w:val="00C53D48"/>
    <w:rsid w:val="00C53E33"/>
    <w:rsid w:val="00C53FA4"/>
    <w:rsid w:val="00C54366"/>
    <w:rsid w:val="00C5469A"/>
    <w:rsid w:val="00C54722"/>
    <w:rsid w:val="00C547E3"/>
    <w:rsid w:val="00C54CD8"/>
    <w:rsid w:val="00C54F91"/>
    <w:rsid w:val="00C552A6"/>
    <w:rsid w:val="00C554B5"/>
    <w:rsid w:val="00C555FF"/>
    <w:rsid w:val="00C558D9"/>
    <w:rsid w:val="00C55979"/>
    <w:rsid w:val="00C55F14"/>
    <w:rsid w:val="00C5673E"/>
    <w:rsid w:val="00C56F18"/>
    <w:rsid w:val="00C57199"/>
    <w:rsid w:val="00C5719B"/>
    <w:rsid w:val="00C57641"/>
    <w:rsid w:val="00C577C7"/>
    <w:rsid w:val="00C57CFA"/>
    <w:rsid w:val="00C57F02"/>
    <w:rsid w:val="00C6083B"/>
    <w:rsid w:val="00C61049"/>
    <w:rsid w:val="00C614CE"/>
    <w:rsid w:val="00C61CDB"/>
    <w:rsid w:val="00C61D85"/>
    <w:rsid w:val="00C61DF2"/>
    <w:rsid w:val="00C61F6B"/>
    <w:rsid w:val="00C62130"/>
    <w:rsid w:val="00C621D9"/>
    <w:rsid w:val="00C62201"/>
    <w:rsid w:val="00C6230D"/>
    <w:rsid w:val="00C62663"/>
    <w:rsid w:val="00C627C7"/>
    <w:rsid w:val="00C62970"/>
    <w:rsid w:val="00C62ACC"/>
    <w:rsid w:val="00C62AE7"/>
    <w:rsid w:val="00C62F72"/>
    <w:rsid w:val="00C632B0"/>
    <w:rsid w:val="00C63680"/>
    <w:rsid w:val="00C63D09"/>
    <w:rsid w:val="00C63E1E"/>
    <w:rsid w:val="00C63E4D"/>
    <w:rsid w:val="00C63ECA"/>
    <w:rsid w:val="00C64093"/>
    <w:rsid w:val="00C6418F"/>
    <w:rsid w:val="00C64652"/>
    <w:rsid w:val="00C64728"/>
    <w:rsid w:val="00C64A54"/>
    <w:rsid w:val="00C64CBD"/>
    <w:rsid w:val="00C650E1"/>
    <w:rsid w:val="00C65202"/>
    <w:rsid w:val="00C6532D"/>
    <w:rsid w:val="00C65A87"/>
    <w:rsid w:val="00C65AD1"/>
    <w:rsid w:val="00C65B1B"/>
    <w:rsid w:val="00C65B60"/>
    <w:rsid w:val="00C65BE8"/>
    <w:rsid w:val="00C65EAC"/>
    <w:rsid w:val="00C65F29"/>
    <w:rsid w:val="00C661CC"/>
    <w:rsid w:val="00C665A1"/>
    <w:rsid w:val="00C66639"/>
    <w:rsid w:val="00C6663A"/>
    <w:rsid w:val="00C66C18"/>
    <w:rsid w:val="00C67044"/>
    <w:rsid w:val="00C6724E"/>
    <w:rsid w:val="00C6738E"/>
    <w:rsid w:val="00C703F4"/>
    <w:rsid w:val="00C70BA9"/>
    <w:rsid w:val="00C70CB7"/>
    <w:rsid w:val="00C70E9D"/>
    <w:rsid w:val="00C710EC"/>
    <w:rsid w:val="00C7111E"/>
    <w:rsid w:val="00C715E7"/>
    <w:rsid w:val="00C7184A"/>
    <w:rsid w:val="00C718DC"/>
    <w:rsid w:val="00C71C25"/>
    <w:rsid w:val="00C71CCF"/>
    <w:rsid w:val="00C71D82"/>
    <w:rsid w:val="00C721DB"/>
    <w:rsid w:val="00C72497"/>
    <w:rsid w:val="00C72547"/>
    <w:rsid w:val="00C72577"/>
    <w:rsid w:val="00C726E9"/>
    <w:rsid w:val="00C72820"/>
    <w:rsid w:val="00C72835"/>
    <w:rsid w:val="00C73037"/>
    <w:rsid w:val="00C7330C"/>
    <w:rsid w:val="00C73FC9"/>
    <w:rsid w:val="00C74004"/>
    <w:rsid w:val="00C74171"/>
    <w:rsid w:val="00C7475F"/>
    <w:rsid w:val="00C74934"/>
    <w:rsid w:val="00C749BF"/>
    <w:rsid w:val="00C74E1B"/>
    <w:rsid w:val="00C750C2"/>
    <w:rsid w:val="00C751ED"/>
    <w:rsid w:val="00C753C4"/>
    <w:rsid w:val="00C7583B"/>
    <w:rsid w:val="00C75A08"/>
    <w:rsid w:val="00C75B98"/>
    <w:rsid w:val="00C760D4"/>
    <w:rsid w:val="00C763D9"/>
    <w:rsid w:val="00C76427"/>
    <w:rsid w:val="00C76493"/>
    <w:rsid w:val="00C76864"/>
    <w:rsid w:val="00C76A71"/>
    <w:rsid w:val="00C76B63"/>
    <w:rsid w:val="00C76D05"/>
    <w:rsid w:val="00C76F61"/>
    <w:rsid w:val="00C76FE8"/>
    <w:rsid w:val="00C7719C"/>
    <w:rsid w:val="00C77557"/>
    <w:rsid w:val="00C77729"/>
    <w:rsid w:val="00C77F31"/>
    <w:rsid w:val="00C80012"/>
    <w:rsid w:val="00C80225"/>
    <w:rsid w:val="00C805A0"/>
    <w:rsid w:val="00C80B7C"/>
    <w:rsid w:val="00C80C21"/>
    <w:rsid w:val="00C80C31"/>
    <w:rsid w:val="00C80F40"/>
    <w:rsid w:val="00C80F45"/>
    <w:rsid w:val="00C8111D"/>
    <w:rsid w:val="00C812EB"/>
    <w:rsid w:val="00C81396"/>
    <w:rsid w:val="00C81471"/>
    <w:rsid w:val="00C8168D"/>
    <w:rsid w:val="00C8180A"/>
    <w:rsid w:val="00C8185E"/>
    <w:rsid w:val="00C818A4"/>
    <w:rsid w:val="00C818CF"/>
    <w:rsid w:val="00C81BAF"/>
    <w:rsid w:val="00C81BDE"/>
    <w:rsid w:val="00C81C25"/>
    <w:rsid w:val="00C81E84"/>
    <w:rsid w:val="00C8214D"/>
    <w:rsid w:val="00C822EF"/>
    <w:rsid w:val="00C82962"/>
    <w:rsid w:val="00C82C84"/>
    <w:rsid w:val="00C83408"/>
    <w:rsid w:val="00C8366D"/>
    <w:rsid w:val="00C83733"/>
    <w:rsid w:val="00C838FD"/>
    <w:rsid w:val="00C83951"/>
    <w:rsid w:val="00C83C30"/>
    <w:rsid w:val="00C84053"/>
    <w:rsid w:val="00C8440C"/>
    <w:rsid w:val="00C846A4"/>
    <w:rsid w:val="00C849C0"/>
    <w:rsid w:val="00C84A8A"/>
    <w:rsid w:val="00C84AD0"/>
    <w:rsid w:val="00C84C07"/>
    <w:rsid w:val="00C84E93"/>
    <w:rsid w:val="00C85124"/>
    <w:rsid w:val="00C8556C"/>
    <w:rsid w:val="00C85763"/>
    <w:rsid w:val="00C86046"/>
    <w:rsid w:val="00C8661E"/>
    <w:rsid w:val="00C86F61"/>
    <w:rsid w:val="00C87102"/>
    <w:rsid w:val="00C87112"/>
    <w:rsid w:val="00C873D3"/>
    <w:rsid w:val="00C876FA"/>
    <w:rsid w:val="00C87711"/>
    <w:rsid w:val="00C87A5F"/>
    <w:rsid w:val="00C87BEB"/>
    <w:rsid w:val="00C90084"/>
    <w:rsid w:val="00C901F0"/>
    <w:rsid w:val="00C907DC"/>
    <w:rsid w:val="00C90CD9"/>
    <w:rsid w:val="00C90E02"/>
    <w:rsid w:val="00C90F63"/>
    <w:rsid w:val="00C91234"/>
    <w:rsid w:val="00C91507"/>
    <w:rsid w:val="00C915F9"/>
    <w:rsid w:val="00C9184A"/>
    <w:rsid w:val="00C91DFC"/>
    <w:rsid w:val="00C92329"/>
    <w:rsid w:val="00C924D4"/>
    <w:rsid w:val="00C92825"/>
    <w:rsid w:val="00C928DB"/>
    <w:rsid w:val="00C92A6E"/>
    <w:rsid w:val="00C92E6E"/>
    <w:rsid w:val="00C92FB4"/>
    <w:rsid w:val="00C93258"/>
    <w:rsid w:val="00C932F4"/>
    <w:rsid w:val="00C9341B"/>
    <w:rsid w:val="00C9366F"/>
    <w:rsid w:val="00C93721"/>
    <w:rsid w:val="00C93843"/>
    <w:rsid w:val="00C938AF"/>
    <w:rsid w:val="00C938FF"/>
    <w:rsid w:val="00C93955"/>
    <w:rsid w:val="00C93A3F"/>
    <w:rsid w:val="00C93E52"/>
    <w:rsid w:val="00C9420A"/>
    <w:rsid w:val="00C9429D"/>
    <w:rsid w:val="00C943B8"/>
    <w:rsid w:val="00C94407"/>
    <w:rsid w:val="00C949E2"/>
    <w:rsid w:val="00C949E7"/>
    <w:rsid w:val="00C94A09"/>
    <w:rsid w:val="00C94C52"/>
    <w:rsid w:val="00C94CAF"/>
    <w:rsid w:val="00C94D1F"/>
    <w:rsid w:val="00C95DFB"/>
    <w:rsid w:val="00C96081"/>
    <w:rsid w:val="00C96358"/>
    <w:rsid w:val="00C96692"/>
    <w:rsid w:val="00C968C0"/>
    <w:rsid w:val="00C96B0F"/>
    <w:rsid w:val="00C96C8A"/>
    <w:rsid w:val="00C96CD5"/>
    <w:rsid w:val="00C97234"/>
    <w:rsid w:val="00C975D7"/>
    <w:rsid w:val="00C97A7C"/>
    <w:rsid w:val="00C97BA2"/>
    <w:rsid w:val="00C97CB6"/>
    <w:rsid w:val="00C97D0B"/>
    <w:rsid w:val="00C97DFD"/>
    <w:rsid w:val="00C97E27"/>
    <w:rsid w:val="00CA0142"/>
    <w:rsid w:val="00CA03AD"/>
    <w:rsid w:val="00CA0684"/>
    <w:rsid w:val="00CA0835"/>
    <w:rsid w:val="00CA0AF5"/>
    <w:rsid w:val="00CA0FD1"/>
    <w:rsid w:val="00CA1105"/>
    <w:rsid w:val="00CA11EF"/>
    <w:rsid w:val="00CA122A"/>
    <w:rsid w:val="00CA1628"/>
    <w:rsid w:val="00CA1697"/>
    <w:rsid w:val="00CA1811"/>
    <w:rsid w:val="00CA1A11"/>
    <w:rsid w:val="00CA1BDB"/>
    <w:rsid w:val="00CA1D06"/>
    <w:rsid w:val="00CA1DD3"/>
    <w:rsid w:val="00CA2239"/>
    <w:rsid w:val="00CA2267"/>
    <w:rsid w:val="00CA265C"/>
    <w:rsid w:val="00CA2911"/>
    <w:rsid w:val="00CA2A52"/>
    <w:rsid w:val="00CA2AF3"/>
    <w:rsid w:val="00CA2B6F"/>
    <w:rsid w:val="00CA2BE5"/>
    <w:rsid w:val="00CA3150"/>
    <w:rsid w:val="00CA317A"/>
    <w:rsid w:val="00CA3183"/>
    <w:rsid w:val="00CA36B4"/>
    <w:rsid w:val="00CA38B2"/>
    <w:rsid w:val="00CA39E9"/>
    <w:rsid w:val="00CA3BCC"/>
    <w:rsid w:val="00CA3C60"/>
    <w:rsid w:val="00CA3EFC"/>
    <w:rsid w:val="00CA41DC"/>
    <w:rsid w:val="00CA451B"/>
    <w:rsid w:val="00CA4AF6"/>
    <w:rsid w:val="00CA572A"/>
    <w:rsid w:val="00CA5753"/>
    <w:rsid w:val="00CA596C"/>
    <w:rsid w:val="00CA5BA2"/>
    <w:rsid w:val="00CA5C33"/>
    <w:rsid w:val="00CA5DA1"/>
    <w:rsid w:val="00CA5E09"/>
    <w:rsid w:val="00CA61E4"/>
    <w:rsid w:val="00CA6C64"/>
    <w:rsid w:val="00CA6DB1"/>
    <w:rsid w:val="00CA707D"/>
    <w:rsid w:val="00CA70DF"/>
    <w:rsid w:val="00CA715A"/>
    <w:rsid w:val="00CA7174"/>
    <w:rsid w:val="00CA71FF"/>
    <w:rsid w:val="00CA7491"/>
    <w:rsid w:val="00CA763F"/>
    <w:rsid w:val="00CA773E"/>
    <w:rsid w:val="00CA77C0"/>
    <w:rsid w:val="00CA7833"/>
    <w:rsid w:val="00CA7945"/>
    <w:rsid w:val="00CA7993"/>
    <w:rsid w:val="00CA7A39"/>
    <w:rsid w:val="00CA7A4E"/>
    <w:rsid w:val="00CA7A6E"/>
    <w:rsid w:val="00CA7BEE"/>
    <w:rsid w:val="00CA7D68"/>
    <w:rsid w:val="00CA7F5E"/>
    <w:rsid w:val="00CB012A"/>
    <w:rsid w:val="00CB01D8"/>
    <w:rsid w:val="00CB01DF"/>
    <w:rsid w:val="00CB02AA"/>
    <w:rsid w:val="00CB05B4"/>
    <w:rsid w:val="00CB0719"/>
    <w:rsid w:val="00CB0986"/>
    <w:rsid w:val="00CB0A59"/>
    <w:rsid w:val="00CB0E22"/>
    <w:rsid w:val="00CB0EED"/>
    <w:rsid w:val="00CB11B2"/>
    <w:rsid w:val="00CB12F9"/>
    <w:rsid w:val="00CB1408"/>
    <w:rsid w:val="00CB15DC"/>
    <w:rsid w:val="00CB18DD"/>
    <w:rsid w:val="00CB199E"/>
    <w:rsid w:val="00CB1B45"/>
    <w:rsid w:val="00CB1C7B"/>
    <w:rsid w:val="00CB1C83"/>
    <w:rsid w:val="00CB1D70"/>
    <w:rsid w:val="00CB1E8F"/>
    <w:rsid w:val="00CB2086"/>
    <w:rsid w:val="00CB209C"/>
    <w:rsid w:val="00CB2110"/>
    <w:rsid w:val="00CB21B2"/>
    <w:rsid w:val="00CB2598"/>
    <w:rsid w:val="00CB273C"/>
    <w:rsid w:val="00CB34BE"/>
    <w:rsid w:val="00CB34E3"/>
    <w:rsid w:val="00CB357A"/>
    <w:rsid w:val="00CB3706"/>
    <w:rsid w:val="00CB37BF"/>
    <w:rsid w:val="00CB3970"/>
    <w:rsid w:val="00CB3A3A"/>
    <w:rsid w:val="00CB3B38"/>
    <w:rsid w:val="00CB3C84"/>
    <w:rsid w:val="00CB4079"/>
    <w:rsid w:val="00CB40D0"/>
    <w:rsid w:val="00CB4204"/>
    <w:rsid w:val="00CB4371"/>
    <w:rsid w:val="00CB462D"/>
    <w:rsid w:val="00CB464A"/>
    <w:rsid w:val="00CB4799"/>
    <w:rsid w:val="00CB4C68"/>
    <w:rsid w:val="00CB4CE0"/>
    <w:rsid w:val="00CB4D36"/>
    <w:rsid w:val="00CB508D"/>
    <w:rsid w:val="00CB55A3"/>
    <w:rsid w:val="00CB57B9"/>
    <w:rsid w:val="00CB5897"/>
    <w:rsid w:val="00CB58AE"/>
    <w:rsid w:val="00CB59D7"/>
    <w:rsid w:val="00CB5D92"/>
    <w:rsid w:val="00CB5FC5"/>
    <w:rsid w:val="00CB6387"/>
    <w:rsid w:val="00CB65DD"/>
    <w:rsid w:val="00CB676D"/>
    <w:rsid w:val="00CB68E1"/>
    <w:rsid w:val="00CB690F"/>
    <w:rsid w:val="00CB69D0"/>
    <w:rsid w:val="00CB6B12"/>
    <w:rsid w:val="00CB6BED"/>
    <w:rsid w:val="00CB7192"/>
    <w:rsid w:val="00CB73D7"/>
    <w:rsid w:val="00CB74F2"/>
    <w:rsid w:val="00CB771E"/>
    <w:rsid w:val="00CB783F"/>
    <w:rsid w:val="00CB7A04"/>
    <w:rsid w:val="00CB7CD9"/>
    <w:rsid w:val="00CC01F1"/>
    <w:rsid w:val="00CC0A68"/>
    <w:rsid w:val="00CC0B51"/>
    <w:rsid w:val="00CC0BEC"/>
    <w:rsid w:val="00CC11D5"/>
    <w:rsid w:val="00CC1298"/>
    <w:rsid w:val="00CC1323"/>
    <w:rsid w:val="00CC135D"/>
    <w:rsid w:val="00CC14BA"/>
    <w:rsid w:val="00CC16C8"/>
    <w:rsid w:val="00CC1917"/>
    <w:rsid w:val="00CC1A39"/>
    <w:rsid w:val="00CC1CFE"/>
    <w:rsid w:val="00CC20A3"/>
    <w:rsid w:val="00CC2127"/>
    <w:rsid w:val="00CC2454"/>
    <w:rsid w:val="00CC27EB"/>
    <w:rsid w:val="00CC2A96"/>
    <w:rsid w:val="00CC2B7D"/>
    <w:rsid w:val="00CC2BC9"/>
    <w:rsid w:val="00CC2DCD"/>
    <w:rsid w:val="00CC2F20"/>
    <w:rsid w:val="00CC30B7"/>
    <w:rsid w:val="00CC3154"/>
    <w:rsid w:val="00CC3297"/>
    <w:rsid w:val="00CC33F2"/>
    <w:rsid w:val="00CC35F8"/>
    <w:rsid w:val="00CC3F0A"/>
    <w:rsid w:val="00CC450F"/>
    <w:rsid w:val="00CC4519"/>
    <w:rsid w:val="00CC499A"/>
    <w:rsid w:val="00CC4BAF"/>
    <w:rsid w:val="00CC4DF6"/>
    <w:rsid w:val="00CC55F6"/>
    <w:rsid w:val="00CC56C5"/>
    <w:rsid w:val="00CC56C7"/>
    <w:rsid w:val="00CC59C6"/>
    <w:rsid w:val="00CC5ED9"/>
    <w:rsid w:val="00CC6081"/>
    <w:rsid w:val="00CC62DF"/>
    <w:rsid w:val="00CC64E7"/>
    <w:rsid w:val="00CC653C"/>
    <w:rsid w:val="00CC65E1"/>
    <w:rsid w:val="00CC682A"/>
    <w:rsid w:val="00CC6A31"/>
    <w:rsid w:val="00CC6D04"/>
    <w:rsid w:val="00CC6ED6"/>
    <w:rsid w:val="00CC70EF"/>
    <w:rsid w:val="00CC766A"/>
    <w:rsid w:val="00CD0159"/>
    <w:rsid w:val="00CD0AE9"/>
    <w:rsid w:val="00CD0E00"/>
    <w:rsid w:val="00CD0E16"/>
    <w:rsid w:val="00CD1302"/>
    <w:rsid w:val="00CD171E"/>
    <w:rsid w:val="00CD180D"/>
    <w:rsid w:val="00CD1C3A"/>
    <w:rsid w:val="00CD1D0C"/>
    <w:rsid w:val="00CD1DF2"/>
    <w:rsid w:val="00CD20EF"/>
    <w:rsid w:val="00CD23B0"/>
    <w:rsid w:val="00CD26CE"/>
    <w:rsid w:val="00CD276E"/>
    <w:rsid w:val="00CD2AF9"/>
    <w:rsid w:val="00CD2CFB"/>
    <w:rsid w:val="00CD2D5D"/>
    <w:rsid w:val="00CD2D98"/>
    <w:rsid w:val="00CD305C"/>
    <w:rsid w:val="00CD320D"/>
    <w:rsid w:val="00CD3267"/>
    <w:rsid w:val="00CD356F"/>
    <w:rsid w:val="00CD3662"/>
    <w:rsid w:val="00CD3682"/>
    <w:rsid w:val="00CD3ADD"/>
    <w:rsid w:val="00CD3B78"/>
    <w:rsid w:val="00CD3E10"/>
    <w:rsid w:val="00CD3F53"/>
    <w:rsid w:val="00CD4054"/>
    <w:rsid w:val="00CD41E2"/>
    <w:rsid w:val="00CD4270"/>
    <w:rsid w:val="00CD442A"/>
    <w:rsid w:val="00CD47A8"/>
    <w:rsid w:val="00CD4B1E"/>
    <w:rsid w:val="00CD4D06"/>
    <w:rsid w:val="00CD548E"/>
    <w:rsid w:val="00CD54C2"/>
    <w:rsid w:val="00CD556B"/>
    <w:rsid w:val="00CD5611"/>
    <w:rsid w:val="00CD59EA"/>
    <w:rsid w:val="00CD5A07"/>
    <w:rsid w:val="00CD5E88"/>
    <w:rsid w:val="00CD6121"/>
    <w:rsid w:val="00CD6317"/>
    <w:rsid w:val="00CD64D3"/>
    <w:rsid w:val="00CD6982"/>
    <w:rsid w:val="00CD6CBB"/>
    <w:rsid w:val="00CD7045"/>
    <w:rsid w:val="00CD705D"/>
    <w:rsid w:val="00CD72C2"/>
    <w:rsid w:val="00CD7311"/>
    <w:rsid w:val="00CD73C3"/>
    <w:rsid w:val="00CD742E"/>
    <w:rsid w:val="00CD789E"/>
    <w:rsid w:val="00CD7A36"/>
    <w:rsid w:val="00CD7D0A"/>
    <w:rsid w:val="00CD7DB6"/>
    <w:rsid w:val="00CD7DF0"/>
    <w:rsid w:val="00CD7E3F"/>
    <w:rsid w:val="00CD7F2C"/>
    <w:rsid w:val="00CE035A"/>
    <w:rsid w:val="00CE0456"/>
    <w:rsid w:val="00CE046D"/>
    <w:rsid w:val="00CE070F"/>
    <w:rsid w:val="00CE09C8"/>
    <w:rsid w:val="00CE0DA3"/>
    <w:rsid w:val="00CE0E96"/>
    <w:rsid w:val="00CE0FA2"/>
    <w:rsid w:val="00CE0FF4"/>
    <w:rsid w:val="00CE1155"/>
    <w:rsid w:val="00CE1265"/>
    <w:rsid w:val="00CE1481"/>
    <w:rsid w:val="00CE1A97"/>
    <w:rsid w:val="00CE1ACD"/>
    <w:rsid w:val="00CE1D80"/>
    <w:rsid w:val="00CE1DD7"/>
    <w:rsid w:val="00CE20C3"/>
    <w:rsid w:val="00CE2511"/>
    <w:rsid w:val="00CE27EB"/>
    <w:rsid w:val="00CE2899"/>
    <w:rsid w:val="00CE2CF6"/>
    <w:rsid w:val="00CE3340"/>
    <w:rsid w:val="00CE3683"/>
    <w:rsid w:val="00CE3954"/>
    <w:rsid w:val="00CE39F1"/>
    <w:rsid w:val="00CE3BE5"/>
    <w:rsid w:val="00CE3DCD"/>
    <w:rsid w:val="00CE443B"/>
    <w:rsid w:val="00CE447D"/>
    <w:rsid w:val="00CE474E"/>
    <w:rsid w:val="00CE4861"/>
    <w:rsid w:val="00CE492E"/>
    <w:rsid w:val="00CE4973"/>
    <w:rsid w:val="00CE4BD8"/>
    <w:rsid w:val="00CE4C79"/>
    <w:rsid w:val="00CE4D28"/>
    <w:rsid w:val="00CE4E29"/>
    <w:rsid w:val="00CE4FCC"/>
    <w:rsid w:val="00CE5120"/>
    <w:rsid w:val="00CE523D"/>
    <w:rsid w:val="00CE52E0"/>
    <w:rsid w:val="00CE55E7"/>
    <w:rsid w:val="00CE578A"/>
    <w:rsid w:val="00CE5C9B"/>
    <w:rsid w:val="00CE60BC"/>
    <w:rsid w:val="00CE61E8"/>
    <w:rsid w:val="00CE6AAB"/>
    <w:rsid w:val="00CE6B46"/>
    <w:rsid w:val="00CE6D01"/>
    <w:rsid w:val="00CE6DB1"/>
    <w:rsid w:val="00CE7046"/>
    <w:rsid w:val="00CE70AD"/>
    <w:rsid w:val="00CE710B"/>
    <w:rsid w:val="00CE7214"/>
    <w:rsid w:val="00CE7416"/>
    <w:rsid w:val="00CE741E"/>
    <w:rsid w:val="00CE75F3"/>
    <w:rsid w:val="00CE7A2F"/>
    <w:rsid w:val="00CF05A2"/>
    <w:rsid w:val="00CF1097"/>
    <w:rsid w:val="00CF10A2"/>
    <w:rsid w:val="00CF1612"/>
    <w:rsid w:val="00CF1BEC"/>
    <w:rsid w:val="00CF1E0F"/>
    <w:rsid w:val="00CF2385"/>
    <w:rsid w:val="00CF23F8"/>
    <w:rsid w:val="00CF2756"/>
    <w:rsid w:val="00CF29E8"/>
    <w:rsid w:val="00CF2A1E"/>
    <w:rsid w:val="00CF2EF5"/>
    <w:rsid w:val="00CF3B48"/>
    <w:rsid w:val="00CF43AF"/>
    <w:rsid w:val="00CF43C7"/>
    <w:rsid w:val="00CF47AB"/>
    <w:rsid w:val="00CF48C0"/>
    <w:rsid w:val="00CF5010"/>
    <w:rsid w:val="00CF5078"/>
    <w:rsid w:val="00CF5497"/>
    <w:rsid w:val="00CF5957"/>
    <w:rsid w:val="00CF5A03"/>
    <w:rsid w:val="00CF5E33"/>
    <w:rsid w:val="00CF607E"/>
    <w:rsid w:val="00CF64D2"/>
    <w:rsid w:val="00CF6B5F"/>
    <w:rsid w:val="00CF6D4E"/>
    <w:rsid w:val="00CF6F2E"/>
    <w:rsid w:val="00CF70F6"/>
    <w:rsid w:val="00CF718A"/>
    <w:rsid w:val="00CF7322"/>
    <w:rsid w:val="00CF77D5"/>
    <w:rsid w:val="00CF797B"/>
    <w:rsid w:val="00CF7A43"/>
    <w:rsid w:val="00CF7A48"/>
    <w:rsid w:val="00CF7B47"/>
    <w:rsid w:val="00CF7BD8"/>
    <w:rsid w:val="00CF7BE5"/>
    <w:rsid w:val="00CF7F63"/>
    <w:rsid w:val="00CF7FEC"/>
    <w:rsid w:val="00D0026B"/>
    <w:rsid w:val="00D0038C"/>
    <w:rsid w:val="00D00ADD"/>
    <w:rsid w:val="00D01240"/>
    <w:rsid w:val="00D01639"/>
    <w:rsid w:val="00D01921"/>
    <w:rsid w:val="00D01977"/>
    <w:rsid w:val="00D019B5"/>
    <w:rsid w:val="00D01BB2"/>
    <w:rsid w:val="00D020FA"/>
    <w:rsid w:val="00D022E5"/>
    <w:rsid w:val="00D02302"/>
    <w:rsid w:val="00D02673"/>
    <w:rsid w:val="00D0283C"/>
    <w:rsid w:val="00D029FE"/>
    <w:rsid w:val="00D02B59"/>
    <w:rsid w:val="00D02BD9"/>
    <w:rsid w:val="00D02C0D"/>
    <w:rsid w:val="00D02E03"/>
    <w:rsid w:val="00D02F2F"/>
    <w:rsid w:val="00D03113"/>
    <w:rsid w:val="00D0314B"/>
    <w:rsid w:val="00D03658"/>
    <w:rsid w:val="00D036E5"/>
    <w:rsid w:val="00D0398B"/>
    <w:rsid w:val="00D03FDB"/>
    <w:rsid w:val="00D04027"/>
    <w:rsid w:val="00D04093"/>
    <w:rsid w:val="00D040DC"/>
    <w:rsid w:val="00D043A7"/>
    <w:rsid w:val="00D044F0"/>
    <w:rsid w:val="00D0470C"/>
    <w:rsid w:val="00D04A06"/>
    <w:rsid w:val="00D04C38"/>
    <w:rsid w:val="00D04E65"/>
    <w:rsid w:val="00D050B0"/>
    <w:rsid w:val="00D051AF"/>
    <w:rsid w:val="00D0587F"/>
    <w:rsid w:val="00D059E7"/>
    <w:rsid w:val="00D05B2A"/>
    <w:rsid w:val="00D05D97"/>
    <w:rsid w:val="00D05DF8"/>
    <w:rsid w:val="00D06095"/>
    <w:rsid w:val="00D060DF"/>
    <w:rsid w:val="00D060EC"/>
    <w:rsid w:val="00D065BA"/>
    <w:rsid w:val="00D0682E"/>
    <w:rsid w:val="00D06C38"/>
    <w:rsid w:val="00D070F2"/>
    <w:rsid w:val="00D07185"/>
    <w:rsid w:val="00D071F7"/>
    <w:rsid w:val="00D0728A"/>
    <w:rsid w:val="00D0769D"/>
    <w:rsid w:val="00D07939"/>
    <w:rsid w:val="00D07D11"/>
    <w:rsid w:val="00D07F30"/>
    <w:rsid w:val="00D10051"/>
    <w:rsid w:val="00D10118"/>
    <w:rsid w:val="00D1016D"/>
    <w:rsid w:val="00D10563"/>
    <w:rsid w:val="00D10702"/>
    <w:rsid w:val="00D1071A"/>
    <w:rsid w:val="00D1092E"/>
    <w:rsid w:val="00D10ABF"/>
    <w:rsid w:val="00D11013"/>
    <w:rsid w:val="00D11080"/>
    <w:rsid w:val="00D111EE"/>
    <w:rsid w:val="00D1120F"/>
    <w:rsid w:val="00D112B6"/>
    <w:rsid w:val="00D12099"/>
    <w:rsid w:val="00D120F5"/>
    <w:rsid w:val="00D124B9"/>
    <w:rsid w:val="00D12BDC"/>
    <w:rsid w:val="00D12D61"/>
    <w:rsid w:val="00D13660"/>
    <w:rsid w:val="00D13BD1"/>
    <w:rsid w:val="00D14306"/>
    <w:rsid w:val="00D143E8"/>
    <w:rsid w:val="00D14435"/>
    <w:rsid w:val="00D1453E"/>
    <w:rsid w:val="00D14727"/>
    <w:rsid w:val="00D14745"/>
    <w:rsid w:val="00D14768"/>
    <w:rsid w:val="00D14B1F"/>
    <w:rsid w:val="00D14BB3"/>
    <w:rsid w:val="00D14D49"/>
    <w:rsid w:val="00D14D7E"/>
    <w:rsid w:val="00D15130"/>
    <w:rsid w:val="00D15497"/>
    <w:rsid w:val="00D158D6"/>
    <w:rsid w:val="00D15B7E"/>
    <w:rsid w:val="00D15E7C"/>
    <w:rsid w:val="00D162EA"/>
    <w:rsid w:val="00D1633B"/>
    <w:rsid w:val="00D16660"/>
    <w:rsid w:val="00D16665"/>
    <w:rsid w:val="00D16B0C"/>
    <w:rsid w:val="00D16DE9"/>
    <w:rsid w:val="00D16DF7"/>
    <w:rsid w:val="00D17223"/>
    <w:rsid w:val="00D178A4"/>
    <w:rsid w:val="00D17963"/>
    <w:rsid w:val="00D17B4A"/>
    <w:rsid w:val="00D17BB0"/>
    <w:rsid w:val="00D17D25"/>
    <w:rsid w:val="00D17E0D"/>
    <w:rsid w:val="00D20372"/>
    <w:rsid w:val="00D20381"/>
    <w:rsid w:val="00D20630"/>
    <w:rsid w:val="00D20B6D"/>
    <w:rsid w:val="00D20E74"/>
    <w:rsid w:val="00D21056"/>
    <w:rsid w:val="00D2118D"/>
    <w:rsid w:val="00D21414"/>
    <w:rsid w:val="00D2197E"/>
    <w:rsid w:val="00D219AC"/>
    <w:rsid w:val="00D21A85"/>
    <w:rsid w:val="00D21D6A"/>
    <w:rsid w:val="00D21E36"/>
    <w:rsid w:val="00D21F67"/>
    <w:rsid w:val="00D2213B"/>
    <w:rsid w:val="00D2231E"/>
    <w:rsid w:val="00D22DBB"/>
    <w:rsid w:val="00D231B8"/>
    <w:rsid w:val="00D231E5"/>
    <w:rsid w:val="00D2322B"/>
    <w:rsid w:val="00D23A85"/>
    <w:rsid w:val="00D23FCB"/>
    <w:rsid w:val="00D2419C"/>
    <w:rsid w:val="00D24634"/>
    <w:rsid w:val="00D247F0"/>
    <w:rsid w:val="00D2484D"/>
    <w:rsid w:val="00D24CA0"/>
    <w:rsid w:val="00D2505E"/>
    <w:rsid w:val="00D250F8"/>
    <w:rsid w:val="00D25185"/>
    <w:rsid w:val="00D251C9"/>
    <w:rsid w:val="00D252BB"/>
    <w:rsid w:val="00D25506"/>
    <w:rsid w:val="00D256A3"/>
    <w:rsid w:val="00D25768"/>
    <w:rsid w:val="00D258E1"/>
    <w:rsid w:val="00D25AAD"/>
    <w:rsid w:val="00D26242"/>
    <w:rsid w:val="00D26604"/>
    <w:rsid w:val="00D26674"/>
    <w:rsid w:val="00D268B8"/>
    <w:rsid w:val="00D27131"/>
    <w:rsid w:val="00D27286"/>
    <w:rsid w:val="00D2795D"/>
    <w:rsid w:val="00D27AE2"/>
    <w:rsid w:val="00D27EFB"/>
    <w:rsid w:val="00D304FB"/>
    <w:rsid w:val="00D30967"/>
    <w:rsid w:val="00D30E58"/>
    <w:rsid w:val="00D310FC"/>
    <w:rsid w:val="00D311E2"/>
    <w:rsid w:val="00D31557"/>
    <w:rsid w:val="00D31794"/>
    <w:rsid w:val="00D31A0F"/>
    <w:rsid w:val="00D31D45"/>
    <w:rsid w:val="00D31E39"/>
    <w:rsid w:val="00D32173"/>
    <w:rsid w:val="00D32711"/>
    <w:rsid w:val="00D328F6"/>
    <w:rsid w:val="00D32BDD"/>
    <w:rsid w:val="00D32BEC"/>
    <w:rsid w:val="00D32D41"/>
    <w:rsid w:val="00D33464"/>
    <w:rsid w:val="00D336C9"/>
    <w:rsid w:val="00D337C1"/>
    <w:rsid w:val="00D3388C"/>
    <w:rsid w:val="00D339D6"/>
    <w:rsid w:val="00D3444C"/>
    <w:rsid w:val="00D34806"/>
    <w:rsid w:val="00D348EA"/>
    <w:rsid w:val="00D34AD9"/>
    <w:rsid w:val="00D34C14"/>
    <w:rsid w:val="00D34CF9"/>
    <w:rsid w:val="00D35091"/>
    <w:rsid w:val="00D35098"/>
    <w:rsid w:val="00D3510D"/>
    <w:rsid w:val="00D35853"/>
    <w:rsid w:val="00D35A6A"/>
    <w:rsid w:val="00D36019"/>
    <w:rsid w:val="00D364A8"/>
    <w:rsid w:val="00D36643"/>
    <w:rsid w:val="00D36899"/>
    <w:rsid w:val="00D36C88"/>
    <w:rsid w:val="00D36E95"/>
    <w:rsid w:val="00D37027"/>
    <w:rsid w:val="00D371AB"/>
    <w:rsid w:val="00D37449"/>
    <w:rsid w:val="00D37791"/>
    <w:rsid w:val="00D377AD"/>
    <w:rsid w:val="00D37AC2"/>
    <w:rsid w:val="00D37B9D"/>
    <w:rsid w:val="00D37E78"/>
    <w:rsid w:val="00D40069"/>
    <w:rsid w:val="00D40739"/>
    <w:rsid w:val="00D40A8C"/>
    <w:rsid w:val="00D41177"/>
    <w:rsid w:val="00D4121D"/>
    <w:rsid w:val="00D41743"/>
    <w:rsid w:val="00D4177C"/>
    <w:rsid w:val="00D418EA"/>
    <w:rsid w:val="00D41D75"/>
    <w:rsid w:val="00D41D99"/>
    <w:rsid w:val="00D41FB3"/>
    <w:rsid w:val="00D4219C"/>
    <w:rsid w:val="00D42603"/>
    <w:rsid w:val="00D42665"/>
    <w:rsid w:val="00D4267E"/>
    <w:rsid w:val="00D42CB3"/>
    <w:rsid w:val="00D43A57"/>
    <w:rsid w:val="00D43C5D"/>
    <w:rsid w:val="00D4400C"/>
    <w:rsid w:val="00D440A4"/>
    <w:rsid w:val="00D442CB"/>
    <w:rsid w:val="00D44490"/>
    <w:rsid w:val="00D4457D"/>
    <w:rsid w:val="00D44620"/>
    <w:rsid w:val="00D44B2D"/>
    <w:rsid w:val="00D44BA6"/>
    <w:rsid w:val="00D44EF4"/>
    <w:rsid w:val="00D44F78"/>
    <w:rsid w:val="00D45086"/>
    <w:rsid w:val="00D4511C"/>
    <w:rsid w:val="00D45783"/>
    <w:rsid w:val="00D45792"/>
    <w:rsid w:val="00D45D19"/>
    <w:rsid w:val="00D45E85"/>
    <w:rsid w:val="00D46139"/>
    <w:rsid w:val="00D46193"/>
    <w:rsid w:val="00D461A8"/>
    <w:rsid w:val="00D467F4"/>
    <w:rsid w:val="00D4690F"/>
    <w:rsid w:val="00D46953"/>
    <w:rsid w:val="00D470BA"/>
    <w:rsid w:val="00D471B0"/>
    <w:rsid w:val="00D47342"/>
    <w:rsid w:val="00D476EB"/>
    <w:rsid w:val="00D47BE0"/>
    <w:rsid w:val="00D47C69"/>
    <w:rsid w:val="00D47C84"/>
    <w:rsid w:val="00D502E3"/>
    <w:rsid w:val="00D50335"/>
    <w:rsid w:val="00D5034D"/>
    <w:rsid w:val="00D503C9"/>
    <w:rsid w:val="00D50685"/>
    <w:rsid w:val="00D508B2"/>
    <w:rsid w:val="00D50977"/>
    <w:rsid w:val="00D50A9E"/>
    <w:rsid w:val="00D50CFD"/>
    <w:rsid w:val="00D50E67"/>
    <w:rsid w:val="00D51C65"/>
    <w:rsid w:val="00D51D0F"/>
    <w:rsid w:val="00D524C4"/>
    <w:rsid w:val="00D525E5"/>
    <w:rsid w:val="00D52768"/>
    <w:rsid w:val="00D52C19"/>
    <w:rsid w:val="00D52E46"/>
    <w:rsid w:val="00D531B5"/>
    <w:rsid w:val="00D53316"/>
    <w:rsid w:val="00D533AE"/>
    <w:rsid w:val="00D5385A"/>
    <w:rsid w:val="00D5389D"/>
    <w:rsid w:val="00D53C8C"/>
    <w:rsid w:val="00D54009"/>
    <w:rsid w:val="00D54624"/>
    <w:rsid w:val="00D546B6"/>
    <w:rsid w:val="00D54921"/>
    <w:rsid w:val="00D54B95"/>
    <w:rsid w:val="00D54F26"/>
    <w:rsid w:val="00D550CB"/>
    <w:rsid w:val="00D55159"/>
    <w:rsid w:val="00D55220"/>
    <w:rsid w:val="00D55529"/>
    <w:rsid w:val="00D558FC"/>
    <w:rsid w:val="00D55F1E"/>
    <w:rsid w:val="00D55F50"/>
    <w:rsid w:val="00D561C4"/>
    <w:rsid w:val="00D56551"/>
    <w:rsid w:val="00D568A7"/>
    <w:rsid w:val="00D56AC9"/>
    <w:rsid w:val="00D56C5C"/>
    <w:rsid w:val="00D56F0A"/>
    <w:rsid w:val="00D570FC"/>
    <w:rsid w:val="00D57301"/>
    <w:rsid w:val="00D573AA"/>
    <w:rsid w:val="00D5742B"/>
    <w:rsid w:val="00D57477"/>
    <w:rsid w:val="00D5770C"/>
    <w:rsid w:val="00D578B7"/>
    <w:rsid w:val="00D579DF"/>
    <w:rsid w:val="00D57B91"/>
    <w:rsid w:val="00D57D5C"/>
    <w:rsid w:val="00D57F74"/>
    <w:rsid w:val="00D6037A"/>
    <w:rsid w:val="00D60706"/>
    <w:rsid w:val="00D6081C"/>
    <w:rsid w:val="00D60878"/>
    <w:rsid w:val="00D60988"/>
    <w:rsid w:val="00D6155E"/>
    <w:rsid w:val="00D616D3"/>
    <w:rsid w:val="00D61745"/>
    <w:rsid w:val="00D61C9E"/>
    <w:rsid w:val="00D61D3A"/>
    <w:rsid w:val="00D61DE4"/>
    <w:rsid w:val="00D61FCD"/>
    <w:rsid w:val="00D61FEA"/>
    <w:rsid w:val="00D621D1"/>
    <w:rsid w:val="00D623BD"/>
    <w:rsid w:val="00D623C1"/>
    <w:rsid w:val="00D62A42"/>
    <w:rsid w:val="00D62E0C"/>
    <w:rsid w:val="00D62FEA"/>
    <w:rsid w:val="00D6311C"/>
    <w:rsid w:val="00D633AB"/>
    <w:rsid w:val="00D63505"/>
    <w:rsid w:val="00D6363A"/>
    <w:rsid w:val="00D6369E"/>
    <w:rsid w:val="00D63772"/>
    <w:rsid w:val="00D63A56"/>
    <w:rsid w:val="00D63A98"/>
    <w:rsid w:val="00D63DEF"/>
    <w:rsid w:val="00D64072"/>
    <w:rsid w:val="00D64081"/>
    <w:rsid w:val="00D64306"/>
    <w:rsid w:val="00D6439B"/>
    <w:rsid w:val="00D6462E"/>
    <w:rsid w:val="00D64780"/>
    <w:rsid w:val="00D649C8"/>
    <w:rsid w:val="00D64A54"/>
    <w:rsid w:val="00D64B2F"/>
    <w:rsid w:val="00D64B34"/>
    <w:rsid w:val="00D64C6D"/>
    <w:rsid w:val="00D652EF"/>
    <w:rsid w:val="00D65310"/>
    <w:rsid w:val="00D65515"/>
    <w:rsid w:val="00D65866"/>
    <w:rsid w:val="00D65882"/>
    <w:rsid w:val="00D658BD"/>
    <w:rsid w:val="00D65B4D"/>
    <w:rsid w:val="00D65DC7"/>
    <w:rsid w:val="00D65DF5"/>
    <w:rsid w:val="00D66A03"/>
    <w:rsid w:val="00D66A3B"/>
    <w:rsid w:val="00D66C1D"/>
    <w:rsid w:val="00D66CD8"/>
    <w:rsid w:val="00D66CDB"/>
    <w:rsid w:val="00D66D49"/>
    <w:rsid w:val="00D66FA6"/>
    <w:rsid w:val="00D6732D"/>
    <w:rsid w:val="00D6750B"/>
    <w:rsid w:val="00D67645"/>
    <w:rsid w:val="00D6790C"/>
    <w:rsid w:val="00D67AE6"/>
    <w:rsid w:val="00D67D04"/>
    <w:rsid w:val="00D70174"/>
    <w:rsid w:val="00D702E8"/>
    <w:rsid w:val="00D702F7"/>
    <w:rsid w:val="00D704AD"/>
    <w:rsid w:val="00D70F95"/>
    <w:rsid w:val="00D71022"/>
    <w:rsid w:val="00D712C9"/>
    <w:rsid w:val="00D71362"/>
    <w:rsid w:val="00D716F9"/>
    <w:rsid w:val="00D71A0E"/>
    <w:rsid w:val="00D71BD3"/>
    <w:rsid w:val="00D71D62"/>
    <w:rsid w:val="00D71D9C"/>
    <w:rsid w:val="00D71F73"/>
    <w:rsid w:val="00D72494"/>
    <w:rsid w:val="00D7282D"/>
    <w:rsid w:val="00D73105"/>
    <w:rsid w:val="00D73501"/>
    <w:rsid w:val="00D73883"/>
    <w:rsid w:val="00D73E13"/>
    <w:rsid w:val="00D73ED6"/>
    <w:rsid w:val="00D74174"/>
    <w:rsid w:val="00D741D0"/>
    <w:rsid w:val="00D7450A"/>
    <w:rsid w:val="00D745AA"/>
    <w:rsid w:val="00D746EB"/>
    <w:rsid w:val="00D7489A"/>
    <w:rsid w:val="00D748F1"/>
    <w:rsid w:val="00D74C4E"/>
    <w:rsid w:val="00D7533F"/>
    <w:rsid w:val="00D753A9"/>
    <w:rsid w:val="00D7570D"/>
    <w:rsid w:val="00D75849"/>
    <w:rsid w:val="00D75ADC"/>
    <w:rsid w:val="00D75CF0"/>
    <w:rsid w:val="00D76039"/>
    <w:rsid w:val="00D760BE"/>
    <w:rsid w:val="00D7657C"/>
    <w:rsid w:val="00D76655"/>
    <w:rsid w:val="00D770C5"/>
    <w:rsid w:val="00D775A2"/>
    <w:rsid w:val="00D801F7"/>
    <w:rsid w:val="00D80366"/>
    <w:rsid w:val="00D805E5"/>
    <w:rsid w:val="00D80616"/>
    <w:rsid w:val="00D80999"/>
    <w:rsid w:val="00D80DA7"/>
    <w:rsid w:val="00D80EBF"/>
    <w:rsid w:val="00D8121B"/>
    <w:rsid w:val="00D812B8"/>
    <w:rsid w:val="00D818EA"/>
    <w:rsid w:val="00D81923"/>
    <w:rsid w:val="00D81ECD"/>
    <w:rsid w:val="00D81F02"/>
    <w:rsid w:val="00D81F0F"/>
    <w:rsid w:val="00D81F1B"/>
    <w:rsid w:val="00D82879"/>
    <w:rsid w:val="00D82BC6"/>
    <w:rsid w:val="00D82C7E"/>
    <w:rsid w:val="00D836D7"/>
    <w:rsid w:val="00D83759"/>
    <w:rsid w:val="00D83BC0"/>
    <w:rsid w:val="00D83C1F"/>
    <w:rsid w:val="00D84092"/>
    <w:rsid w:val="00D8409D"/>
    <w:rsid w:val="00D840E1"/>
    <w:rsid w:val="00D84293"/>
    <w:rsid w:val="00D848FB"/>
    <w:rsid w:val="00D84D96"/>
    <w:rsid w:val="00D84E6F"/>
    <w:rsid w:val="00D84F28"/>
    <w:rsid w:val="00D84F91"/>
    <w:rsid w:val="00D85020"/>
    <w:rsid w:val="00D85382"/>
    <w:rsid w:val="00D85437"/>
    <w:rsid w:val="00D8551C"/>
    <w:rsid w:val="00D85535"/>
    <w:rsid w:val="00D8561F"/>
    <w:rsid w:val="00D857A1"/>
    <w:rsid w:val="00D8591F"/>
    <w:rsid w:val="00D8595F"/>
    <w:rsid w:val="00D859B8"/>
    <w:rsid w:val="00D85AEC"/>
    <w:rsid w:val="00D85B7B"/>
    <w:rsid w:val="00D85D22"/>
    <w:rsid w:val="00D860A6"/>
    <w:rsid w:val="00D861F0"/>
    <w:rsid w:val="00D8642E"/>
    <w:rsid w:val="00D866FB"/>
    <w:rsid w:val="00D869EA"/>
    <w:rsid w:val="00D86FC0"/>
    <w:rsid w:val="00D870EE"/>
    <w:rsid w:val="00D87AE6"/>
    <w:rsid w:val="00D87B8F"/>
    <w:rsid w:val="00D901A0"/>
    <w:rsid w:val="00D902C7"/>
    <w:rsid w:val="00D904F0"/>
    <w:rsid w:val="00D90768"/>
    <w:rsid w:val="00D908F5"/>
    <w:rsid w:val="00D90907"/>
    <w:rsid w:val="00D90998"/>
    <w:rsid w:val="00D909B3"/>
    <w:rsid w:val="00D90ADA"/>
    <w:rsid w:val="00D91149"/>
    <w:rsid w:val="00D914D5"/>
    <w:rsid w:val="00D914F7"/>
    <w:rsid w:val="00D916BE"/>
    <w:rsid w:val="00D918AF"/>
    <w:rsid w:val="00D91AE1"/>
    <w:rsid w:val="00D91C11"/>
    <w:rsid w:val="00D91E35"/>
    <w:rsid w:val="00D92386"/>
    <w:rsid w:val="00D92675"/>
    <w:rsid w:val="00D92A22"/>
    <w:rsid w:val="00D92BF0"/>
    <w:rsid w:val="00D92CB3"/>
    <w:rsid w:val="00D92CDD"/>
    <w:rsid w:val="00D92F1E"/>
    <w:rsid w:val="00D92FCA"/>
    <w:rsid w:val="00D93259"/>
    <w:rsid w:val="00D93751"/>
    <w:rsid w:val="00D93B0A"/>
    <w:rsid w:val="00D93BB4"/>
    <w:rsid w:val="00D93D99"/>
    <w:rsid w:val="00D9428B"/>
    <w:rsid w:val="00D94796"/>
    <w:rsid w:val="00D94ED4"/>
    <w:rsid w:val="00D9508B"/>
    <w:rsid w:val="00D9546A"/>
    <w:rsid w:val="00D9548F"/>
    <w:rsid w:val="00D955C7"/>
    <w:rsid w:val="00D95931"/>
    <w:rsid w:val="00D95985"/>
    <w:rsid w:val="00D95C11"/>
    <w:rsid w:val="00D95D62"/>
    <w:rsid w:val="00D9613E"/>
    <w:rsid w:val="00D96530"/>
    <w:rsid w:val="00D9682E"/>
    <w:rsid w:val="00D96A71"/>
    <w:rsid w:val="00D96B78"/>
    <w:rsid w:val="00D96BF9"/>
    <w:rsid w:val="00D96D6D"/>
    <w:rsid w:val="00D97189"/>
    <w:rsid w:val="00D97309"/>
    <w:rsid w:val="00D97449"/>
    <w:rsid w:val="00D9764A"/>
    <w:rsid w:val="00D979CF"/>
    <w:rsid w:val="00D97A88"/>
    <w:rsid w:val="00D97A9A"/>
    <w:rsid w:val="00D97E3A"/>
    <w:rsid w:val="00DA023D"/>
    <w:rsid w:val="00DA02D8"/>
    <w:rsid w:val="00DA055F"/>
    <w:rsid w:val="00DA0736"/>
    <w:rsid w:val="00DA0863"/>
    <w:rsid w:val="00DA09BF"/>
    <w:rsid w:val="00DA0D90"/>
    <w:rsid w:val="00DA0E00"/>
    <w:rsid w:val="00DA1105"/>
    <w:rsid w:val="00DA11DA"/>
    <w:rsid w:val="00DA1220"/>
    <w:rsid w:val="00DA128E"/>
    <w:rsid w:val="00DA1A19"/>
    <w:rsid w:val="00DA1A2A"/>
    <w:rsid w:val="00DA1D64"/>
    <w:rsid w:val="00DA21A3"/>
    <w:rsid w:val="00DA2778"/>
    <w:rsid w:val="00DA2889"/>
    <w:rsid w:val="00DA2A15"/>
    <w:rsid w:val="00DA2D9A"/>
    <w:rsid w:val="00DA2DE3"/>
    <w:rsid w:val="00DA2F63"/>
    <w:rsid w:val="00DA3DDC"/>
    <w:rsid w:val="00DA3F9D"/>
    <w:rsid w:val="00DA3FA9"/>
    <w:rsid w:val="00DA4230"/>
    <w:rsid w:val="00DA43C5"/>
    <w:rsid w:val="00DA476B"/>
    <w:rsid w:val="00DA50C2"/>
    <w:rsid w:val="00DA546C"/>
    <w:rsid w:val="00DA55BF"/>
    <w:rsid w:val="00DA5D83"/>
    <w:rsid w:val="00DA5E29"/>
    <w:rsid w:val="00DA5FE9"/>
    <w:rsid w:val="00DA6243"/>
    <w:rsid w:val="00DA6734"/>
    <w:rsid w:val="00DA6827"/>
    <w:rsid w:val="00DA6858"/>
    <w:rsid w:val="00DA6AB8"/>
    <w:rsid w:val="00DA6D04"/>
    <w:rsid w:val="00DA6D1A"/>
    <w:rsid w:val="00DA6D75"/>
    <w:rsid w:val="00DA71C5"/>
    <w:rsid w:val="00DA724C"/>
    <w:rsid w:val="00DA747A"/>
    <w:rsid w:val="00DA767C"/>
    <w:rsid w:val="00DA7878"/>
    <w:rsid w:val="00DB01EB"/>
    <w:rsid w:val="00DB0289"/>
    <w:rsid w:val="00DB02BC"/>
    <w:rsid w:val="00DB0571"/>
    <w:rsid w:val="00DB09F9"/>
    <w:rsid w:val="00DB0F2B"/>
    <w:rsid w:val="00DB0F71"/>
    <w:rsid w:val="00DB10D4"/>
    <w:rsid w:val="00DB1101"/>
    <w:rsid w:val="00DB114F"/>
    <w:rsid w:val="00DB1410"/>
    <w:rsid w:val="00DB17A5"/>
    <w:rsid w:val="00DB18D1"/>
    <w:rsid w:val="00DB1999"/>
    <w:rsid w:val="00DB1D1F"/>
    <w:rsid w:val="00DB1D26"/>
    <w:rsid w:val="00DB1D91"/>
    <w:rsid w:val="00DB1E62"/>
    <w:rsid w:val="00DB1E73"/>
    <w:rsid w:val="00DB20B6"/>
    <w:rsid w:val="00DB2182"/>
    <w:rsid w:val="00DB238B"/>
    <w:rsid w:val="00DB23B6"/>
    <w:rsid w:val="00DB246F"/>
    <w:rsid w:val="00DB259A"/>
    <w:rsid w:val="00DB279E"/>
    <w:rsid w:val="00DB2A4B"/>
    <w:rsid w:val="00DB2C4E"/>
    <w:rsid w:val="00DB2E01"/>
    <w:rsid w:val="00DB2E9A"/>
    <w:rsid w:val="00DB2F26"/>
    <w:rsid w:val="00DB2FFB"/>
    <w:rsid w:val="00DB33DD"/>
    <w:rsid w:val="00DB35B3"/>
    <w:rsid w:val="00DB361D"/>
    <w:rsid w:val="00DB383C"/>
    <w:rsid w:val="00DB3971"/>
    <w:rsid w:val="00DB398A"/>
    <w:rsid w:val="00DB3E1A"/>
    <w:rsid w:val="00DB4495"/>
    <w:rsid w:val="00DB4517"/>
    <w:rsid w:val="00DB4792"/>
    <w:rsid w:val="00DB4847"/>
    <w:rsid w:val="00DB4D7C"/>
    <w:rsid w:val="00DB4E9C"/>
    <w:rsid w:val="00DB50BA"/>
    <w:rsid w:val="00DB5297"/>
    <w:rsid w:val="00DB52C0"/>
    <w:rsid w:val="00DB5475"/>
    <w:rsid w:val="00DB55E3"/>
    <w:rsid w:val="00DB587B"/>
    <w:rsid w:val="00DB5B1F"/>
    <w:rsid w:val="00DB5BEB"/>
    <w:rsid w:val="00DB5FA2"/>
    <w:rsid w:val="00DB6414"/>
    <w:rsid w:val="00DB64DE"/>
    <w:rsid w:val="00DB68AF"/>
    <w:rsid w:val="00DB6F2F"/>
    <w:rsid w:val="00DB72C5"/>
    <w:rsid w:val="00DB7587"/>
    <w:rsid w:val="00DB7603"/>
    <w:rsid w:val="00DB77D3"/>
    <w:rsid w:val="00DB788E"/>
    <w:rsid w:val="00DB7BFD"/>
    <w:rsid w:val="00DB7D81"/>
    <w:rsid w:val="00DC0112"/>
    <w:rsid w:val="00DC0226"/>
    <w:rsid w:val="00DC098D"/>
    <w:rsid w:val="00DC0A5D"/>
    <w:rsid w:val="00DC0BC1"/>
    <w:rsid w:val="00DC0CAB"/>
    <w:rsid w:val="00DC1317"/>
    <w:rsid w:val="00DC15F2"/>
    <w:rsid w:val="00DC1B80"/>
    <w:rsid w:val="00DC1BE5"/>
    <w:rsid w:val="00DC1CB0"/>
    <w:rsid w:val="00DC1EE5"/>
    <w:rsid w:val="00DC2117"/>
    <w:rsid w:val="00DC221E"/>
    <w:rsid w:val="00DC24AB"/>
    <w:rsid w:val="00DC26B8"/>
    <w:rsid w:val="00DC2B6D"/>
    <w:rsid w:val="00DC2F64"/>
    <w:rsid w:val="00DC30B9"/>
    <w:rsid w:val="00DC3247"/>
    <w:rsid w:val="00DC32CA"/>
    <w:rsid w:val="00DC33AF"/>
    <w:rsid w:val="00DC346A"/>
    <w:rsid w:val="00DC348A"/>
    <w:rsid w:val="00DC3662"/>
    <w:rsid w:val="00DC37AA"/>
    <w:rsid w:val="00DC39A4"/>
    <w:rsid w:val="00DC3CCB"/>
    <w:rsid w:val="00DC3DA7"/>
    <w:rsid w:val="00DC3DEC"/>
    <w:rsid w:val="00DC3E08"/>
    <w:rsid w:val="00DC3EAF"/>
    <w:rsid w:val="00DC3F3F"/>
    <w:rsid w:val="00DC4376"/>
    <w:rsid w:val="00DC44CE"/>
    <w:rsid w:val="00DC44F7"/>
    <w:rsid w:val="00DC47CC"/>
    <w:rsid w:val="00DC47DB"/>
    <w:rsid w:val="00DC489D"/>
    <w:rsid w:val="00DC494A"/>
    <w:rsid w:val="00DC4E6A"/>
    <w:rsid w:val="00DC4FA6"/>
    <w:rsid w:val="00DC4FAD"/>
    <w:rsid w:val="00DC502D"/>
    <w:rsid w:val="00DC53DD"/>
    <w:rsid w:val="00DC558C"/>
    <w:rsid w:val="00DC5846"/>
    <w:rsid w:val="00DC5ADD"/>
    <w:rsid w:val="00DC5DC8"/>
    <w:rsid w:val="00DC6112"/>
    <w:rsid w:val="00DC613C"/>
    <w:rsid w:val="00DC66F2"/>
    <w:rsid w:val="00DC67B9"/>
    <w:rsid w:val="00DC6C52"/>
    <w:rsid w:val="00DC700E"/>
    <w:rsid w:val="00DC739F"/>
    <w:rsid w:val="00DC77C9"/>
    <w:rsid w:val="00DC784A"/>
    <w:rsid w:val="00DC7AD8"/>
    <w:rsid w:val="00DC7E7B"/>
    <w:rsid w:val="00DC7FCC"/>
    <w:rsid w:val="00DD0093"/>
    <w:rsid w:val="00DD019F"/>
    <w:rsid w:val="00DD0293"/>
    <w:rsid w:val="00DD037E"/>
    <w:rsid w:val="00DD0974"/>
    <w:rsid w:val="00DD0B25"/>
    <w:rsid w:val="00DD0DEE"/>
    <w:rsid w:val="00DD119B"/>
    <w:rsid w:val="00DD1695"/>
    <w:rsid w:val="00DD191C"/>
    <w:rsid w:val="00DD1D28"/>
    <w:rsid w:val="00DD1D8B"/>
    <w:rsid w:val="00DD1E56"/>
    <w:rsid w:val="00DD2032"/>
    <w:rsid w:val="00DD24C0"/>
    <w:rsid w:val="00DD255A"/>
    <w:rsid w:val="00DD261D"/>
    <w:rsid w:val="00DD2A7A"/>
    <w:rsid w:val="00DD2DAB"/>
    <w:rsid w:val="00DD2DD3"/>
    <w:rsid w:val="00DD2DFA"/>
    <w:rsid w:val="00DD3642"/>
    <w:rsid w:val="00DD38E1"/>
    <w:rsid w:val="00DD3DAC"/>
    <w:rsid w:val="00DD4086"/>
    <w:rsid w:val="00DD42B9"/>
    <w:rsid w:val="00DD4493"/>
    <w:rsid w:val="00DD44BD"/>
    <w:rsid w:val="00DD4527"/>
    <w:rsid w:val="00DD4717"/>
    <w:rsid w:val="00DD4786"/>
    <w:rsid w:val="00DD4A4F"/>
    <w:rsid w:val="00DD4C06"/>
    <w:rsid w:val="00DD4EC0"/>
    <w:rsid w:val="00DD4F10"/>
    <w:rsid w:val="00DD5282"/>
    <w:rsid w:val="00DD53DE"/>
    <w:rsid w:val="00DD5451"/>
    <w:rsid w:val="00DD54C2"/>
    <w:rsid w:val="00DD5512"/>
    <w:rsid w:val="00DD59C9"/>
    <w:rsid w:val="00DD5A2A"/>
    <w:rsid w:val="00DD5A8D"/>
    <w:rsid w:val="00DD5B8C"/>
    <w:rsid w:val="00DD5E8E"/>
    <w:rsid w:val="00DD5FEF"/>
    <w:rsid w:val="00DD62DE"/>
    <w:rsid w:val="00DD6578"/>
    <w:rsid w:val="00DD6772"/>
    <w:rsid w:val="00DD6968"/>
    <w:rsid w:val="00DD6B65"/>
    <w:rsid w:val="00DD6F1B"/>
    <w:rsid w:val="00DD7307"/>
    <w:rsid w:val="00DD737C"/>
    <w:rsid w:val="00DD7571"/>
    <w:rsid w:val="00DD77B5"/>
    <w:rsid w:val="00DD7807"/>
    <w:rsid w:val="00DD796A"/>
    <w:rsid w:val="00DD7B8D"/>
    <w:rsid w:val="00DD7CBC"/>
    <w:rsid w:val="00DD7D9D"/>
    <w:rsid w:val="00DD7E95"/>
    <w:rsid w:val="00DE010D"/>
    <w:rsid w:val="00DE0364"/>
    <w:rsid w:val="00DE0375"/>
    <w:rsid w:val="00DE044C"/>
    <w:rsid w:val="00DE0485"/>
    <w:rsid w:val="00DE0B07"/>
    <w:rsid w:val="00DE0C59"/>
    <w:rsid w:val="00DE0CF2"/>
    <w:rsid w:val="00DE0D6A"/>
    <w:rsid w:val="00DE111A"/>
    <w:rsid w:val="00DE1199"/>
    <w:rsid w:val="00DE123C"/>
    <w:rsid w:val="00DE13BC"/>
    <w:rsid w:val="00DE140F"/>
    <w:rsid w:val="00DE1463"/>
    <w:rsid w:val="00DE1B87"/>
    <w:rsid w:val="00DE22F8"/>
    <w:rsid w:val="00DE2733"/>
    <w:rsid w:val="00DE29A4"/>
    <w:rsid w:val="00DE2A57"/>
    <w:rsid w:val="00DE2B6F"/>
    <w:rsid w:val="00DE2D6F"/>
    <w:rsid w:val="00DE2FA9"/>
    <w:rsid w:val="00DE308E"/>
    <w:rsid w:val="00DE3156"/>
    <w:rsid w:val="00DE31EE"/>
    <w:rsid w:val="00DE3779"/>
    <w:rsid w:val="00DE3BCD"/>
    <w:rsid w:val="00DE3C7C"/>
    <w:rsid w:val="00DE3FDA"/>
    <w:rsid w:val="00DE4531"/>
    <w:rsid w:val="00DE4A6C"/>
    <w:rsid w:val="00DE4B89"/>
    <w:rsid w:val="00DE52B5"/>
    <w:rsid w:val="00DE52DB"/>
    <w:rsid w:val="00DE5A92"/>
    <w:rsid w:val="00DE5B28"/>
    <w:rsid w:val="00DE5B60"/>
    <w:rsid w:val="00DE5D36"/>
    <w:rsid w:val="00DE5DA1"/>
    <w:rsid w:val="00DE6085"/>
    <w:rsid w:val="00DE60E6"/>
    <w:rsid w:val="00DE64F0"/>
    <w:rsid w:val="00DE663F"/>
    <w:rsid w:val="00DE67E9"/>
    <w:rsid w:val="00DE6846"/>
    <w:rsid w:val="00DE69E7"/>
    <w:rsid w:val="00DE6A08"/>
    <w:rsid w:val="00DE6B9C"/>
    <w:rsid w:val="00DE7757"/>
    <w:rsid w:val="00DE780D"/>
    <w:rsid w:val="00DE7A06"/>
    <w:rsid w:val="00DE7AED"/>
    <w:rsid w:val="00DE7C43"/>
    <w:rsid w:val="00DE7CD8"/>
    <w:rsid w:val="00DE7D8A"/>
    <w:rsid w:val="00DF00F1"/>
    <w:rsid w:val="00DF0B60"/>
    <w:rsid w:val="00DF0C82"/>
    <w:rsid w:val="00DF0D75"/>
    <w:rsid w:val="00DF13B0"/>
    <w:rsid w:val="00DF195F"/>
    <w:rsid w:val="00DF19C3"/>
    <w:rsid w:val="00DF1D83"/>
    <w:rsid w:val="00DF24B0"/>
    <w:rsid w:val="00DF277F"/>
    <w:rsid w:val="00DF2840"/>
    <w:rsid w:val="00DF2FEA"/>
    <w:rsid w:val="00DF33C4"/>
    <w:rsid w:val="00DF36EF"/>
    <w:rsid w:val="00DF383F"/>
    <w:rsid w:val="00DF3ACB"/>
    <w:rsid w:val="00DF3D4F"/>
    <w:rsid w:val="00DF42BE"/>
    <w:rsid w:val="00DF4391"/>
    <w:rsid w:val="00DF44B6"/>
    <w:rsid w:val="00DF49CC"/>
    <w:rsid w:val="00DF4E13"/>
    <w:rsid w:val="00DF4E59"/>
    <w:rsid w:val="00DF50AE"/>
    <w:rsid w:val="00DF5459"/>
    <w:rsid w:val="00DF557F"/>
    <w:rsid w:val="00DF563A"/>
    <w:rsid w:val="00DF5BC2"/>
    <w:rsid w:val="00DF614B"/>
    <w:rsid w:val="00DF62B2"/>
    <w:rsid w:val="00DF67DC"/>
    <w:rsid w:val="00DF6AE0"/>
    <w:rsid w:val="00DF6B24"/>
    <w:rsid w:val="00DF6B5C"/>
    <w:rsid w:val="00DF6F61"/>
    <w:rsid w:val="00DF6FA4"/>
    <w:rsid w:val="00DF720B"/>
    <w:rsid w:val="00DF7243"/>
    <w:rsid w:val="00DF7415"/>
    <w:rsid w:val="00DF795F"/>
    <w:rsid w:val="00E004B6"/>
    <w:rsid w:val="00E00701"/>
    <w:rsid w:val="00E007AB"/>
    <w:rsid w:val="00E009D8"/>
    <w:rsid w:val="00E00E24"/>
    <w:rsid w:val="00E01D14"/>
    <w:rsid w:val="00E01F12"/>
    <w:rsid w:val="00E020D4"/>
    <w:rsid w:val="00E022BE"/>
    <w:rsid w:val="00E02472"/>
    <w:rsid w:val="00E02E35"/>
    <w:rsid w:val="00E03165"/>
    <w:rsid w:val="00E03261"/>
    <w:rsid w:val="00E032E1"/>
    <w:rsid w:val="00E0359E"/>
    <w:rsid w:val="00E0374D"/>
    <w:rsid w:val="00E03927"/>
    <w:rsid w:val="00E03984"/>
    <w:rsid w:val="00E040CB"/>
    <w:rsid w:val="00E046C5"/>
    <w:rsid w:val="00E04C0D"/>
    <w:rsid w:val="00E04D4A"/>
    <w:rsid w:val="00E04DAF"/>
    <w:rsid w:val="00E05448"/>
    <w:rsid w:val="00E059FD"/>
    <w:rsid w:val="00E0634A"/>
    <w:rsid w:val="00E063F7"/>
    <w:rsid w:val="00E06634"/>
    <w:rsid w:val="00E06D37"/>
    <w:rsid w:val="00E06F78"/>
    <w:rsid w:val="00E0715D"/>
    <w:rsid w:val="00E073FE"/>
    <w:rsid w:val="00E075DB"/>
    <w:rsid w:val="00E078DA"/>
    <w:rsid w:val="00E07CDB"/>
    <w:rsid w:val="00E10346"/>
    <w:rsid w:val="00E10BB2"/>
    <w:rsid w:val="00E10EB5"/>
    <w:rsid w:val="00E10FA8"/>
    <w:rsid w:val="00E11317"/>
    <w:rsid w:val="00E11579"/>
    <w:rsid w:val="00E11C8B"/>
    <w:rsid w:val="00E1263A"/>
    <w:rsid w:val="00E1267A"/>
    <w:rsid w:val="00E12785"/>
    <w:rsid w:val="00E127E3"/>
    <w:rsid w:val="00E12910"/>
    <w:rsid w:val="00E12A13"/>
    <w:rsid w:val="00E12CE2"/>
    <w:rsid w:val="00E12EB0"/>
    <w:rsid w:val="00E12FE7"/>
    <w:rsid w:val="00E130FA"/>
    <w:rsid w:val="00E13536"/>
    <w:rsid w:val="00E13669"/>
    <w:rsid w:val="00E136E7"/>
    <w:rsid w:val="00E13D43"/>
    <w:rsid w:val="00E13F9B"/>
    <w:rsid w:val="00E14050"/>
    <w:rsid w:val="00E14563"/>
    <w:rsid w:val="00E1493B"/>
    <w:rsid w:val="00E14AAC"/>
    <w:rsid w:val="00E14B4E"/>
    <w:rsid w:val="00E14E9E"/>
    <w:rsid w:val="00E1518B"/>
    <w:rsid w:val="00E151C4"/>
    <w:rsid w:val="00E154B4"/>
    <w:rsid w:val="00E156BD"/>
    <w:rsid w:val="00E1588A"/>
    <w:rsid w:val="00E15BD2"/>
    <w:rsid w:val="00E15E78"/>
    <w:rsid w:val="00E16030"/>
    <w:rsid w:val="00E164BF"/>
    <w:rsid w:val="00E16AF2"/>
    <w:rsid w:val="00E1712E"/>
    <w:rsid w:val="00E1752E"/>
    <w:rsid w:val="00E17814"/>
    <w:rsid w:val="00E17C52"/>
    <w:rsid w:val="00E17D4D"/>
    <w:rsid w:val="00E17E12"/>
    <w:rsid w:val="00E200A1"/>
    <w:rsid w:val="00E2025D"/>
    <w:rsid w:val="00E2087F"/>
    <w:rsid w:val="00E20C3F"/>
    <w:rsid w:val="00E211F0"/>
    <w:rsid w:val="00E21458"/>
    <w:rsid w:val="00E21488"/>
    <w:rsid w:val="00E2149E"/>
    <w:rsid w:val="00E21868"/>
    <w:rsid w:val="00E21E66"/>
    <w:rsid w:val="00E22018"/>
    <w:rsid w:val="00E22020"/>
    <w:rsid w:val="00E22976"/>
    <w:rsid w:val="00E22AF5"/>
    <w:rsid w:val="00E22BC0"/>
    <w:rsid w:val="00E22F4B"/>
    <w:rsid w:val="00E235F2"/>
    <w:rsid w:val="00E23828"/>
    <w:rsid w:val="00E23A2C"/>
    <w:rsid w:val="00E23C40"/>
    <w:rsid w:val="00E23CF3"/>
    <w:rsid w:val="00E23ED7"/>
    <w:rsid w:val="00E24121"/>
    <w:rsid w:val="00E24629"/>
    <w:rsid w:val="00E2467D"/>
    <w:rsid w:val="00E24B0A"/>
    <w:rsid w:val="00E24D27"/>
    <w:rsid w:val="00E25161"/>
    <w:rsid w:val="00E252BA"/>
    <w:rsid w:val="00E255AE"/>
    <w:rsid w:val="00E25A87"/>
    <w:rsid w:val="00E261C8"/>
    <w:rsid w:val="00E268D0"/>
    <w:rsid w:val="00E26A5C"/>
    <w:rsid w:val="00E26CC5"/>
    <w:rsid w:val="00E26E08"/>
    <w:rsid w:val="00E26E0D"/>
    <w:rsid w:val="00E2734E"/>
    <w:rsid w:val="00E27608"/>
    <w:rsid w:val="00E27704"/>
    <w:rsid w:val="00E27A1D"/>
    <w:rsid w:val="00E27A70"/>
    <w:rsid w:val="00E27B38"/>
    <w:rsid w:val="00E27D13"/>
    <w:rsid w:val="00E30182"/>
    <w:rsid w:val="00E30444"/>
    <w:rsid w:val="00E30668"/>
    <w:rsid w:val="00E3079E"/>
    <w:rsid w:val="00E30A98"/>
    <w:rsid w:val="00E30C4E"/>
    <w:rsid w:val="00E30C71"/>
    <w:rsid w:val="00E3116A"/>
    <w:rsid w:val="00E3118A"/>
    <w:rsid w:val="00E311E1"/>
    <w:rsid w:val="00E31776"/>
    <w:rsid w:val="00E318CC"/>
    <w:rsid w:val="00E31C9C"/>
    <w:rsid w:val="00E31D40"/>
    <w:rsid w:val="00E31DA1"/>
    <w:rsid w:val="00E31E1D"/>
    <w:rsid w:val="00E31E65"/>
    <w:rsid w:val="00E321A7"/>
    <w:rsid w:val="00E321BB"/>
    <w:rsid w:val="00E32475"/>
    <w:rsid w:val="00E325DA"/>
    <w:rsid w:val="00E32C00"/>
    <w:rsid w:val="00E32D4C"/>
    <w:rsid w:val="00E32DE3"/>
    <w:rsid w:val="00E330A1"/>
    <w:rsid w:val="00E334A9"/>
    <w:rsid w:val="00E33507"/>
    <w:rsid w:val="00E335F6"/>
    <w:rsid w:val="00E3363D"/>
    <w:rsid w:val="00E33E21"/>
    <w:rsid w:val="00E33F79"/>
    <w:rsid w:val="00E34430"/>
    <w:rsid w:val="00E344F7"/>
    <w:rsid w:val="00E3451D"/>
    <w:rsid w:val="00E34CB3"/>
    <w:rsid w:val="00E34F44"/>
    <w:rsid w:val="00E354C1"/>
    <w:rsid w:val="00E357D4"/>
    <w:rsid w:val="00E358A0"/>
    <w:rsid w:val="00E358AB"/>
    <w:rsid w:val="00E359C3"/>
    <w:rsid w:val="00E35C1C"/>
    <w:rsid w:val="00E35E5F"/>
    <w:rsid w:val="00E360FA"/>
    <w:rsid w:val="00E361F6"/>
    <w:rsid w:val="00E363A1"/>
    <w:rsid w:val="00E367F9"/>
    <w:rsid w:val="00E36A75"/>
    <w:rsid w:val="00E36ACF"/>
    <w:rsid w:val="00E36B10"/>
    <w:rsid w:val="00E36CFA"/>
    <w:rsid w:val="00E36D37"/>
    <w:rsid w:val="00E36EE9"/>
    <w:rsid w:val="00E37095"/>
    <w:rsid w:val="00E37113"/>
    <w:rsid w:val="00E3719A"/>
    <w:rsid w:val="00E37287"/>
    <w:rsid w:val="00E372E2"/>
    <w:rsid w:val="00E37385"/>
    <w:rsid w:val="00E37545"/>
    <w:rsid w:val="00E377F5"/>
    <w:rsid w:val="00E378AE"/>
    <w:rsid w:val="00E379E5"/>
    <w:rsid w:val="00E37D6C"/>
    <w:rsid w:val="00E37E76"/>
    <w:rsid w:val="00E40B4C"/>
    <w:rsid w:val="00E40C99"/>
    <w:rsid w:val="00E41005"/>
    <w:rsid w:val="00E41312"/>
    <w:rsid w:val="00E41389"/>
    <w:rsid w:val="00E413B8"/>
    <w:rsid w:val="00E4164E"/>
    <w:rsid w:val="00E41F01"/>
    <w:rsid w:val="00E4213B"/>
    <w:rsid w:val="00E423F8"/>
    <w:rsid w:val="00E425E6"/>
    <w:rsid w:val="00E429B8"/>
    <w:rsid w:val="00E42B8B"/>
    <w:rsid w:val="00E42C1A"/>
    <w:rsid w:val="00E42E11"/>
    <w:rsid w:val="00E42EBA"/>
    <w:rsid w:val="00E43091"/>
    <w:rsid w:val="00E43170"/>
    <w:rsid w:val="00E43257"/>
    <w:rsid w:val="00E432D1"/>
    <w:rsid w:val="00E43349"/>
    <w:rsid w:val="00E43353"/>
    <w:rsid w:val="00E43385"/>
    <w:rsid w:val="00E4377F"/>
    <w:rsid w:val="00E43A8B"/>
    <w:rsid w:val="00E43B21"/>
    <w:rsid w:val="00E43E90"/>
    <w:rsid w:val="00E441F0"/>
    <w:rsid w:val="00E44207"/>
    <w:rsid w:val="00E44785"/>
    <w:rsid w:val="00E44AB4"/>
    <w:rsid w:val="00E44B6F"/>
    <w:rsid w:val="00E44B87"/>
    <w:rsid w:val="00E44D14"/>
    <w:rsid w:val="00E44D48"/>
    <w:rsid w:val="00E450D9"/>
    <w:rsid w:val="00E451D5"/>
    <w:rsid w:val="00E456CE"/>
    <w:rsid w:val="00E45884"/>
    <w:rsid w:val="00E45F04"/>
    <w:rsid w:val="00E4657B"/>
    <w:rsid w:val="00E465CD"/>
    <w:rsid w:val="00E46B27"/>
    <w:rsid w:val="00E46C9E"/>
    <w:rsid w:val="00E46D3D"/>
    <w:rsid w:val="00E46ED6"/>
    <w:rsid w:val="00E47508"/>
    <w:rsid w:val="00E47939"/>
    <w:rsid w:val="00E479EC"/>
    <w:rsid w:val="00E5018F"/>
    <w:rsid w:val="00E50230"/>
    <w:rsid w:val="00E5029D"/>
    <w:rsid w:val="00E503F2"/>
    <w:rsid w:val="00E505A5"/>
    <w:rsid w:val="00E506CA"/>
    <w:rsid w:val="00E50A96"/>
    <w:rsid w:val="00E50C8B"/>
    <w:rsid w:val="00E50D93"/>
    <w:rsid w:val="00E50E65"/>
    <w:rsid w:val="00E510DB"/>
    <w:rsid w:val="00E51464"/>
    <w:rsid w:val="00E5152C"/>
    <w:rsid w:val="00E51741"/>
    <w:rsid w:val="00E51773"/>
    <w:rsid w:val="00E51B42"/>
    <w:rsid w:val="00E51EFC"/>
    <w:rsid w:val="00E51F6D"/>
    <w:rsid w:val="00E520E6"/>
    <w:rsid w:val="00E523AA"/>
    <w:rsid w:val="00E526E2"/>
    <w:rsid w:val="00E52852"/>
    <w:rsid w:val="00E529BB"/>
    <w:rsid w:val="00E52A67"/>
    <w:rsid w:val="00E52ACF"/>
    <w:rsid w:val="00E52BDA"/>
    <w:rsid w:val="00E52F66"/>
    <w:rsid w:val="00E531F1"/>
    <w:rsid w:val="00E53304"/>
    <w:rsid w:val="00E5376B"/>
    <w:rsid w:val="00E53877"/>
    <w:rsid w:val="00E53A03"/>
    <w:rsid w:val="00E53BB8"/>
    <w:rsid w:val="00E53FC4"/>
    <w:rsid w:val="00E54212"/>
    <w:rsid w:val="00E5449C"/>
    <w:rsid w:val="00E54598"/>
    <w:rsid w:val="00E545D5"/>
    <w:rsid w:val="00E54880"/>
    <w:rsid w:val="00E54A89"/>
    <w:rsid w:val="00E54C5E"/>
    <w:rsid w:val="00E54D23"/>
    <w:rsid w:val="00E54F88"/>
    <w:rsid w:val="00E54FC8"/>
    <w:rsid w:val="00E5551B"/>
    <w:rsid w:val="00E5562F"/>
    <w:rsid w:val="00E55AEF"/>
    <w:rsid w:val="00E55B60"/>
    <w:rsid w:val="00E55C2A"/>
    <w:rsid w:val="00E55D95"/>
    <w:rsid w:val="00E564DA"/>
    <w:rsid w:val="00E5654E"/>
    <w:rsid w:val="00E56AD6"/>
    <w:rsid w:val="00E56B5D"/>
    <w:rsid w:val="00E56DE9"/>
    <w:rsid w:val="00E56EA3"/>
    <w:rsid w:val="00E56F5A"/>
    <w:rsid w:val="00E57539"/>
    <w:rsid w:val="00E5795D"/>
    <w:rsid w:val="00E57BC2"/>
    <w:rsid w:val="00E57BFA"/>
    <w:rsid w:val="00E57CDF"/>
    <w:rsid w:val="00E6007D"/>
    <w:rsid w:val="00E600E5"/>
    <w:rsid w:val="00E60300"/>
    <w:rsid w:val="00E60324"/>
    <w:rsid w:val="00E60574"/>
    <w:rsid w:val="00E606B7"/>
    <w:rsid w:val="00E60F96"/>
    <w:rsid w:val="00E61326"/>
    <w:rsid w:val="00E61529"/>
    <w:rsid w:val="00E618A5"/>
    <w:rsid w:val="00E61DDE"/>
    <w:rsid w:val="00E61E35"/>
    <w:rsid w:val="00E61EBC"/>
    <w:rsid w:val="00E620BC"/>
    <w:rsid w:val="00E621CB"/>
    <w:rsid w:val="00E6288B"/>
    <w:rsid w:val="00E62A98"/>
    <w:rsid w:val="00E62E3A"/>
    <w:rsid w:val="00E6392F"/>
    <w:rsid w:val="00E63C4C"/>
    <w:rsid w:val="00E63E52"/>
    <w:rsid w:val="00E64A06"/>
    <w:rsid w:val="00E64D6B"/>
    <w:rsid w:val="00E64F88"/>
    <w:rsid w:val="00E650FA"/>
    <w:rsid w:val="00E6516A"/>
    <w:rsid w:val="00E651A4"/>
    <w:rsid w:val="00E65217"/>
    <w:rsid w:val="00E655F1"/>
    <w:rsid w:val="00E658CE"/>
    <w:rsid w:val="00E65B3B"/>
    <w:rsid w:val="00E65D56"/>
    <w:rsid w:val="00E65F61"/>
    <w:rsid w:val="00E65F63"/>
    <w:rsid w:val="00E6654D"/>
    <w:rsid w:val="00E6676F"/>
    <w:rsid w:val="00E668B3"/>
    <w:rsid w:val="00E66928"/>
    <w:rsid w:val="00E66B14"/>
    <w:rsid w:val="00E66FA9"/>
    <w:rsid w:val="00E67232"/>
    <w:rsid w:val="00E675AC"/>
    <w:rsid w:val="00E6787E"/>
    <w:rsid w:val="00E7022C"/>
    <w:rsid w:val="00E702AE"/>
    <w:rsid w:val="00E70750"/>
    <w:rsid w:val="00E70AD8"/>
    <w:rsid w:val="00E70E1A"/>
    <w:rsid w:val="00E71268"/>
    <w:rsid w:val="00E71403"/>
    <w:rsid w:val="00E71504"/>
    <w:rsid w:val="00E715F4"/>
    <w:rsid w:val="00E71699"/>
    <w:rsid w:val="00E71834"/>
    <w:rsid w:val="00E7185A"/>
    <w:rsid w:val="00E71965"/>
    <w:rsid w:val="00E71A4E"/>
    <w:rsid w:val="00E71D40"/>
    <w:rsid w:val="00E71E15"/>
    <w:rsid w:val="00E71EE2"/>
    <w:rsid w:val="00E726AE"/>
    <w:rsid w:val="00E7274A"/>
    <w:rsid w:val="00E7283A"/>
    <w:rsid w:val="00E729FC"/>
    <w:rsid w:val="00E72C15"/>
    <w:rsid w:val="00E72FA1"/>
    <w:rsid w:val="00E73550"/>
    <w:rsid w:val="00E736A8"/>
    <w:rsid w:val="00E73913"/>
    <w:rsid w:val="00E739D8"/>
    <w:rsid w:val="00E739E8"/>
    <w:rsid w:val="00E73B84"/>
    <w:rsid w:val="00E73C76"/>
    <w:rsid w:val="00E73EC5"/>
    <w:rsid w:val="00E73F50"/>
    <w:rsid w:val="00E74E32"/>
    <w:rsid w:val="00E74E5E"/>
    <w:rsid w:val="00E757AD"/>
    <w:rsid w:val="00E7596C"/>
    <w:rsid w:val="00E759C7"/>
    <w:rsid w:val="00E75A3D"/>
    <w:rsid w:val="00E75AC1"/>
    <w:rsid w:val="00E75DC4"/>
    <w:rsid w:val="00E75DF7"/>
    <w:rsid w:val="00E76058"/>
    <w:rsid w:val="00E764E5"/>
    <w:rsid w:val="00E7674A"/>
    <w:rsid w:val="00E768BD"/>
    <w:rsid w:val="00E76993"/>
    <w:rsid w:val="00E76D28"/>
    <w:rsid w:val="00E77052"/>
    <w:rsid w:val="00E7759D"/>
    <w:rsid w:val="00E77606"/>
    <w:rsid w:val="00E779AD"/>
    <w:rsid w:val="00E805F7"/>
    <w:rsid w:val="00E80699"/>
    <w:rsid w:val="00E80779"/>
    <w:rsid w:val="00E80E39"/>
    <w:rsid w:val="00E80FAD"/>
    <w:rsid w:val="00E80FB0"/>
    <w:rsid w:val="00E8108F"/>
    <w:rsid w:val="00E813F5"/>
    <w:rsid w:val="00E81812"/>
    <w:rsid w:val="00E81B36"/>
    <w:rsid w:val="00E82141"/>
    <w:rsid w:val="00E827CB"/>
    <w:rsid w:val="00E82854"/>
    <w:rsid w:val="00E829BD"/>
    <w:rsid w:val="00E82A49"/>
    <w:rsid w:val="00E82C1A"/>
    <w:rsid w:val="00E82DA0"/>
    <w:rsid w:val="00E8325F"/>
    <w:rsid w:val="00E83493"/>
    <w:rsid w:val="00E8385B"/>
    <w:rsid w:val="00E83C1F"/>
    <w:rsid w:val="00E83FB8"/>
    <w:rsid w:val="00E84127"/>
    <w:rsid w:val="00E84518"/>
    <w:rsid w:val="00E849AA"/>
    <w:rsid w:val="00E84B6E"/>
    <w:rsid w:val="00E84EF0"/>
    <w:rsid w:val="00E850ED"/>
    <w:rsid w:val="00E8521A"/>
    <w:rsid w:val="00E852EE"/>
    <w:rsid w:val="00E853DF"/>
    <w:rsid w:val="00E854D8"/>
    <w:rsid w:val="00E85A7F"/>
    <w:rsid w:val="00E85D4B"/>
    <w:rsid w:val="00E86274"/>
    <w:rsid w:val="00E86710"/>
    <w:rsid w:val="00E86984"/>
    <w:rsid w:val="00E86B8C"/>
    <w:rsid w:val="00E86D60"/>
    <w:rsid w:val="00E86F60"/>
    <w:rsid w:val="00E8707B"/>
    <w:rsid w:val="00E870FD"/>
    <w:rsid w:val="00E87C68"/>
    <w:rsid w:val="00E87EF8"/>
    <w:rsid w:val="00E90042"/>
    <w:rsid w:val="00E90B9A"/>
    <w:rsid w:val="00E90D10"/>
    <w:rsid w:val="00E90F9E"/>
    <w:rsid w:val="00E913BF"/>
    <w:rsid w:val="00E914EB"/>
    <w:rsid w:val="00E91AEA"/>
    <w:rsid w:val="00E91E78"/>
    <w:rsid w:val="00E92763"/>
    <w:rsid w:val="00E92F76"/>
    <w:rsid w:val="00E931D1"/>
    <w:rsid w:val="00E93485"/>
    <w:rsid w:val="00E93515"/>
    <w:rsid w:val="00E93BD9"/>
    <w:rsid w:val="00E93D42"/>
    <w:rsid w:val="00E940A1"/>
    <w:rsid w:val="00E942A0"/>
    <w:rsid w:val="00E942DB"/>
    <w:rsid w:val="00E942ED"/>
    <w:rsid w:val="00E945BA"/>
    <w:rsid w:val="00E945FE"/>
    <w:rsid w:val="00E946A5"/>
    <w:rsid w:val="00E94958"/>
    <w:rsid w:val="00E94A2D"/>
    <w:rsid w:val="00E94B5D"/>
    <w:rsid w:val="00E94C0E"/>
    <w:rsid w:val="00E94E37"/>
    <w:rsid w:val="00E94FAA"/>
    <w:rsid w:val="00E95094"/>
    <w:rsid w:val="00E956EF"/>
    <w:rsid w:val="00E958BE"/>
    <w:rsid w:val="00E95A32"/>
    <w:rsid w:val="00E96220"/>
    <w:rsid w:val="00E96B92"/>
    <w:rsid w:val="00E96BBF"/>
    <w:rsid w:val="00E97604"/>
    <w:rsid w:val="00E97639"/>
    <w:rsid w:val="00E97827"/>
    <w:rsid w:val="00E978D8"/>
    <w:rsid w:val="00E97928"/>
    <w:rsid w:val="00E979C2"/>
    <w:rsid w:val="00E97B45"/>
    <w:rsid w:val="00E97BA9"/>
    <w:rsid w:val="00EA0775"/>
    <w:rsid w:val="00EA079B"/>
    <w:rsid w:val="00EA07DB"/>
    <w:rsid w:val="00EA08FA"/>
    <w:rsid w:val="00EA094F"/>
    <w:rsid w:val="00EA0DAF"/>
    <w:rsid w:val="00EA0DD3"/>
    <w:rsid w:val="00EA13BE"/>
    <w:rsid w:val="00EA14C5"/>
    <w:rsid w:val="00EA1616"/>
    <w:rsid w:val="00EA1AA9"/>
    <w:rsid w:val="00EA2220"/>
    <w:rsid w:val="00EA2256"/>
    <w:rsid w:val="00EA234F"/>
    <w:rsid w:val="00EA2728"/>
    <w:rsid w:val="00EA27FE"/>
    <w:rsid w:val="00EA32C6"/>
    <w:rsid w:val="00EA3309"/>
    <w:rsid w:val="00EA3668"/>
    <w:rsid w:val="00EA38A7"/>
    <w:rsid w:val="00EA39B0"/>
    <w:rsid w:val="00EA3D58"/>
    <w:rsid w:val="00EA3D73"/>
    <w:rsid w:val="00EA4249"/>
    <w:rsid w:val="00EA4429"/>
    <w:rsid w:val="00EA470C"/>
    <w:rsid w:val="00EA4938"/>
    <w:rsid w:val="00EA4DFD"/>
    <w:rsid w:val="00EA4FEE"/>
    <w:rsid w:val="00EA5274"/>
    <w:rsid w:val="00EA54CB"/>
    <w:rsid w:val="00EA5FE8"/>
    <w:rsid w:val="00EA6531"/>
    <w:rsid w:val="00EA66CC"/>
    <w:rsid w:val="00EA6A57"/>
    <w:rsid w:val="00EA6DAA"/>
    <w:rsid w:val="00EA6EBF"/>
    <w:rsid w:val="00EA6F26"/>
    <w:rsid w:val="00EA6F62"/>
    <w:rsid w:val="00EA70E4"/>
    <w:rsid w:val="00EA72E6"/>
    <w:rsid w:val="00EA733C"/>
    <w:rsid w:val="00EA7368"/>
    <w:rsid w:val="00EA7463"/>
    <w:rsid w:val="00EA746B"/>
    <w:rsid w:val="00EA7D61"/>
    <w:rsid w:val="00EB00C2"/>
    <w:rsid w:val="00EB033B"/>
    <w:rsid w:val="00EB0396"/>
    <w:rsid w:val="00EB0507"/>
    <w:rsid w:val="00EB067F"/>
    <w:rsid w:val="00EB09A5"/>
    <w:rsid w:val="00EB0A60"/>
    <w:rsid w:val="00EB0BFE"/>
    <w:rsid w:val="00EB0C56"/>
    <w:rsid w:val="00EB0CB9"/>
    <w:rsid w:val="00EB0D3B"/>
    <w:rsid w:val="00EB0D46"/>
    <w:rsid w:val="00EB0F56"/>
    <w:rsid w:val="00EB142C"/>
    <w:rsid w:val="00EB14E8"/>
    <w:rsid w:val="00EB1985"/>
    <w:rsid w:val="00EB1AA1"/>
    <w:rsid w:val="00EB1B2D"/>
    <w:rsid w:val="00EB2139"/>
    <w:rsid w:val="00EB259E"/>
    <w:rsid w:val="00EB2670"/>
    <w:rsid w:val="00EB27BE"/>
    <w:rsid w:val="00EB2A59"/>
    <w:rsid w:val="00EB2C88"/>
    <w:rsid w:val="00EB2CD2"/>
    <w:rsid w:val="00EB2EF0"/>
    <w:rsid w:val="00EB3160"/>
    <w:rsid w:val="00EB31D9"/>
    <w:rsid w:val="00EB34C5"/>
    <w:rsid w:val="00EB34FA"/>
    <w:rsid w:val="00EB362B"/>
    <w:rsid w:val="00EB3885"/>
    <w:rsid w:val="00EB3BA6"/>
    <w:rsid w:val="00EB3EEC"/>
    <w:rsid w:val="00EB485B"/>
    <w:rsid w:val="00EB4A11"/>
    <w:rsid w:val="00EB4E4B"/>
    <w:rsid w:val="00EB4E72"/>
    <w:rsid w:val="00EB4FEF"/>
    <w:rsid w:val="00EB540C"/>
    <w:rsid w:val="00EB5437"/>
    <w:rsid w:val="00EB5636"/>
    <w:rsid w:val="00EB57B8"/>
    <w:rsid w:val="00EB6240"/>
    <w:rsid w:val="00EB6463"/>
    <w:rsid w:val="00EB7487"/>
    <w:rsid w:val="00EB7496"/>
    <w:rsid w:val="00EB77CF"/>
    <w:rsid w:val="00EB7DDE"/>
    <w:rsid w:val="00EB7E0E"/>
    <w:rsid w:val="00EB7E9B"/>
    <w:rsid w:val="00EB7F81"/>
    <w:rsid w:val="00EB7F92"/>
    <w:rsid w:val="00EC00A6"/>
    <w:rsid w:val="00EC04EF"/>
    <w:rsid w:val="00EC06FD"/>
    <w:rsid w:val="00EC072D"/>
    <w:rsid w:val="00EC0A38"/>
    <w:rsid w:val="00EC0CEC"/>
    <w:rsid w:val="00EC0D32"/>
    <w:rsid w:val="00EC0D6B"/>
    <w:rsid w:val="00EC0F37"/>
    <w:rsid w:val="00EC13C4"/>
    <w:rsid w:val="00EC1490"/>
    <w:rsid w:val="00EC1573"/>
    <w:rsid w:val="00EC15C9"/>
    <w:rsid w:val="00EC1B62"/>
    <w:rsid w:val="00EC1DF8"/>
    <w:rsid w:val="00EC1F48"/>
    <w:rsid w:val="00EC2051"/>
    <w:rsid w:val="00EC20A5"/>
    <w:rsid w:val="00EC2394"/>
    <w:rsid w:val="00EC254E"/>
    <w:rsid w:val="00EC2600"/>
    <w:rsid w:val="00EC2820"/>
    <w:rsid w:val="00EC34D7"/>
    <w:rsid w:val="00EC3512"/>
    <w:rsid w:val="00EC35AF"/>
    <w:rsid w:val="00EC377A"/>
    <w:rsid w:val="00EC38FC"/>
    <w:rsid w:val="00EC3A90"/>
    <w:rsid w:val="00EC3C54"/>
    <w:rsid w:val="00EC3E89"/>
    <w:rsid w:val="00EC3FF7"/>
    <w:rsid w:val="00EC41D0"/>
    <w:rsid w:val="00EC43EF"/>
    <w:rsid w:val="00EC469C"/>
    <w:rsid w:val="00EC4A6E"/>
    <w:rsid w:val="00EC4B5D"/>
    <w:rsid w:val="00EC4D83"/>
    <w:rsid w:val="00EC4FE2"/>
    <w:rsid w:val="00EC520F"/>
    <w:rsid w:val="00EC5400"/>
    <w:rsid w:val="00EC5436"/>
    <w:rsid w:val="00EC55E8"/>
    <w:rsid w:val="00EC5854"/>
    <w:rsid w:val="00EC5A21"/>
    <w:rsid w:val="00EC5CA7"/>
    <w:rsid w:val="00EC5E56"/>
    <w:rsid w:val="00EC603E"/>
    <w:rsid w:val="00EC620E"/>
    <w:rsid w:val="00EC6A6B"/>
    <w:rsid w:val="00EC6B16"/>
    <w:rsid w:val="00EC6E71"/>
    <w:rsid w:val="00EC7204"/>
    <w:rsid w:val="00EC73CA"/>
    <w:rsid w:val="00EC748E"/>
    <w:rsid w:val="00EC7606"/>
    <w:rsid w:val="00EC781B"/>
    <w:rsid w:val="00EC7ABD"/>
    <w:rsid w:val="00EC7BAF"/>
    <w:rsid w:val="00ED031D"/>
    <w:rsid w:val="00ED0422"/>
    <w:rsid w:val="00ED0499"/>
    <w:rsid w:val="00ED0548"/>
    <w:rsid w:val="00ED0670"/>
    <w:rsid w:val="00ED0923"/>
    <w:rsid w:val="00ED09BE"/>
    <w:rsid w:val="00ED0B4A"/>
    <w:rsid w:val="00ED0C4D"/>
    <w:rsid w:val="00ED0D4E"/>
    <w:rsid w:val="00ED10E7"/>
    <w:rsid w:val="00ED11E5"/>
    <w:rsid w:val="00ED120C"/>
    <w:rsid w:val="00ED13D3"/>
    <w:rsid w:val="00ED17F6"/>
    <w:rsid w:val="00ED18D6"/>
    <w:rsid w:val="00ED19E9"/>
    <w:rsid w:val="00ED225F"/>
    <w:rsid w:val="00ED26FC"/>
    <w:rsid w:val="00ED280F"/>
    <w:rsid w:val="00ED2978"/>
    <w:rsid w:val="00ED2992"/>
    <w:rsid w:val="00ED2FD5"/>
    <w:rsid w:val="00ED308A"/>
    <w:rsid w:val="00ED3402"/>
    <w:rsid w:val="00ED3944"/>
    <w:rsid w:val="00ED396A"/>
    <w:rsid w:val="00ED3D9C"/>
    <w:rsid w:val="00ED407F"/>
    <w:rsid w:val="00ED425B"/>
    <w:rsid w:val="00ED4376"/>
    <w:rsid w:val="00ED44F9"/>
    <w:rsid w:val="00ED4773"/>
    <w:rsid w:val="00ED4905"/>
    <w:rsid w:val="00ED4DF2"/>
    <w:rsid w:val="00ED4FCF"/>
    <w:rsid w:val="00ED5052"/>
    <w:rsid w:val="00ED50BD"/>
    <w:rsid w:val="00ED597F"/>
    <w:rsid w:val="00ED5A16"/>
    <w:rsid w:val="00ED6033"/>
    <w:rsid w:val="00ED669A"/>
    <w:rsid w:val="00ED66E3"/>
    <w:rsid w:val="00ED6B46"/>
    <w:rsid w:val="00ED6B9E"/>
    <w:rsid w:val="00ED6FDD"/>
    <w:rsid w:val="00ED7123"/>
    <w:rsid w:val="00ED7564"/>
    <w:rsid w:val="00ED7610"/>
    <w:rsid w:val="00ED78B1"/>
    <w:rsid w:val="00ED7F23"/>
    <w:rsid w:val="00ED7F92"/>
    <w:rsid w:val="00EE0511"/>
    <w:rsid w:val="00EE05BC"/>
    <w:rsid w:val="00EE061E"/>
    <w:rsid w:val="00EE0ECA"/>
    <w:rsid w:val="00EE1226"/>
    <w:rsid w:val="00EE134E"/>
    <w:rsid w:val="00EE141E"/>
    <w:rsid w:val="00EE15FF"/>
    <w:rsid w:val="00EE1762"/>
    <w:rsid w:val="00EE1840"/>
    <w:rsid w:val="00EE190A"/>
    <w:rsid w:val="00EE1A00"/>
    <w:rsid w:val="00EE2324"/>
    <w:rsid w:val="00EE2748"/>
    <w:rsid w:val="00EE2B86"/>
    <w:rsid w:val="00EE2C43"/>
    <w:rsid w:val="00EE2EB8"/>
    <w:rsid w:val="00EE2F67"/>
    <w:rsid w:val="00EE2FBC"/>
    <w:rsid w:val="00EE333D"/>
    <w:rsid w:val="00EE3404"/>
    <w:rsid w:val="00EE35DE"/>
    <w:rsid w:val="00EE3607"/>
    <w:rsid w:val="00EE36DB"/>
    <w:rsid w:val="00EE38F5"/>
    <w:rsid w:val="00EE39F0"/>
    <w:rsid w:val="00EE3A6E"/>
    <w:rsid w:val="00EE3AB3"/>
    <w:rsid w:val="00EE3ADF"/>
    <w:rsid w:val="00EE3B53"/>
    <w:rsid w:val="00EE402D"/>
    <w:rsid w:val="00EE4061"/>
    <w:rsid w:val="00EE42C8"/>
    <w:rsid w:val="00EE449B"/>
    <w:rsid w:val="00EE46EC"/>
    <w:rsid w:val="00EE474F"/>
    <w:rsid w:val="00EE48C0"/>
    <w:rsid w:val="00EE4C59"/>
    <w:rsid w:val="00EE505E"/>
    <w:rsid w:val="00EE55D6"/>
    <w:rsid w:val="00EE58C8"/>
    <w:rsid w:val="00EE5F89"/>
    <w:rsid w:val="00EE5FEA"/>
    <w:rsid w:val="00EE615A"/>
    <w:rsid w:val="00EE65A0"/>
    <w:rsid w:val="00EE7291"/>
    <w:rsid w:val="00EE72CC"/>
    <w:rsid w:val="00EE7D4A"/>
    <w:rsid w:val="00EE7DE9"/>
    <w:rsid w:val="00EF0439"/>
    <w:rsid w:val="00EF0960"/>
    <w:rsid w:val="00EF0AAD"/>
    <w:rsid w:val="00EF10F0"/>
    <w:rsid w:val="00EF11CE"/>
    <w:rsid w:val="00EF1226"/>
    <w:rsid w:val="00EF129A"/>
    <w:rsid w:val="00EF1754"/>
    <w:rsid w:val="00EF1AB6"/>
    <w:rsid w:val="00EF2251"/>
    <w:rsid w:val="00EF24B7"/>
    <w:rsid w:val="00EF24DF"/>
    <w:rsid w:val="00EF26CE"/>
    <w:rsid w:val="00EF294D"/>
    <w:rsid w:val="00EF2A25"/>
    <w:rsid w:val="00EF2C2F"/>
    <w:rsid w:val="00EF2D60"/>
    <w:rsid w:val="00EF2D7E"/>
    <w:rsid w:val="00EF31B1"/>
    <w:rsid w:val="00EF327A"/>
    <w:rsid w:val="00EF33E2"/>
    <w:rsid w:val="00EF33E3"/>
    <w:rsid w:val="00EF3504"/>
    <w:rsid w:val="00EF3615"/>
    <w:rsid w:val="00EF3D8A"/>
    <w:rsid w:val="00EF3E9B"/>
    <w:rsid w:val="00EF3F10"/>
    <w:rsid w:val="00EF410F"/>
    <w:rsid w:val="00EF4174"/>
    <w:rsid w:val="00EF4582"/>
    <w:rsid w:val="00EF466A"/>
    <w:rsid w:val="00EF468A"/>
    <w:rsid w:val="00EF475E"/>
    <w:rsid w:val="00EF4BE5"/>
    <w:rsid w:val="00EF50C2"/>
    <w:rsid w:val="00EF515A"/>
    <w:rsid w:val="00EF52E5"/>
    <w:rsid w:val="00EF5352"/>
    <w:rsid w:val="00EF5B7D"/>
    <w:rsid w:val="00EF5D71"/>
    <w:rsid w:val="00EF5E81"/>
    <w:rsid w:val="00EF5E90"/>
    <w:rsid w:val="00EF5F65"/>
    <w:rsid w:val="00EF5F93"/>
    <w:rsid w:val="00EF60E0"/>
    <w:rsid w:val="00EF61AE"/>
    <w:rsid w:val="00EF622D"/>
    <w:rsid w:val="00EF68BA"/>
    <w:rsid w:val="00EF6C51"/>
    <w:rsid w:val="00EF7036"/>
    <w:rsid w:val="00EF741C"/>
    <w:rsid w:val="00EF74A0"/>
    <w:rsid w:val="00EF759A"/>
    <w:rsid w:val="00EF7644"/>
    <w:rsid w:val="00EF784B"/>
    <w:rsid w:val="00EF7A00"/>
    <w:rsid w:val="00EF7D28"/>
    <w:rsid w:val="00EF7DCA"/>
    <w:rsid w:val="00EF7F45"/>
    <w:rsid w:val="00F00099"/>
    <w:rsid w:val="00F0057F"/>
    <w:rsid w:val="00F005AF"/>
    <w:rsid w:val="00F00814"/>
    <w:rsid w:val="00F00D52"/>
    <w:rsid w:val="00F0121D"/>
    <w:rsid w:val="00F01409"/>
    <w:rsid w:val="00F01476"/>
    <w:rsid w:val="00F016F7"/>
    <w:rsid w:val="00F017D3"/>
    <w:rsid w:val="00F018F0"/>
    <w:rsid w:val="00F01C4D"/>
    <w:rsid w:val="00F01E5F"/>
    <w:rsid w:val="00F01F83"/>
    <w:rsid w:val="00F020B2"/>
    <w:rsid w:val="00F022FD"/>
    <w:rsid w:val="00F024C3"/>
    <w:rsid w:val="00F025D3"/>
    <w:rsid w:val="00F0273E"/>
    <w:rsid w:val="00F028E2"/>
    <w:rsid w:val="00F02C04"/>
    <w:rsid w:val="00F02D60"/>
    <w:rsid w:val="00F031BD"/>
    <w:rsid w:val="00F036E3"/>
    <w:rsid w:val="00F0374E"/>
    <w:rsid w:val="00F039AA"/>
    <w:rsid w:val="00F03E0E"/>
    <w:rsid w:val="00F040D8"/>
    <w:rsid w:val="00F040E3"/>
    <w:rsid w:val="00F04252"/>
    <w:rsid w:val="00F04658"/>
    <w:rsid w:val="00F04671"/>
    <w:rsid w:val="00F04698"/>
    <w:rsid w:val="00F04773"/>
    <w:rsid w:val="00F04806"/>
    <w:rsid w:val="00F048FB"/>
    <w:rsid w:val="00F049EA"/>
    <w:rsid w:val="00F04DDF"/>
    <w:rsid w:val="00F051D8"/>
    <w:rsid w:val="00F0594F"/>
    <w:rsid w:val="00F05991"/>
    <w:rsid w:val="00F05A78"/>
    <w:rsid w:val="00F05ADE"/>
    <w:rsid w:val="00F05B68"/>
    <w:rsid w:val="00F05C54"/>
    <w:rsid w:val="00F0607A"/>
    <w:rsid w:val="00F06171"/>
    <w:rsid w:val="00F06291"/>
    <w:rsid w:val="00F062DF"/>
    <w:rsid w:val="00F06B35"/>
    <w:rsid w:val="00F06D59"/>
    <w:rsid w:val="00F07065"/>
    <w:rsid w:val="00F0724B"/>
    <w:rsid w:val="00F0725C"/>
    <w:rsid w:val="00F076F4"/>
    <w:rsid w:val="00F07B87"/>
    <w:rsid w:val="00F07EEA"/>
    <w:rsid w:val="00F103C7"/>
    <w:rsid w:val="00F10414"/>
    <w:rsid w:val="00F109F7"/>
    <w:rsid w:val="00F10B2E"/>
    <w:rsid w:val="00F10C89"/>
    <w:rsid w:val="00F10E6B"/>
    <w:rsid w:val="00F111A8"/>
    <w:rsid w:val="00F112E9"/>
    <w:rsid w:val="00F11332"/>
    <w:rsid w:val="00F11416"/>
    <w:rsid w:val="00F1159B"/>
    <w:rsid w:val="00F115B4"/>
    <w:rsid w:val="00F117F1"/>
    <w:rsid w:val="00F11B15"/>
    <w:rsid w:val="00F11F3A"/>
    <w:rsid w:val="00F120B4"/>
    <w:rsid w:val="00F120F3"/>
    <w:rsid w:val="00F12388"/>
    <w:rsid w:val="00F126D3"/>
    <w:rsid w:val="00F128EB"/>
    <w:rsid w:val="00F12D16"/>
    <w:rsid w:val="00F12DB4"/>
    <w:rsid w:val="00F12DFE"/>
    <w:rsid w:val="00F13D0C"/>
    <w:rsid w:val="00F13E75"/>
    <w:rsid w:val="00F13EA5"/>
    <w:rsid w:val="00F14731"/>
    <w:rsid w:val="00F1474E"/>
    <w:rsid w:val="00F14A48"/>
    <w:rsid w:val="00F14C43"/>
    <w:rsid w:val="00F15181"/>
    <w:rsid w:val="00F15275"/>
    <w:rsid w:val="00F152B5"/>
    <w:rsid w:val="00F1549A"/>
    <w:rsid w:val="00F15A2B"/>
    <w:rsid w:val="00F15B72"/>
    <w:rsid w:val="00F15C2E"/>
    <w:rsid w:val="00F15D53"/>
    <w:rsid w:val="00F1615E"/>
    <w:rsid w:val="00F16491"/>
    <w:rsid w:val="00F16594"/>
    <w:rsid w:val="00F165A3"/>
    <w:rsid w:val="00F166CB"/>
    <w:rsid w:val="00F1675D"/>
    <w:rsid w:val="00F1675E"/>
    <w:rsid w:val="00F16F72"/>
    <w:rsid w:val="00F173A6"/>
    <w:rsid w:val="00F1743E"/>
    <w:rsid w:val="00F175DF"/>
    <w:rsid w:val="00F176BB"/>
    <w:rsid w:val="00F176C7"/>
    <w:rsid w:val="00F17989"/>
    <w:rsid w:val="00F179AF"/>
    <w:rsid w:val="00F17BFD"/>
    <w:rsid w:val="00F17EC7"/>
    <w:rsid w:val="00F2024C"/>
    <w:rsid w:val="00F202A8"/>
    <w:rsid w:val="00F205DD"/>
    <w:rsid w:val="00F20920"/>
    <w:rsid w:val="00F209D8"/>
    <w:rsid w:val="00F20E2C"/>
    <w:rsid w:val="00F21178"/>
    <w:rsid w:val="00F214D7"/>
    <w:rsid w:val="00F21AD0"/>
    <w:rsid w:val="00F2207F"/>
    <w:rsid w:val="00F22456"/>
    <w:rsid w:val="00F22662"/>
    <w:rsid w:val="00F226CE"/>
    <w:rsid w:val="00F22D6C"/>
    <w:rsid w:val="00F22D7D"/>
    <w:rsid w:val="00F23427"/>
    <w:rsid w:val="00F23566"/>
    <w:rsid w:val="00F2361D"/>
    <w:rsid w:val="00F23948"/>
    <w:rsid w:val="00F23B92"/>
    <w:rsid w:val="00F23C71"/>
    <w:rsid w:val="00F24034"/>
    <w:rsid w:val="00F24121"/>
    <w:rsid w:val="00F24291"/>
    <w:rsid w:val="00F244AC"/>
    <w:rsid w:val="00F24859"/>
    <w:rsid w:val="00F248B0"/>
    <w:rsid w:val="00F24AA0"/>
    <w:rsid w:val="00F24AD1"/>
    <w:rsid w:val="00F24C08"/>
    <w:rsid w:val="00F250CB"/>
    <w:rsid w:val="00F2518A"/>
    <w:rsid w:val="00F252A1"/>
    <w:rsid w:val="00F257BE"/>
    <w:rsid w:val="00F258AA"/>
    <w:rsid w:val="00F25980"/>
    <w:rsid w:val="00F25E6F"/>
    <w:rsid w:val="00F26360"/>
    <w:rsid w:val="00F26702"/>
    <w:rsid w:val="00F269D4"/>
    <w:rsid w:val="00F26C19"/>
    <w:rsid w:val="00F26E31"/>
    <w:rsid w:val="00F2701F"/>
    <w:rsid w:val="00F2730A"/>
    <w:rsid w:val="00F2738F"/>
    <w:rsid w:val="00F27520"/>
    <w:rsid w:val="00F27573"/>
    <w:rsid w:val="00F278B0"/>
    <w:rsid w:val="00F27AD2"/>
    <w:rsid w:val="00F27C41"/>
    <w:rsid w:val="00F27C83"/>
    <w:rsid w:val="00F27CFF"/>
    <w:rsid w:val="00F27EE4"/>
    <w:rsid w:val="00F27F5B"/>
    <w:rsid w:val="00F30018"/>
    <w:rsid w:val="00F301F5"/>
    <w:rsid w:val="00F3039D"/>
    <w:rsid w:val="00F30776"/>
    <w:rsid w:val="00F30C06"/>
    <w:rsid w:val="00F30FD4"/>
    <w:rsid w:val="00F310D4"/>
    <w:rsid w:val="00F31996"/>
    <w:rsid w:val="00F31B81"/>
    <w:rsid w:val="00F322BF"/>
    <w:rsid w:val="00F322DF"/>
    <w:rsid w:val="00F3275C"/>
    <w:rsid w:val="00F32977"/>
    <w:rsid w:val="00F32D7C"/>
    <w:rsid w:val="00F3308D"/>
    <w:rsid w:val="00F33339"/>
    <w:rsid w:val="00F33341"/>
    <w:rsid w:val="00F33961"/>
    <w:rsid w:val="00F33FA3"/>
    <w:rsid w:val="00F3409E"/>
    <w:rsid w:val="00F340CC"/>
    <w:rsid w:val="00F34329"/>
    <w:rsid w:val="00F343C9"/>
    <w:rsid w:val="00F344E1"/>
    <w:rsid w:val="00F34592"/>
    <w:rsid w:val="00F347B9"/>
    <w:rsid w:val="00F34A0D"/>
    <w:rsid w:val="00F34A97"/>
    <w:rsid w:val="00F34E78"/>
    <w:rsid w:val="00F35424"/>
    <w:rsid w:val="00F35C5F"/>
    <w:rsid w:val="00F35C98"/>
    <w:rsid w:val="00F35D19"/>
    <w:rsid w:val="00F35E93"/>
    <w:rsid w:val="00F360C8"/>
    <w:rsid w:val="00F36353"/>
    <w:rsid w:val="00F36E0A"/>
    <w:rsid w:val="00F36E1F"/>
    <w:rsid w:val="00F370CA"/>
    <w:rsid w:val="00F3723E"/>
    <w:rsid w:val="00F376FA"/>
    <w:rsid w:val="00F3795E"/>
    <w:rsid w:val="00F37CDE"/>
    <w:rsid w:val="00F37DE1"/>
    <w:rsid w:val="00F401A2"/>
    <w:rsid w:val="00F402D2"/>
    <w:rsid w:val="00F405BC"/>
    <w:rsid w:val="00F4075E"/>
    <w:rsid w:val="00F4085D"/>
    <w:rsid w:val="00F4087D"/>
    <w:rsid w:val="00F408FF"/>
    <w:rsid w:val="00F40920"/>
    <w:rsid w:val="00F40995"/>
    <w:rsid w:val="00F40A09"/>
    <w:rsid w:val="00F40B25"/>
    <w:rsid w:val="00F40C57"/>
    <w:rsid w:val="00F40DFC"/>
    <w:rsid w:val="00F40E48"/>
    <w:rsid w:val="00F411D0"/>
    <w:rsid w:val="00F4120D"/>
    <w:rsid w:val="00F41214"/>
    <w:rsid w:val="00F41435"/>
    <w:rsid w:val="00F4171E"/>
    <w:rsid w:val="00F417D1"/>
    <w:rsid w:val="00F41DE5"/>
    <w:rsid w:val="00F41EDD"/>
    <w:rsid w:val="00F420ED"/>
    <w:rsid w:val="00F42330"/>
    <w:rsid w:val="00F42354"/>
    <w:rsid w:val="00F423A6"/>
    <w:rsid w:val="00F428A0"/>
    <w:rsid w:val="00F42EC6"/>
    <w:rsid w:val="00F42FA8"/>
    <w:rsid w:val="00F4331B"/>
    <w:rsid w:val="00F43A90"/>
    <w:rsid w:val="00F43B3E"/>
    <w:rsid w:val="00F43D88"/>
    <w:rsid w:val="00F4483D"/>
    <w:rsid w:val="00F44C5A"/>
    <w:rsid w:val="00F450E6"/>
    <w:rsid w:val="00F4521F"/>
    <w:rsid w:val="00F452A6"/>
    <w:rsid w:val="00F453A7"/>
    <w:rsid w:val="00F45540"/>
    <w:rsid w:val="00F455D0"/>
    <w:rsid w:val="00F458BC"/>
    <w:rsid w:val="00F45970"/>
    <w:rsid w:val="00F459FF"/>
    <w:rsid w:val="00F45A0D"/>
    <w:rsid w:val="00F45F0A"/>
    <w:rsid w:val="00F460EA"/>
    <w:rsid w:val="00F46315"/>
    <w:rsid w:val="00F46640"/>
    <w:rsid w:val="00F46A67"/>
    <w:rsid w:val="00F46A8F"/>
    <w:rsid w:val="00F47019"/>
    <w:rsid w:val="00F472F4"/>
    <w:rsid w:val="00F474D8"/>
    <w:rsid w:val="00F475DE"/>
    <w:rsid w:val="00F476EA"/>
    <w:rsid w:val="00F47947"/>
    <w:rsid w:val="00F479E3"/>
    <w:rsid w:val="00F47B49"/>
    <w:rsid w:val="00F47CCD"/>
    <w:rsid w:val="00F47E25"/>
    <w:rsid w:val="00F47E85"/>
    <w:rsid w:val="00F500B2"/>
    <w:rsid w:val="00F5035D"/>
    <w:rsid w:val="00F50A2A"/>
    <w:rsid w:val="00F50B20"/>
    <w:rsid w:val="00F50CD2"/>
    <w:rsid w:val="00F5112F"/>
    <w:rsid w:val="00F5132D"/>
    <w:rsid w:val="00F5147F"/>
    <w:rsid w:val="00F51CF9"/>
    <w:rsid w:val="00F52035"/>
    <w:rsid w:val="00F5213A"/>
    <w:rsid w:val="00F521DC"/>
    <w:rsid w:val="00F526D3"/>
    <w:rsid w:val="00F52B13"/>
    <w:rsid w:val="00F53137"/>
    <w:rsid w:val="00F531BB"/>
    <w:rsid w:val="00F53311"/>
    <w:rsid w:val="00F536A8"/>
    <w:rsid w:val="00F537E0"/>
    <w:rsid w:val="00F53A17"/>
    <w:rsid w:val="00F53B27"/>
    <w:rsid w:val="00F53EFC"/>
    <w:rsid w:val="00F53F7E"/>
    <w:rsid w:val="00F54308"/>
    <w:rsid w:val="00F5439F"/>
    <w:rsid w:val="00F54405"/>
    <w:rsid w:val="00F54557"/>
    <w:rsid w:val="00F54772"/>
    <w:rsid w:val="00F54969"/>
    <w:rsid w:val="00F54C09"/>
    <w:rsid w:val="00F54D3F"/>
    <w:rsid w:val="00F54E43"/>
    <w:rsid w:val="00F54F54"/>
    <w:rsid w:val="00F54F91"/>
    <w:rsid w:val="00F5514A"/>
    <w:rsid w:val="00F5522D"/>
    <w:rsid w:val="00F554B6"/>
    <w:rsid w:val="00F556E1"/>
    <w:rsid w:val="00F55B65"/>
    <w:rsid w:val="00F55C3E"/>
    <w:rsid w:val="00F55CE5"/>
    <w:rsid w:val="00F55E1C"/>
    <w:rsid w:val="00F55E67"/>
    <w:rsid w:val="00F56103"/>
    <w:rsid w:val="00F561B8"/>
    <w:rsid w:val="00F563F6"/>
    <w:rsid w:val="00F56488"/>
    <w:rsid w:val="00F564E6"/>
    <w:rsid w:val="00F56564"/>
    <w:rsid w:val="00F565B5"/>
    <w:rsid w:val="00F56878"/>
    <w:rsid w:val="00F56994"/>
    <w:rsid w:val="00F56E59"/>
    <w:rsid w:val="00F571F0"/>
    <w:rsid w:val="00F5731C"/>
    <w:rsid w:val="00F57431"/>
    <w:rsid w:val="00F57813"/>
    <w:rsid w:val="00F57AAF"/>
    <w:rsid w:val="00F57CCD"/>
    <w:rsid w:val="00F57D69"/>
    <w:rsid w:val="00F57DD9"/>
    <w:rsid w:val="00F57F0D"/>
    <w:rsid w:val="00F60155"/>
    <w:rsid w:val="00F60549"/>
    <w:rsid w:val="00F607A4"/>
    <w:rsid w:val="00F608A1"/>
    <w:rsid w:val="00F609AF"/>
    <w:rsid w:val="00F60B35"/>
    <w:rsid w:val="00F60BB5"/>
    <w:rsid w:val="00F60CB9"/>
    <w:rsid w:val="00F61043"/>
    <w:rsid w:val="00F612B9"/>
    <w:rsid w:val="00F615AB"/>
    <w:rsid w:val="00F61670"/>
    <w:rsid w:val="00F6168E"/>
    <w:rsid w:val="00F6177C"/>
    <w:rsid w:val="00F61BF1"/>
    <w:rsid w:val="00F61E06"/>
    <w:rsid w:val="00F61E46"/>
    <w:rsid w:val="00F61FA3"/>
    <w:rsid w:val="00F620CB"/>
    <w:rsid w:val="00F62771"/>
    <w:rsid w:val="00F6291B"/>
    <w:rsid w:val="00F629D6"/>
    <w:rsid w:val="00F62EEE"/>
    <w:rsid w:val="00F63016"/>
    <w:rsid w:val="00F6303E"/>
    <w:rsid w:val="00F6327C"/>
    <w:rsid w:val="00F633A3"/>
    <w:rsid w:val="00F634BE"/>
    <w:rsid w:val="00F63E47"/>
    <w:rsid w:val="00F64527"/>
    <w:rsid w:val="00F646E9"/>
    <w:rsid w:val="00F64F8E"/>
    <w:rsid w:val="00F64FDB"/>
    <w:rsid w:val="00F659CD"/>
    <w:rsid w:val="00F659F1"/>
    <w:rsid w:val="00F65B46"/>
    <w:rsid w:val="00F65D0A"/>
    <w:rsid w:val="00F65D3B"/>
    <w:rsid w:val="00F66334"/>
    <w:rsid w:val="00F663F7"/>
    <w:rsid w:val="00F666B8"/>
    <w:rsid w:val="00F6685F"/>
    <w:rsid w:val="00F66A72"/>
    <w:rsid w:val="00F66DB1"/>
    <w:rsid w:val="00F66F9C"/>
    <w:rsid w:val="00F67226"/>
    <w:rsid w:val="00F6766A"/>
    <w:rsid w:val="00F67AB5"/>
    <w:rsid w:val="00F67B26"/>
    <w:rsid w:val="00F67DB5"/>
    <w:rsid w:val="00F70492"/>
    <w:rsid w:val="00F706DE"/>
    <w:rsid w:val="00F70790"/>
    <w:rsid w:val="00F70864"/>
    <w:rsid w:val="00F70986"/>
    <w:rsid w:val="00F713D7"/>
    <w:rsid w:val="00F71555"/>
    <w:rsid w:val="00F716FB"/>
    <w:rsid w:val="00F71827"/>
    <w:rsid w:val="00F718BB"/>
    <w:rsid w:val="00F719A8"/>
    <w:rsid w:val="00F71A5D"/>
    <w:rsid w:val="00F71A9F"/>
    <w:rsid w:val="00F71B58"/>
    <w:rsid w:val="00F71D5F"/>
    <w:rsid w:val="00F71F98"/>
    <w:rsid w:val="00F72078"/>
    <w:rsid w:val="00F72434"/>
    <w:rsid w:val="00F725E9"/>
    <w:rsid w:val="00F72807"/>
    <w:rsid w:val="00F72C7F"/>
    <w:rsid w:val="00F72E97"/>
    <w:rsid w:val="00F72F08"/>
    <w:rsid w:val="00F73076"/>
    <w:rsid w:val="00F730F2"/>
    <w:rsid w:val="00F7325E"/>
    <w:rsid w:val="00F73ACD"/>
    <w:rsid w:val="00F73E5C"/>
    <w:rsid w:val="00F742ED"/>
    <w:rsid w:val="00F74301"/>
    <w:rsid w:val="00F7470D"/>
    <w:rsid w:val="00F74973"/>
    <w:rsid w:val="00F749F1"/>
    <w:rsid w:val="00F74BC7"/>
    <w:rsid w:val="00F74C7C"/>
    <w:rsid w:val="00F74CE2"/>
    <w:rsid w:val="00F74DA0"/>
    <w:rsid w:val="00F7505A"/>
    <w:rsid w:val="00F75245"/>
    <w:rsid w:val="00F75529"/>
    <w:rsid w:val="00F756B6"/>
    <w:rsid w:val="00F75CD5"/>
    <w:rsid w:val="00F75F79"/>
    <w:rsid w:val="00F75FB3"/>
    <w:rsid w:val="00F7608A"/>
    <w:rsid w:val="00F760C2"/>
    <w:rsid w:val="00F76102"/>
    <w:rsid w:val="00F7612E"/>
    <w:rsid w:val="00F76315"/>
    <w:rsid w:val="00F764A1"/>
    <w:rsid w:val="00F7654E"/>
    <w:rsid w:val="00F76697"/>
    <w:rsid w:val="00F7689A"/>
    <w:rsid w:val="00F76DAB"/>
    <w:rsid w:val="00F76E81"/>
    <w:rsid w:val="00F770D8"/>
    <w:rsid w:val="00F775E9"/>
    <w:rsid w:val="00F77B73"/>
    <w:rsid w:val="00F801A1"/>
    <w:rsid w:val="00F802C4"/>
    <w:rsid w:val="00F8074D"/>
    <w:rsid w:val="00F808C5"/>
    <w:rsid w:val="00F80B90"/>
    <w:rsid w:val="00F80C00"/>
    <w:rsid w:val="00F8108E"/>
    <w:rsid w:val="00F81152"/>
    <w:rsid w:val="00F81596"/>
    <w:rsid w:val="00F818BF"/>
    <w:rsid w:val="00F81D72"/>
    <w:rsid w:val="00F81DBE"/>
    <w:rsid w:val="00F8223D"/>
    <w:rsid w:val="00F83097"/>
    <w:rsid w:val="00F834CE"/>
    <w:rsid w:val="00F83513"/>
    <w:rsid w:val="00F8389A"/>
    <w:rsid w:val="00F839A4"/>
    <w:rsid w:val="00F839C9"/>
    <w:rsid w:val="00F83AAF"/>
    <w:rsid w:val="00F83D79"/>
    <w:rsid w:val="00F83DA7"/>
    <w:rsid w:val="00F83E55"/>
    <w:rsid w:val="00F83E79"/>
    <w:rsid w:val="00F83F2C"/>
    <w:rsid w:val="00F84152"/>
    <w:rsid w:val="00F8455C"/>
    <w:rsid w:val="00F84568"/>
    <w:rsid w:val="00F8495F"/>
    <w:rsid w:val="00F84BDE"/>
    <w:rsid w:val="00F84CA2"/>
    <w:rsid w:val="00F84EA0"/>
    <w:rsid w:val="00F85104"/>
    <w:rsid w:val="00F85242"/>
    <w:rsid w:val="00F85344"/>
    <w:rsid w:val="00F85398"/>
    <w:rsid w:val="00F85402"/>
    <w:rsid w:val="00F85523"/>
    <w:rsid w:val="00F8572E"/>
    <w:rsid w:val="00F858B9"/>
    <w:rsid w:val="00F859B9"/>
    <w:rsid w:val="00F85DFB"/>
    <w:rsid w:val="00F85EDD"/>
    <w:rsid w:val="00F86419"/>
    <w:rsid w:val="00F864D6"/>
    <w:rsid w:val="00F8657C"/>
    <w:rsid w:val="00F8665D"/>
    <w:rsid w:val="00F86767"/>
    <w:rsid w:val="00F869A9"/>
    <w:rsid w:val="00F86F41"/>
    <w:rsid w:val="00F87317"/>
    <w:rsid w:val="00F8734B"/>
    <w:rsid w:val="00F873C7"/>
    <w:rsid w:val="00F874D6"/>
    <w:rsid w:val="00F87692"/>
    <w:rsid w:val="00F879E8"/>
    <w:rsid w:val="00F87ABC"/>
    <w:rsid w:val="00F87BE4"/>
    <w:rsid w:val="00F87D7F"/>
    <w:rsid w:val="00F901B4"/>
    <w:rsid w:val="00F902A2"/>
    <w:rsid w:val="00F9079F"/>
    <w:rsid w:val="00F909A7"/>
    <w:rsid w:val="00F90AFD"/>
    <w:rsid w:val="00F90B18"/>
    <w:rsid w:val="00F90B81"/>
    <w:rsid w:val="00F90DA4"/>
    <w:rsid w:val="00F91125"/>
    <w:rsid w:val="00F91128"/>
    <w:rsid w:val="00F91715"/>
    <w:rsid w:val="00F91BFD"/>
    <w:rsid w:val="00F9233D"/>
    <w:rsid w:val="00F928E1"/>
    <w:rsid w:val="00F9291C"/>
    <w:rsid w:val="00F929CC"/>
    <w:rsid w:val="00F92A7C"/>
    <w:rsid w:val="00F92A94"/>
    <w:rsid w:val="00F92B6D"/>
    <w:rsid w:val="00F92CF1"/>
    <w:rsid w:val="00F92D8D"/>
    <w:rsid w:val="00F92E1F"/>
    <w:rsid w:val="00F93155"/>
    <w:rsid w:val="00F9324E"/>
    <w:rsid w:val="00F93524"/>
    <w:rsid w:val="00F93BF6"/>
    <w:rsid w:val="00F940C9"/>
    <w:rsid w:val="00F94108"/>
    <w:rsid w:val="00F94363"/>
    <w:rsid w:val="00F94663"/>
    <w:rsid w:val="00F94A22"/>
    <w:rsid w:val="00F94B02"/>
    <w:rsid w:val="00F94BE0"/>
    <w:rsid w:val="00F94C16"/>
    <w:rsid w:val="00F94C96"/>
    <w:rsid w:val="00F94D51"/>
    <w:rsid w:val="00F94D72"/>
    <w:rsid w:val="00F95062"/>
    <w:rsid w:val="00F95306"/>
    <w:rsid w:val="00F9532B"/>
    <w:rsid w:val="00F955EB"/>
    <w:rsid w:val="00F95879"/>
    <w:rsid w:val="00F95B7F"/>
    <w:rsid w:val="00F95DCA"/>
    <w:rsid w:val="00F96060"/>
    <w:rsid w:val="00F96D51"/>
    <w:rsid w:val="00F96EA3"/>
    <w:rsid w:val="00F97336"/>
    <w:rsid w:val="00F973AA"/>
    <w:rsid w:val="00F97A2D"/>
    <w:rsid w:val="00F97BCA"/>
    <w:rsid w:val="00F97EA0"/>
    <w:rsid w:val="00F97F24"/>
    <w:rsid w:val="00F97F89"/>
    <w:rsid w:val="00FA01FE"/>
    <w:rsid w:val="00FA0649"/>
    <w:rsid w:val="00FA0781"/>
    <w:rsid w:val="00FA07CB"/>
    <w:rsid w:val="00FA0C10"/>
    <w:rsid w:val="00FA11C8"/>
    <w:rsid w:val="00FA1282"/>
    <w:rsid w:val="00FA12F6"/>
    <w:rsid w:val="00FA144F"/>
    <w:rsid w:val="00FA1546"/>
    <w:rsid w:val="00FA15F0"/>
    <w:rsid w:val="00FA16BB"/>
    <w:rsid w:val="00FA1A19"/>
    <w:rsid w:val="00FA1B4A"/>
    <w:rsid w:val="00FA1E6C"/>
    <w:rsid w:val="00FA1F3D"/>
    <w:rsid w:val="00FA2093"/>
    <w:rsid w:val="00FA24DC"/>
    <w:rsid w:val="00FA2748"/>
    <w:rsid w:val="00FA29DA"/>
    <w:rsid w:val="00FA2A7A"/>
    <w:rsid w:val="00FA2A8D"/>
    <w:rsid w:val="00FA2C51"/>
    <w:rsid w:val="00FA3758"/>
    <w:rsid w:val="00FA3AE9"/>
    <w:rsid w:val="00FA3B3A"/>
    <w:rsid w:val="00FA3BC3"/>
    <w:rsid w:val="00FA3BF0"/>
    <w:rsid w:val="00FA3BF8"/>
    <w:rsid w:val="00FA3DD3"/>
    <w:rsid w:val="00FA41CD"/>
    <w:rsid w:val="00FA45BE"/>
    <w:rsid w:val="00FA4658"/>
    <w:rsid w:val="00FA4693"/>
    <w:rsid w:val="00FA4696"/>
    <w:rsid w:val="00FA4897"/>
    <w:rsid w:val="00FA4A32"/>
    <w:rsid w:val="00FA4AF6"/>
    <w:rsid w:val="00FA4D48"/>
    <w:rsid w:val="00FA4E1C"/>
    <w:rsid w:val="00FA513C"/>
    <w:rsid w:val="00FA5458"/>
    <w:rsid w:val="00FA5F74"/>
    <w:rsid w:val="00FA6374"/>
    <w:rsid w:val="00FA647B"/>
    <w:rsid w:val="00FA65D3"/>
    <w:rsid w:val="00FA65E1"/>
    <w:rsid w:val="00FA680D"/>
    <w:rsid w:val="00FA6C5A"/>
    <w:rsid w:val="00FA6DB1"/>
    <w:rsid w:val="00FA70A9"/>
    <w:rsid w:val="00FA73E1"/>
    <w:rsid w:val="00FA7618"/>
    <w:rsid w:val="00FA769A"/>
    <w:rsid w:val="00FA7836"/>
    <w:rsid w:val="00FA7C07"/>
    <w:rsid w:val="00FA7F29"/>
    <w:rsid w:val="00FB012A"/>
    <w:rsid w:val="00FB0516"/>
    <w:rsid w:val="00FB07A1"/>
    <w:rsid w:val="00FB080B"/>
    <w:rsid w:val="00FB091F"/>
    <w:rsid w:val="00FB0B31"/>
    <w:rsid w:val="00FB0DE2"/>
    <w:rsid w:val="00FB0F56"/>
    <w:rsid w:val="00FB107C"/>
    <w:rsid w:val="00FB1949"/>
    <w:rsid w:val="00FB1E1B"/>
    <w:rsid w:val="00FB1EDC"/>
    <w:rsid w:val="00FB21EF"/>
    <w:rsid w:val="00FB2647"/>
    <w:rsid w:val="00FB276E"/>
    <w:rsid w:val="00FB2799"/>
    <w:rsid w:val="00FB2B67"/>
    <w:rsid w:val="00FB2FD7"/>
    <w:rsid w:val="00FB32CD"/>
    <w:rsid w:val="00FB3420"/>
    <w:rsid w:val="00FB3434"/>
    <w:rsid w:val="00FB39EB"/>
    <w:rsid w:val="00FB3D52"/>
    <w:rsid w:val="00FB3F1A"/>
    <w:rsid w:val="00FB4305"/>
    <w:rsid w:val="00FB4404"/>
    <w:rsid w:val="00FB4442"/>
    <w:rsid w:val="00FB4444"/>
    <w:rsid w:val="00FB4589"/>
    <w:rsid w:val="00FB47B9"/>
    <w:rsid w:val="00FB499F"/>
    <w:rsid w:val="00FB4D27"/>
    <w:rsid w:val="00FB4EBB"/>
    <w:rsid w:val="00FB53F5"/>
    <w:rsid w:val="00FB5750"/>
    <w:rsid w:val="00FB581A"/>
    <w:rsid w:val="00FB585B"/>
    <w:rsid w:val="00FB5926"/>
    <w:rsid w:val="00FB5B9E"/>
    <w:rsid w:val="00FB63A5"/>
    <w:rsid w:val="00FB658F"/>
    <w:rsid w:val="00FB6CC3"/>
    <w:rsid w:val="00FB7079"/>
    <w:rsid w:val="00FB708B"/>
    <w:rsid w:val="00FB7131"/>
    <w:rsid w:val="00FB72BB"/>
    <w:rsid w:val="00FB787D"/>
    <w:rsid w:val="00FB79FC"/>
    <w:rsid w:val="00FB7E62"/>
    <w:rsid w:val="00FB7F7C"/>
    <w:rsid w:val="00FC0643"/>
    <w:rsid w:val="00FC0FD4"/>
    <w:rsid w:val="00FC1048"/>
    <w:rsid w:val="00FC125D"/>
    <w:rsid w:val="00FC1847"/>
    <w:rsid w:val="00FC1B7E"/>
    <w:rsid w:val="00FC2050"/>
    <w:rsid w:val="00FC25ED"/>
    <w:rsid w:val="00FC26A3"/>
    <w:rsid w:val="00FC2C48"/>
    <w:rsid w:val="00FC2E71"/>
    <w:rsid w:val="00FC2F90"/>
    <w:rsid w:val="00FC3258"/>
    <w:rsid w:val="00FC3588"/>
    <w:rsid w:val="00FC393A"/>
    <w:rsid w:val="00FC3C72"/>
    <w:rsid w:val="00FC3F1F"/>
    <w:rsid w:val="00FC400E"/>
    <w:rsid w:val="00FC4423"/>
    <w:rsid w:val="00FC4609"/>
    <w:rsid w:val="00FC492E"/>
    <w:rsid w:val="00FC4B34"/>
    <w:rsid w:val="00FC5186"/>
    <w:rsid w:val="00FC5986"/>
    <w:rsid w:val="00FC5ABE"/>
    <w:rsid w:val="00FC5B7B"/>
    <w:rsid w:val="00FC5BA3"/>
    <w:rsid w:val="00FC5C98"/>
    <w:rsid w:val="00FC5D85"/>
    <w:rsid w:val="00FC5E60"/>
    <w:rsid w:val="00FC63A1"/>
    <w:rsid w:val="00FC64A4"/>
    <w:rsid w:val="00FC6583"/>
    <w:rsid w:val="00FC6948"/>
    <w:rsid w:val="00FC6AC2"/>
    <w:rsid w:val="00FC6BBD"/>
    <w:rsid w:val="00FC6CD5"/>
    <w:rsid w:val="00FC6D9A"/>
    <w:rsid w:val="00FC6EE1"/>
    <w:rsid w:val="00FC708A"/>
    <w:rsid w:val="00FC70DC"/>
    <w:rsid w:val="00FC717C"/>
    <w:rsid w:val="00FC73C6"/>
    <w:rsid w:val="00FC7535"/>
    <w:rsid w:val="00FC75B3"/>
    <w:rsid w:val="00FC75BC"/>
    <w:rsid w:val="00FC77A0"/>
    <w:rsid w:val="00FC77F8"/>
    <w:rsid w:val="00FC7901"/>
    <w:rsid w:val="00FC79EA"/>
    <w:rsid w:val="00FC7AE4"/>
    <w:rsid w:val="00FC7D2D"/>
    <w:rsid w:val="00FD01AC"/>
    <w:rsid w:val="00FD0716"/>
    <w:rsid w:val="00FD0754"/>
    <w:rsid w:val="00FD08A4"/>
    <w:rsid w:val="00FD09FB"/>
    <w:rsid w:val="00FD0A6F"/>
    <w:rsid w:val="00FD0DF0"/>
    <w:rsid w:val="00FD177D"/>
    <w:rsid w:val="00FD1865"/>
    <w:rsid w:val="00FD1A39"/>
    <w:rsid w:val="00FD1BCC"/>
    <w:rsid w:val="00FD1C66"/>
    <w:rsid w:val="00FD1C92"/>
    <w:rsid w:val="00FD1E6D"/>
    <w:rsid w:val="00FD1EE9"/>
    <w:rsid w:val="00FD1F3E"/>
    <w:rsid w:val="00FD29DB"/>
    <w:rsid w:val="00FD29EA"/>
    <w:rsid w:val="00FD2F40"/>
    <w:rsid w:val="00FD3136"/>
    <w:rsid w:val="00FD331D"/>
    <w:rsid w:val="00FD35B6"/>
    <w:rsid w:val="00FD364A"/>
    <w:rsid w:val="00FD3686"/>
    <w:rsid w:val="00FD3732"/>
    <w:rsid w:val="00FD3A10"/>
    <w:rsid w:val="00FD3A24"/>
    <w:rsid w:val="00FD3B5F"/>
    <w:rsid w:val="00FD3E5B"/>
    <w:rsid w:val="00FD3FC7"/>
    <w:rsid w:val="00FD4151"/>
    <w:rsid w:val="00FD432D"/>
    <w:rsid w:val="00FD4DB8"/>
    <w:rsid w:val="00FD510C"/>
    <w:rsid w:val="00FD568A"/>
    <w:rsid w:val="00FD5768"/>
    <w:rsid w:val="00FD5908"/>
    <w:rsid w:val="00FD5A39"/>
    <w:rsid w:val="00FD5C2E"/>
    <w:rsid w:val="00FD5C6C"/>
    <w:rsid w:val="00FD5CBD"/>
    <w:rsid w:val="00FD6011"/>
    <w:rsid w:val="00FD6316"/>
    <w:rsid w:val="00FD6447"/>
    <w:rsid w:val="00FD6B97"/>
    <w:rsid w:val="00FD6CE4"/>
    <w:rsid w:val="00FD73E0"/>
    <w:rsid w:val="00FD7982"/>
    <w:rsid w:val="00FD7AB3"/>
    <w:rsid w:val="00FD7B0B"/>
    <w:rsid w:val="00FD7B49"/>
    <w:rsid w:val="00FD7CD1"/>
    <w:rsid w:val="00FD7D0A"/>
    <w:rsid w:val="00FE0013"/>
    <w:rsid w:val="00FE0306"/>
    <w:rsid w:val="00FE0D60"/>
    <w:rsid w:val="00FE0D84"/>
    <w:rsid w:val="00FE13F1"/>
    <w:rsid w:val="00FE1568"/>
    <w:rsid w:val="00FE1968"/>
    <w:rsid w:val="00FE1DFA"/>
    <w:rsid w:val="00FE219D"/>
    <w:rsid w:val="00FE2250"/>
    <w:rsid w:val="00FE25FC"/>
    <w:rsid w:val="00FE268B"/>
    <w:rsid w:val="00FE2818"/>
    <w:rsid w:val="00FE2A27"/>
    <w:rsid w:val="00FE2A8D"/>
    <w:rsid w:val="00FE2C0A"/>
    <w:rsid w:val="00FE2E48"/>
    <w:rsid w:val="00FE32F9"/>
    <w:rsid w:val="00FE3344"/>
    <w:rsid w:val="00FE35E5"/>
    <w:rsid w:val="00FE36E4"/>
    <w:rsid w:val="00FE3711"/>
    <w:rsid w:val="00FE37E3"/>
    <w:rsid w:val="00FE390A"/>
    <w:rsid w:val="00FE3EAE"/>
    <w:rsid w:val="00FE41C8"/>
    <w:rsid w:val="00FE4540"/>
    <w:rsid w:val="00FE45A9"/>
    <w:rsid w:val="00FE47F7"/>
    <w:rsid w:val="00FE48CE"/>
    <w:rsid w:val="00FE4DD6"/>
    <w:rsid w:val="00FE4E4F"/>
    <w:rsid w:val="00FE521B"/>
    <w:rsid w:val="00FE5641"/>
    <w:rsid w:val="00FE57A5"/>
    <w:rsid w:val="00FE5981"/>
    <w:rsid w:val="00FE5C01"/>
    <w:rsid w:val="00FE5CC1"/>
    <w:rsid w:val="00FE60CD"/>
    <w:rsid w:val="00FE6234"/>
    <w:rsid w:val="00FE65E6"/>
    <w:rsid w:val="00FE68B8"/>
    <w:rsid w:val="00FE6A55"/>
    <w:rsid w:val="00FE6B16"/>
    <w:rsid w:val="00FE6B75"/>
    <w:rsid w:val="00FE6C64"/>
    <w:rsid w:val="00FE7004"/>
    <w:rsid w:val="00FE73BA"/>
    <w:rsid w:val="00FE7EBC"/>
    <w:rsid w:val="00FE7F36"/>
    <w:rsid w:val="00FF019A"/>
    <w:rsid w:val="00FF059F"/>
    <w:rsid w:val="00FF07E8"/>
    <w:rsid w:val="00FF08A3"/>
    <w:rsid w:val="00FF09D1"/>
    <w:rsid w:val="00FF0A0C"/>
    <w:rsid w:val="00FF0A38"/>
    <w:rsid w:val="00FF0B3C"/>
    <w:rsid w:val="00FF0C23"/>
    <w:rsid w:val="00FF0E2A"/>
    <w:rsid w:val="00FF0E86"/>
    <w:rsid w:val="00FF0F6D"/>
    <w:rsid w:val="00FF139C"/>
    <w:rsid w:val="00FF1BE7"/>
    <w:rsid w:val="00FF2294"/>
    <w:rsid w:val="00FF2545"/>
    <w:rsid w:val="00FF25C0"/>
    <w:rsid w:val="00FF2612"/>
    <w:rsid w:val="00FF2710"/>
    <w:rsid w:val="00FF28A1"/>
    <w:rsid w:val="00FF2C90"/>
    <w:rsid w:val="00FF2EB4"/>
    <w:rsid w:val="00FF31F3"/>
    <w:rsid w:val="00FF358E"/>
    <w:rsid w:val="00FF3632"/>
    <w:rsid w:val="00FF3AF9"/>
    <w:rsid w:val="00FF3E97"/>
    <w:rsid w:val="00FF3E9B"/>
    <w:rsid w:val="00FF3EC0"/>
    <w:rsid w:val="00FF40C3"/>
    <w:rsid w:val="00FF4252"/>
    <w:rsid w:val="00FF46AB"/>
    <w:rsid w:val="00FF46D4"/>
    <w:rsid w:val="00FF4860"/>
    <w:rsid w:val="00FF4975"/>
    <w:rsid w:val="00FF4A57"/>
    <w:rsid w:val="00FF4AB4"/>
    <w:rsid w:val="00FF4C79"/>
    <w:rsid w:val="00FF4CE7"/>
    <w:rsid w:val="00FF4E5B"/>
    <w:rsid w:val="00FF4F70"/>
    <w:rsid w:val="00FF5166"/>
    <w:rsid w:val="00FF5312"/>
    <w:rsid w:val="00FF5613"/>
    <w:rsid w:val="00FF5653"/>
    <w:rsid w:val="00FF594B"/>
    <w:rsid w:val="00FF59F0"/>
    <w:rsid w:val="00FF5A2D"/>
    <w:rsid w:val="00FF6742"/>
    <w:rsid w:val="00FF680C"/>
    <w:rsid w:val="00FF6AA1"/>
    <w:rsid w:val="00FF6B6A"/>
    <w:rsid w:val="00FF6BC9"/>
    <w:rsid w:val="00FF6C05"/>
    <w:rsid w:val="00FF6D6E"/>
    <w:rsid w:val="00FF6EBD"/>
    <w:rsid w:val="00FF6FEA"/>
    <w:rsid w:val="00FF7345"/>
    <w:rsid w:val="00FF7414"/>
    <w:rsid w:val="00FF76A8"/>
    <w:rsid w:val="00FF77B4"/>
    <w:rsid w:val="00FF77BF"/>
    <w:rsid w:val="00FF77EE"/>
    <w:rsid w:val="00FF79CC"/>
    <w:rsid w:val="00FF7DB6"/>
    <w:rsid w:val="00FF7E25"/>
    <w:rsid w:val="00FF7EC5"/>
    <w:rsid w:val="00FF7ECB"/>
    <w:rsid w:val="04AB910D"/>
    <w:rsid w:val="17027537"/>
    <w:rsid w:val="1811ED46"/>
    <w:rsid w:val="226E6D04"/>
    <w:rsid w:val="28F89CCF"/>
    <w:rsid w:val="2B69FF31"/>
    <w:rsid w:val="2EADA72B"/>
    <w:rsid w:val="2EEDC2C4"/>
    <w:rsid w:val="2FF53590"/>
    <w:rsid w:val="3211DA81"/>
    <w:rsid w:val="3F90F343"/>
    <w:rsid w:val="402A54AD"/>
    <w:rsid w:val="4DB07F14"/>
    <w:rsid w:val="56F53CE2"/>
    <w:rsid w:val="5C84BAEA"/>
    <w:rsid w:val="60960B4F"/>
    <w:rsid w:val="64152714"/>
    <w:rsid w:val="658E641C"/>
    <w:rsid w:val="6B07B684"/>
    <w:rsid w:val="6EDE3E5C"/>
    <w:rsid w:val="7248D4EE"/>
    <w:rsid w:val="796CCB62"/>
    <w:rsid w:val="7B23BF8B"/>
    <w:rsid w:val="7C12CFF8"/>
    <w:rsid w:val="7CD30D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lsdException w:name="List Bullet 4" w:semiHidden="1" w:uiPriority="1" w:unhideWhenUsed="1"/>
    <w:lsdException w:name="List Bullet 5" w:semiHidden="1" w:uiPriority="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2C17A3"/>
    <w:pPr>
      <w:spacing w:line="240" w:lineRule="exact"/>
    </w:pPr>
    <w:rPr>
      <w:sz w:val="20"/>
      <w:szCs w:val="20"/>
    </w:rPr>
  </w:style>
  <w:style w:type="paragraph" w:styleId="Heading1">
    <w:name w:val="heading 1"/>
    <w:next w:val="BodyText"/>
    <w:link w:val="Heading1Char"/>
    <w:qFormat/>
    <w:rsid w:val="00DC346A"/>
    <w:pPr>
      <w:keepNext/>
      <w:keepLines/>
      <w:numPr>
        <w:numId w:val="4"/>
      </w:numPr>
      <w:spacing w:before="300" w:after="180"/>
      <w:outlineLvl w:val="0"/>
    </w:pPr>
    <w:rPr>
      <w:rFonts w:asciiTheme="majorHAnsi" w:eastAsiaTheme="majorEastAsia" w:hAnsiTheme="majorHAnsi" w:cs="Arial"/>
      <w:b/>
      <w:bCs/>
      <w:color w:val="032432" w:themeColor="background2"/>
      <w:sz w:val="30"/>
      <w:szCs w:val="32"/>
    </w:rPr>
  </w:style>
  <w:style w:type="paragraph" w:styleId="Heading2">
    <w:name w:val="heading 2"/>
    <w:next w:val="BodyText"/>
    <w:link w:val="Heading2Char"/>
    <w:qFormat/>
    <w:rsid w:val="002C17A3"/>
    <w:pPr>
      <w:keepNext/>
      <w:keepLines/>
      <w:numPr>
        <w:ilvl w:val="1"/>
        <w:numId w:val="4"/>
      </w:numPr>
      <w:spacing w:before="300" w:after="180" w:line="264" w:lineRule="auto"/>
      <w:outlineLvl w:val="1"/>
    </w:pPr>
    <w:rPr>
      <w:rFonts w:eastAsiaTheme="majorEastAsia" w:cs="Arial"/>
      <w:b/>
      <w:bCs/>
      <w:color w:val="4B673B" w:themeColor="accent2"/>
      <w:sz w:val="24"/>
      <w:szCs w:val="28"/>
    </w:rPr>
  </w:style>
  <w:style w:type="paragraph" w:styleId="Heading3">
    <w:name w:val="heading 3"/>
    <w:next w:val="BodyText"/>
    <w:link w:val="Heading3Char"/>
    <w:qFormat/>
    <w:rsid w:val="002C17A3"/>
    <w:pPr>
      <w:keepNext/>
      <w:numPr>
        <w:ilvl w:val="2"/>
        <w:numId w:val="4"/>
      </w:numPr>
      <w:spacing w:before="240" w:after="180" w:line="264" w:lineRule="auto"/>
      <w:outlineLvl w:val="2"/>
    </w:pPr>
    <w:rPr>
      <w:b/>
      <w:color w:val="032432" w:themeColor="background2"/>
      <w:szCs w:val="24"/>
    </w:rPr>
  </w:style>
  <w:style w:type="paragraph" w:styleId="Heading4">
    <w:name w:val="heading 4"/>
    <w:basedOn w:val="Normal"/>
    <w:next w:val="Normal"/>
    <w:link w:val="Heading4Char"/>
    <w:semiHidden/>
    <w:rsid w:val="002C17A3"/>
    <w:pPr>
      <w:keepNext/>
      <w:keepLines/>
      <w:numPr>
        <w:ilvl w:val="3"/>
        <w:numId w:val="4"/>
      </w:numPr>
      <w:spacing w:before="200"/>
      <w:outlineLvl w:val="3"/>
    </w:pPr>
    <w:rPr>
      <w:rFonts w:asciiTheme="majorHAnsi" w:eastAsiaTheme="majorEastAsia" w:hAnsiTheme="majorHAnsi" w:cstheme="majorBidi"/>
      <w:b/>
      <w:bCs/>
      <w:i/>
      <w:iCs/>
      <w:color w:val="4B673B" w:themeColor="accent2"/>
    </w:rPr>
  </w:style>
  <w:style w:type="paragraph" w:styleId="Heading5">
    <w:name w:val="heading 5"/>
    <w:basedOn w:val="Normal"/>
    <w:next w:val="Normal"/>
    <w:link w:val="Heading5Char"/>
    <w:semiHidden/>
    <w:rsid w:val="002C17A3"/>
    <w:pPr>
      <w:keepNext/>
      <w:keepLines/>
      <w:numPr>
        <w:ilvl w:val="4"/>
        <w:numId w:val="4"/>
      </w:numPr>
      <w:spacing w:before="200"/>
      <w:outlineLvl w:val="4"/>
    </w:pPr>
    <w:rPr>
      <w:rFonts w:asciiTheme="majorHAnsi" w:eastAsiaTheme="majorEastAsia" w:hAnsiTheme="majorHAnsi" w:cstheme="majorBidi"/>
      <w:color w:val="304F53" w:themeColor="accent1" w:themeShade="7F"/>
    </w:rPr>
  </w:style>
  <w:style w:type="paragraph" w:styleId="Heading6">
    <w:name w:val="heading 6"/>
    <w:basedOn w:val="Normal"/>
    <w:next w:val="Normal"/>
    <w:link w:val="Heading6Char"/>
    <w:semiHidden/>
    <w:rsid w:val="002C17A3"/>
    <w:pPr>
      <w:keepNext/>
      <w:keepLines/>
      <w:numPr>
        <w:ilvl w:val="5"/>
        <w:numId w:val="4"/>
      </w:numPr>
      <w:spacing w:before="200"/>
      <w:outlineLvl w:val="5"/>
    </w:pPr>
    <w:rPr>
      <w:rFonts w:asciiTheme="majorHAnsi" w:eastAsiaTheme="majorEastAsia" w:hAnsiTheme="majorHAnsi" w:cstheme="majorBidi"/>
      <w:i/>
      <w:iCs/>
      <w:color w:val="304F53" w:themeColor="accent1" w:themeShade="7F"/>
    </w:rPr>
  </w:style>
  <w:style w:type="paragraph" w:styleId="Heading7">
    <w:name w:val="heading 7"/>
    <w:basedOn w:val="Normal"/>
    <w:next w:val="Normal"/>
    <w:link w:val="Heading7Char"/>
    <w:semiHidden/>
    <w:rsid w:val="002C17A3"/>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rsid w:val="002C17A3"/>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rsid w:val="002C17A3"/>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7A3"/>
    <w:rPr>
      <w:rFonts w:asciiTheme="majorHAnsi" w:eastAsiaTheme="majorEastAsia" w:hAnsiTheme="majorHAnsi" w:cs="Arial"/>
      <w:b/>
      <w:bCs/>
      <w:color w:val="032432" w:themeColor="background2"/>
      <w:sz w:val="30"/>
      <w:szCs w:val="32"/>
    </w:rPr>
  </w:style>
  <w:style w:type="character" w:customStyle="1" w:styleId="Heading2Char">
    <w:name w:val="Heading 2 Char"/>
    <w:basedOn w:val="DefaultParagraphFont"/>
    <w:link w:val="Heading2"/>
    <w:rsid w:val="002C17A3"/>
    <w:rPr>
      <w:rFonts w:eastAsiaTheme="majorEastAsia" w:cs="Arial"/>
      <w:b/>
      <w:bCs/>
      <w:color w:val="4B673B" w:themeColor="accent2"/>
      <w:sz w:val="24"/>
      <w:szCs w:val="28"/>
    </w:rPr>
  </w:style>
  <w:style w:type="paragraph" w:customStyle="1" w:styleId="BodyText">
    <w:name w:val="BodyText"/>
    <w:qFormat/>
    <w:rsid w:val="002C17A3"/>
    <w:pPr>
      <w:spacing w:before="180" w:after="120" w:line="264" w:lineRule="auto"/>
    </w:pPr>
    <w:rPr>
      <w:rFonts w:ascii="Aptos" w:hAnsi="Aptos"/>
      <w:color w:val="000000" w:themeColor="text1"/>
      <w:sz w:val="20"/>
      <w:szCs w:val="20"/>
    </w:rPr>
  </w:style>
  <w:style w:type="paragraph" w:customStyle="1" w:styleId="ListBullet1">
    <w:name w:val="List Bullet 1"/>
    <w:basedOn w:val="BodyText0"/>
    <w:qFormat/>
    <w:rsid w:val="005D00A1"/>
    <w:pPr>
      <w:numPr>
        <w:numId w:val="29"/>
      </w:numPr>
      <w:spacing w:before="40" w:after="80" w:line="264" w:lineRule="auto"/>
      <w:ind w:left="357" w:hanging="357"/>
    </w:pPr>
  </w:style>
  <w:style w:type="paragraph" w:customStyle="1" w:styleId="Number1">
    <w:name w:val="Number 1"/>
    <w:basedOn w:val="ListBullet1"/>
    <w:uiPriority w:val="1"/>
    <w:qFormat/>
    <w:rsid w:val="00DC346A"/>
    <w:pPr>
      <w:numPr>
        <w:numId w:val="13"/>
      </w:numPr>
    </w:pPr>
  </w:style>
  <w:style w:type="paragraph" w:styleId="ListBullet2">
    <w:name w:val="List Bullet 2"/>
    <w:basedOn w:val="Normal"/>
    <w:uiPriority w:val="1"/>
    <w:qFormat/>
    <w:rsid w:val="003A5FDA"/>
    <w:pPr>
      <w:spacing w:before="40" w:after="80" w:line="264" w:lineRule="auto"/>
      <w:ind w:left="425" w:hanging="425"/>
    </w:pPr>
  </w:style>
  <w:style w:type="paragraph" w:customStyle="1" w:styleId="Number2">
    <w:name w:val="Number 2"/>
    <w:basedOn w:val="Number1"/>
    <w:uiPriority w:val="1"/>
    <w:qFormat/>
    <w:rsid w:val="00DC346A"/>
    <w:pPr>
      <w:numPr>
        <w:ilvl w:val="1"/>
      </w:numPr>
    </w:pPr>
  </w:style>
  <w:style w:type="paragraph" w:customStyle="1" w:styleId="Number3">
    <w:name w:val="Number 3"/>
    <w:basedOn w:val="Number2"/>
    <w:uiPriority w:val="1"/>
    <w:qFormat/>
    <w:rsid w:val="00DC346A"/>
    <w:pPr>
      <w:numPr>
        <w:ilvl w:val="2"/>
      </w:numPr>
    </w:pPr>
  </w:style>
  <w:style w:type="character" w:customStyle="1" w:styleId="Heading3Char">
    <w:name w:val="Heading 3 Char"/>
    <w:basedOn w:val="DefaultParagraphFont"/>
    <w:link w:val="Heading3"/>
    <w:rsid w:val="002C17A3"/>
    <w:rPr>
      <w:b/>
      <w:color w:val="032432" w:themeColor="background2"/>
      <w:szCs w:val="24"/>
    </w:rPr>
  </w:style>
  <w:style w:type="paragraph" w:customStyle="1" w:styleId="Subheading">
    <w:name w:val="Subheading"/>
    <w:next w:val="BodyText"/>
    <w:qFormat/>
    <w:rsid w:val="002C17A3"/>
    <w:pPr>
      <w:keepNext/>
      <w:spacing w:before="180" w:after="120" w:line="264" w:lineRule="auto"/>
    </w:pPr>
    <w:rPr>
      <w:rFonts w:ascii="Aptos" w:hAnsi="Aptos"/>
      <w:i/>
      <w:color w:val="4B673B" w:themeColor="accent2"/>
      <w:szCs w:val="20"/>
    </w:rPr>
  </w:style>
  <w:style w:type="paragraph" w:customStyle="1" w:styleId="TableCharttitle">
    <w:name w:val="Table/Chart title"/>
    <w:next w:val="BodyText"/>
    <w:uiPriority w:val="1"/>
    <w:qFormat/>
    <w:rsid w:val="002C17A3"/>
    <w:pPr>
      <w:keepNext/>
      <w:spacing w:before="180" w:after="120"/>
    </w:pPr>
    <w:rPr>
      <w:rFonts w:ascii="Aptos" w:hAnsi="Aptos"/>
      <w:b/>
      <w:color w:val="4B673B" w:themeColor="accent2"/>
      <w:szCs w:val="20"/>
    </w:rPr>
  </w:style>
  <w:style w:type="table" w:styleId="TableGrid">
    <w:name w:val="Table Grid"/>
    <w:basedOn w:val="TableNormal"/>
    <w:uiPriority w:val="59"/>
    <w:rsid w:val="002C17A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TableText"/>
    <w:uiPriority w:val="2"/>
    <w:qFormat/>
    <w:rsid w:val="002C17A3"/>
    <w:pPr>
      <w:keepNext/>
    </w:pPr>
    <w:rPr>
      <w:b/>
      <w:color w:val="auto"/>
    </w:rPr>
  </w:style>
  <w:style w:type="paragraph" w:customStyle="1" w:styleId="TableText">
    <w:name w:val="Table Text"/>
    <w:uiPriority w:val="3"/>
    <w:qFormat/>
    <w:rsid w:val="002C17A3"/>
    <w:pPr>
      <w:spacing w:before="40" w:after="40"/>
    </w:pPr>
    <w:rPr>
      <w:rFonts w:ascii="Aptos" w:hAnsi="Aptos"/>
      <w:color w:val="000000" w:themeColor="text1"/>
      <w:sz w:val="18"/>
      <w:szCs w:val="16"/>
    </w:rPr>
  </w:style>
  <w:style w:type="paragraph" w:customStyle="1" w:styleId="TableBullet1">
    <w:name w:val="Table Bullet 1"/>
    <w:basedOn w:val="TableText"/>
    <w:uiPriority w:val="4"/>
    <w:qFormat/>
    <w:rsid w:val="003A5FDA"/>
    <w:pPr>
      <w:numPr>
        <w:numId w:val="24"/>
      </w:numPr>
    </w:pPr>
  </w:style>
  <w:style w:type="paragraph" w:customStyle="1" w:styleId="TableBullet2">
    <w:name w:val="Table Bullet 2"/>
    <w:basedOn w:val="TableText"/>
    <w:uiPriority w:val="4"/>
    <w:qFormat/>
    <w:rsid w:val="003A5FDA"/>
    <w:pPr>
      <w:numPr>
        <w:ilvl w:val="1"/>
        <w:numId w:val="24"/>
      </w:numPr>
    </w:pPr>
  </w:style>
  <w:style w:type="paragraph" w:customStyle="1" w:styleId="TableSource">
    <w:name w:val="Table Source"/>
    <w:basedOn w:val="TableText"/>
    <w:next w:val="BodyText"/>
    <w:uiPriority w:val="4"/>
    <w:qFormat/>
    <w:rsid w:val="002C17A3"/>
    <w:rPr>
      <w:i/>
    </w:rPr>
  </w:style>
  <w:style w:type="paragraph" w:styleId="Header">
    <w:name w:val="header"/>
    <w:basedOn w:val="Normal"/>
    <w:link w:val="HeaderChar"/>
    <w:uiPriority w:val="99"/>
    <w:semiHidden/>
    <w:rsid w:val="002C17A3"/>
    <w:pPr>
      <w:tabs>
        <w:tab w:val="center" w:pos="4513"/>
        <w:tab w:val="right" w:pos="9026"/>
      </w:tabs>
      <w:spacing w:line="480" w:lineRule="exact"/>
    </w:pPr>
    <w:rPr>
      <w:rFonts w:asciiTheme="majorHAnsi" w:hAnsiTheme="majorHAnsi"/>
      <w:b/>
      <w:color w:val="294654" w:themeColor="text2"/>
      <w:sz w:val="44"/>
    </w:rPr>
  </w:style>
  <w:style w:type="character" w:customStyle="1" w:styleId="HeaderChar">
    <w:name w:val="Header Char"/>
    <w:basedOn w:val="DefaultParagraphFont"/>
    <w:link w:val="Header"/>
    <w:uiPriority w:val="99"/>
    <w:semiHidden/>
    <w:rsid w:val="002C17A3"/>
    <w:rPr>
      <w:rFonts w:asciiTheme="majorHAnsi" w:hAnsiTheme="majorHAnsi"/>
      <w:b/>
      <w:color w:val="294654" w:themeColor="text2"/>
      <w:sz w:val="44"/>
      <w:szCs w:val="20"/>
    </w:rPr>
  </w:style>
  <w:style w:type="paragraph" w:styleId="Footer">
    <w:name w:val="footer"/>
    <w:basedOn w:val="Normal"/>
    <w:link w:val="FooterChar"/>
    <w:uiPriority w:val="99"/>
    <w:semiHidden/>
    <w:rsid w:val="002C17A3"/>
    <w:pPr>
      <w:tabs>
        <w:tab w:val="right" w:pos="9639"/>
      </w:tabs>
      <w:spacing w:line="200" w:lineRule="exact"/>
    </w:pPr>
    <w:rPr>
      <w:sz w:val="16"/>
      <w:szCs w:val="16"/>
    </w:rPr>
  </w:style>
  <w:style w:type="character" w:customStyle="1" w:styleId="FooterChar">
    <w:name w:val="Footer Char"/>
    <w:basedOn w:val="DefaultParagraphFont"/>
    <w:link w:val="Footer"/>
    <w:uiPriority w:val="99"/>
    <w:semiHidden/>
    <w:rsid w:val="002C17A3"/>
    <w:rPr>
      <w:sz w:val="16"/>
      <w:szCs w:val="16"/>
    </w:rPr>
  </w:style>
  <w:style w:type="paragraph" w:styleId="BalloonText">
    <w:name w:val="Balloon Text"/>
    <w:basedOn w:val="Normal"/>
    <w:link w:val="BalloonTextChar"/>
    <w:uiPriority w:val="99"/>
    <w:semiHidden/>
    <w:rsid w:val="002C17A3"/>
    <w:rPr>
      <w:rFonts w:ascii="Tahoma" w:hAnsi="Tahoma" w:cs="Tahoma"/>
      <w:sz w:val="16"/>
      <w:szCs w:val="16"/>
    </w:rPr>
  </w:style>
  <w:style w:type="character" w:customStyle="1" w:styleId="BalloonTextChar">
    <w:name w:val="Balloon Text Char"/>
    <w:basedOn w:val="DefaultParagraphFont"/>
    <w:link w:val="BalloonText"/>
    <w:uiPriority w:val="99"/>
    <w:semiHidden/>
    <w:rsid w:val="002C17A3"/>
    <w:rPr>
      <w:rFonts w:ascii="Tahoma" w:hAnsi="Tahoma" w:cs="Tahoma"/>
      <w:sz w:val="16"/>
      <w:szCs w:val="16"/>
    </w:rPr>
  </w:style>
  <w:style w:type="paragraph" w:customStyle="1" w:styleId="CoverTitle">
    <w:name w:val="CoverTitle"/>
    <w:basedOn w:val="BodyText"/>
    <w:uiPriority w:val="99"/>
    <w:semiHidden/>
    <w:rsid w:val="002C17A3"/>
    <w:pPr>
      <w:spacing w:before="720" w:after="0" w:line="240" w:lineRule="auto"/>
      <w:ind w:right="2835"/>
    </w:pPr>
    <w:rPr>
      <w:rFonts w:asciiTheme="majorHAnsi" w:hAnsiTheme="majorHAnsi"/>
      <w:b/>
      <w:color w:val="032432" w:themeColor="background2"/>
      <w:sz w:val="56"/>
      <w:szCs w:val="40"/>
    </w:rPr>
  </w:style>
  <w:style w:type="paragraph" w:customStyle="1" w:styleId="CoverSubTitle">
    <w:name w:val="CoverSubTitle"/>
    <w:basedOn w:val="BodyText"/>
    <w:uiPriority w:val="99"/>
    <w:semiHidden/>
    <w:rsid w:val="002C17A3"/>
    <w:pPr>
      <w:spacing w:before="120" w:after="0" w:line="240" w:lineRule="auto"/>
      <w:ind w:right="2835"/>
    </w:pPr>
    <w:rPr>
      <w:color w:val="032432" w:themeColor="background2"/>
      <w:sz w:val="36"/>
    </w:rPr>
  </w:style>
  <w:style w:type="paragraph" w:customStyle="1" w:styleId="ReportTitle">
    <w:name w:val="ReportTitle"/>
    <w:basedOn w:val="Normal"/>
    <w:uiPriority w:val="99"/>
    <w:semiHidden/>
    <w:rsid w:val="002C17A3"/>
    <w:pPr>
      <w:spacing w:before="720" w:line="240" w:lineRule="auto"/>
      <w:ind w:right="2835"/>
    </w:pPr>
    <w:rPr>
      <w:rFonts w:asciiTheme="majorHAnsi" w:hAnsiTheme="majorHAnsi"/>
      <w:b/>
      <w:color w:val="032432" w:themeColor="background2"/>
      <w:sz w:val="48"/>
      <w:szCs w:val="48"/>
    </w:rPr>
  </w:style>
  <w:style w:type="paragraph" w:customStyle="1" w:styleId="CoverDate">
    <w:name w:val="CoverDate"/>
    <w:basedOn w:val="BodyText"/>
    <w:uiPriority w:val="99"/>
    <w:semiHidden/>
    <w:rsid w:val="002C17A3"/>
    <w:pPr>
      <w:spacing w:before="120" w:after="0"/>
      <w:ind w:right="2835"/>
    </w:pPr>
    <w:rPr>
      <w:color w:val="032432" w:themeColor="background2"/>
      <w:sz w:val="28"/>
    </w:rPr>
  </w:style>
  <w:style w:type="paragraph" w:customStyle="1" w:styleId="Contentheading">
    <w:name w:val="Content heading"/>
    <w:basedOn w:val="BodyText"/>
    <w:next w:val="BodyText"/>
    <w:uiPriority w:val="99"/>
    <w:qFormat/>
    <w:rsid w:val="002C17A3"/>
    <w:pPr>
      <w:keepNext/>
    </w:pPr>
    <w:rPr>
      <w:b/>
      <w:color w:val="032432" w:themeColor="background2"/>
      <w:sz w:val="22"/>
    </w:rPr>
  </w:style>
  <w:style w:type="paragraph" w:customStyle="1" w:styleId="Contentsubheading">
    <w:name w:val="Content subheading"/>
    <w:basedOn w:val="BodyText"/>
    <w:next w:val="BodyText"/>
    <w:uiPriority w:val="99"/>
    <w:qFormat/>
    <w:rsid w:val="002C17A3"/>
    <w:pPr>
      <w:keepNext/>
    </w:pPr>
    <w:rPr>
      <w:color w:val="032432" w:themeColor="background2"/>
      <w:sz w:val="22"/>
    </w:rPr>
  </w:style>
  <w:style w:type="character" w:customStyle="1" w:styleId="Heading4Char">
    <w:name w:val="Heading 4 Char"/>
    <w:basedOn w:val="DefaultParagraphFont"/>
    <w:link w:val="Heading4"/>
    <w:semiHidden/>
    <w:rsid w:val="002C17A3"/>
    <w:rPr>
      <w:rFonts w:asciiTheme="majorHAnsi" w:eastAsiaTheme="majorEastAsia" w:hAnsiTheme="majorHAnsi" w:cstheme="majorBidi"/>
      <w:b/>
      <w:bCs/>
      <w:i/>
      <w:iCs/>
      <w:color w:val="4B673B" w:themeColor="accent2"/>
      <w:sz w:val="20"/>
      <w:szCs w:val="20"/>
    </w:rPr>
  </w:style>
  <w:style w:type="character" w:customStyle="1" w:styleId="Heading5Char">
    <w:name w:val="Heading 5 Char"/>
    <w:basedOn w:val="DefaultParagraphFont"/>
    <w:link w:val="Heading5"/>
    <w:semiHidden/>
    <w:rsid w:val="002C17A3"/>
    <w:rPr>
      <w:rFonts w:asciiTheme="majorHAnsi" w:eastAsiaTheme="majorEastAsia" w:hAnsiTheme="majorHAnsi" w:cstheme="majorBidi"/>
      <w:color w:val="304F53" w:themeColor="accent1" w:themeShade="7F"/>
      <w:sz w:val="20"/>
      <w:szCs w:val="20"/>
    </w:rPr>
  </w:style>
  <w:style w:type="character" w:customStyle="1" w:styleId="Heading6Char">
    <w:name w:val="Heading 6 Char"/>
    <w:basedOn w:val="DefaultParagraphFont"/>
    <w:link w:val="Heading6"/>
    <w:semiHidden/>
    <w:rsid w:val="002C17A3"/>
    <w:rPr>
      <w:rFonts w:asciiTheme="majorHAnsi" w:eastAsiaTheme="majorEastAsia" w:hAnsiTheme="majorHAnsi" w:cstheme="majorBidi"/>
      <w:i/>
      <w:iCs/>
      <w:color w:val="304F53" w:themeColor="accent1" w:themeShade="7F"/>
      <w:sz w:val="20"/>
      <w:szCs w:val="20"/>
    </w:rPr>
  </w:style>
  <w:style w:type="character" w:customStyle="1" w:styleId="Heading7Char">
    <w:name w:val="Heading 7 Char"/>
    <w:basedOn w:val="DefaultParagraphFont"/>
    <w:link w:val="Heading7"/>
    <w:semiHidden/>
    <w:rsid w:val="002C17A3"/>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2C17A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2C17A3"/>
    <w:rPr>
      <w:rFonts w:asciiTheme="majorHAnsi" w:eastAsiaTheme="majorEastAsia" w:hAnsiTheme="majorHAnsi" w:cstheme="majorBidi"/>
      <w:i/>
      <w:iCs/>
      <w:color w:val="404040" w:themeColor="text1" w:themeTint="BF"/>
      <w:sz w:val="20"/>
      <w:szCs w:val="20"/>
    </w:rPr>
  </w:style>
  <w:style w:type="paragraph" w:customStyle="1" w:styleId="TableofContents">
    <w:name w:val="Table of Contents"/>
    <w:basedOn w:val="Heading1"/>
    <w:next w:val="BodyText"/>
    <w:uiPriority w:val="99"/>
    <w:semiHidden/>
    <w:rsid w:val="00DC346A"/>
    <w:pPr>
      <w:numPr>
        <w:numId w:val="0"/>
      </w:numPr>
      <w:spacing w:before="0"/>
    </w:pPr>
  </w:style>
  <w:style w:type="paragraph" w:customStyle="1" w:styleId="CVProjectHeading">
    <w:name w:val="CV/Project Heading"/>
    <w:basedOn w:val="Heading1"/>
    <w:next w:val="BodyText"/>
    <w:uiPriority w:val="99"/>
    <w:semiHidden/>
    <w:rsid w:val="00DC346A"/>
    <w:pPr>
      <w:numPr>
        <w:numId w:val="0"/>
      </w:numPr>
    </w:pPr>
  </w:style>
  <w:style w:type="paragraph" w:customStyle="1" w:styleId="CVProjectSubheading">
    <w:name w:val="CV/Project Subheading"/>
    <w:basedOn w:val="CVProjectHeading"/>
    <w:next w:val="BodyText"/>
    <w:uiPriority w:val="99"/>
    <w:semiHidden/>
    <w:rsid w:val="002C17A3"/>
    <w:pPr>
      <w:spacing w:before="0"/>
    </w:pPr>
    <w:rPr>
      <w:sz w:val="24"/>
      <w:szCs w:val="26"/>
    </w:rPr>
  </w:style>
  <w:style w:type="paragraph" w:customStyle="1" w:styleId="CVProjectIntro">
    <w:name w:val="CV/Project Intro"/>
    <w:basedOn w:val="BodyText"/>
    <w:next w:val="BodyText"/>
    <w:uiPriority w:val="99"/>
    <w:semiHidden/>
    <w:rsid w:val="002C17A3"/>
    <w:pPr>
      <w:keepNext/>
      <w:spacing w:before="120"/>
    </w:pPr>
    <w:rPr>
      <w:color w:val="4B673B" w:themeColor="accent2"/>
      <w:sz w:val="24"/>
      <w:szCs w:val="26"/>
    </w:rPr>
  </w:style>
  <w:style w:type="paragraph" w:customStyle="1" w:styleId="AppHeading1">
    <w:name w:val="AppHeading1"/>
    <w:basedOn w:val="Heading1"/>
    <w:next w:val="BodyText"/>
    <w:uiPriority w:val="5"/>
    <w:qFormat/>
    <w:rsid w:val="003A5FDA"/>
    <w:pPr>
      <w:pageBreakBefore/>
      <w:numPr>
        <w:numId w:val="0"/>
      </w:numPr>
      <w:tabs>
        <w:tab w:val="num" w:pos="1492"/>
      </w:tabs>
      <w:ind w:left="1985" w:hanging="1985"/>
    </w:pPr>
  </w:style>
  <w:style w:type="paragraph" w:customStyle="1" w:styleId="AppHeading2">
    <w:name w:val="AppHeading2"/>
    <w:basedOn w:val="Heading2"/>
    <w:next w:val="BodyText"/>
    <w:uiPriority w:val="5"/>
    <w:qFormat/>
    <w:rsid w:val="003A5FDA"/>
    <w:pPr>
      <w:numPr>
        <w:ilvl w:val="0"/>
        <w:numId w:val="0"/>
      </w:numPr>
      <w:tabs>
        <w:tab w:val="num" w:pos="1492"/>
      </w:tabs>
      <w:ind w:left="1492" w:hanging="360"/>
    </w:pPr>
  </w:style>
  <w:style w:type="paragraph" w:customStyle="1" w:styleId="AppHeading3">
    <w:name w:val="AppHeading3"/>
    <w:basedOn w:val="Heading3"/>
    <w:next w:val="BodyText"/>
    <w:uiPriority w:val="5"/>
    <w:qFormat/>
    <w:rsid w:val="003A5FDA"/>
    <w:pPr>
      <w:numPr>
        <w:ilvl w:val="0"/>
        <w:numId w:val="0"/>
      </w:numPr>
      <w:tabs>
        <w:tab w:val="num" w:pos="1492"/>
      </w:tabs>
      <w:ind w:left="1492" w:hanging="360"/>
    </w:pPr>
  </w:style>
  <w:style w:type="paragraph" w:styleId="TOCHeading">
    <w:name w:val="TOC Heading"/>
    <w:basedOn w:val="Heading1"/>
    <w:next w:val="Normal"/>
    <w:uiPriority w:val="39"/>
    <w:semiHidden/>
    <w:unhideWhenUsed/>
    <w:rsid w:val="00DC346A"/>
    <w:pPr>
      <w:numPr>
        <w:numId w:val="0"/>
      </w:numPr>
      <w:spacing w:before="480" w:after="0" w:line="276" w:lineRule="auto"/>
      <w:outlineLvl w:val="9"/>
    </w:pPr>
    <w:rPr>
      <w:rFonts w:cstheme="majorBidi"/>
      <w:b w:val="0"/>
      <w:color w:val="49777D" w:themeColor="accent1" w:themeShade="BF"/>
      <w:sz w:val="28"/>
      <w:szCs w:val="28"/>
      <w:lang w:val="en-US" w:eastAsia="ja-JP"/>
    </w:rPr>
  </w:style>
  <w:style w:type="paragraph" w:styleId="TOC1">
    <w:name w:val="toc 1"/>
    <w:basedOn w:val="Normal"/>
    <w:next w:val="Normal"/>
    <w:uiPriority w:val="39"/>
    <w:rsid w:val="002C17A3"/>
    <w:pPr>
      <w:tabs>
        <w:tab w:val="right" w:leader="dot" w:pos="9628"/>
      </w:tabs>
      <w:spacing w:after="100"/>
      <w:ind w:left="425" w:hanging="425"/>
    </w:pPr>
    <w:rPr>
      <w:noProof/>
    </w:rPr>
  </w:style>
  <w:style w:type="paragraph" w:styleId="TOC2">
    <w:name w:val="toc 2"/>
    <w:basedOn w:val="Normal"/>
    <w:next w:val="Normal"/>
    <w:uiPriority w:val="39"/>
    <w:rsid w:val="002C17A3"/>
    <w:pPr>
      <w:tabs>
        <w:tab w:val="left" w:pos="851"/>
        <w:tab w:val="right" w:leader="dot" w:pos="9639"/>
      </w:tabs>
      <w:spacing w:after="100"/>
      <w:ind w:left="850" w:hanging="425"/>
    </w:pPr>
    <w:rPr>
      <w:noProof/>
    </w:rPr>
  </w:style>
  <w:style w:type="paragraph" w:styleId="TOC3">
    <w:name w:val="toc 3"/>
    <w:basedOn w:val="Normal"/>
    <w:next w:val="Normal"/>
    <w:uiPriority w:val="99"/>
    <w:semiHidden/>
    <w:rsid w:val="002C17A3"/>
    <w:pPr>
      <w:spacing w:after="100"/>
      <w:ind w:left="340"/>
    </w:pPr>
  </w:style>
  <w:style w:type="character" w:styleId="Hyperlink">
    <w:name w:val="Hyperlink"/>
    <w:basedOn w:val="DefaultParagraphFont"/>
    <w:uiPriority w:val="99"/>
    <w:rsid w:val="002C17A3"/>
    <w:rPr>
      <w:color w:val="294654" w:themeColor="hyperlink"/>
      <w:u w:val="single"/>
    </w:rPr>
  </w:style>
  <w:style w:type="numbering" w:customStyle="1" w:styleId="Numbering">
    <w:name w:val="Numbering"/>
    <w:uiPriority w:val="99"/>
    <w:rsid w:val="002C17A3"/>
    <w:pPr>
      <w:numPr>
        <w:numId w:val="2"/>
      </w:numPr>
    </w:pPr>
  </w:style>
  <w:style w:type="paragraph" w:styleId="Caption">
    <w:name w:val="caption"/>
    <w:basedOn w:val="Normal"/>
    <w:next w:val="Normal"/>
    <w:uiPriority w:val="35"/>
    <w:unhideWhenUsed/>
    <w:qFormat/>
    <w:rsid w:val="002C17A3"/>
    <w:pPr>
      <w:keepNext/>
      <w:tabs>
        <w:tab w:val="left" w:pos="1134"/>
      </w:tabs>
      <w:spacing w:before="120" w:after="80"/>
    </w:pPr>
    <w:rPr>
      <w:b/>
      <w:bCs/>
      <w:color w:val="032432" w:themeColor="background2"/>
      <w:szCs w:val="18"/>
    </w:rPr>
  </w:style>
  <w:style w:type="table" w:customStyle="1" w:styleId="KMTable">
    <w:name w:val="KMTable"/>
    <w:basedOn w:val="TableNormal"/>
    <w:uiPriority w:val="99"/>
    <w:rsid w:val="002C17A3"/>
    <w:rPr>
      <w:rFonts w:ascii="Aptos" w:hAnsi="Aptos"/>
      <w:sz w:val="20"/>
      <w:szCs w:val="20"/>
    </w:rPr>
    <w:tblPr>
      <w:tblBorders>
        <w:bottom w:val="single" w:sz="2" w:space="0" w:color="auto"/>
        <w:insideH w:val="single" w:sz="2" w:space="0" w:color="B1B3B3" w:themeColor="accent6"/>
      </w:tblBorders>
      <w:tblCellMar>
        <w:left w:w="57" w:type="dxa"/>
        <w:right w:w="57" w:type="dxa"/>
      </w:tblCellMar>
    </w:tblPr>
    <w:trPr>
      <w:cantSplit/>
    </w:trPr>
    <w:tblStylePr w:type="firstRow">
      <w:pPr>
        <w:jc w:val="left"/>
      </w:pPr>
      <w:rPr>
        <w:color w:val="auto"/>
      </w:rPr>
      <w:tblPr/>
      <w:tcPr>
        <w:tcBorders>
          <w:top w:val="nil"/>
          <w:left w:val="nil"/>
          <w:bottom w:val="single" w:sz="2" w:space="0" w:color="auto"/>
          <w:right w:val="nil"/>
          <w:insideH w:val="nil"/>
          <w:insideV w:val="nil"/>
          <w:tl2br w:val="nil"/>
          <w:tr2bl w:val="nil"/>
        </w:tcBorders>
      </w:tcPr>
    </w:tblStylePr>
  </w:style>
  <w:style w:type="paragraph" w:styleId="FootnoteText">
    <w:name w:val="footnote text"/>
    <w:basedOn w:val="Normal"/>
    <w:link w:val="FootnoteTextChar"/>
    <w:uiPriority w:val="99"/>
    <w:semiHidden/>
    <w:rsid w:val="002C17A3"/>
    <w:pPr>
      <w:spacing w:before="20" w:line="264" w:lineRule="auto"/>
      <w:ind w:left="284" w:hanging="284"/>
    </w:pPr>
    <w:rPr>
      <w:sz w:val="16"/>
    </w:rPr>
  </w:style>
  <w:style w:type="character" w:customStyle="1" w:styleId="FootnoteTextChar">
    <w:name w:val="Footnote Text Char"/>
    <w:basedOn w:val="DefaultParagraphFont"/>
    <w:link w:val="FootnoteText"/>
    <w:uiPriority w:val="99"/>
    <w:semiHidden/>
    <w:rsid w:val="002C17A3"/>
    <w:rPr>
      <w:sz w:val="16"/>
      <w:szCs w:val="20"/>
    </w:rPr>
  </w:style>
  <w:style w:type="character" w:styleId="FootnoteReference">
    <w:name w:val="footnote reference"/>
    <w:basedOn w:val="DefaultParagraphFont"/>
    <w:uiPriority w:val="99"/>
    <w:semiHidden/>
    <w:rsid w:val="002C17A3"/>
    <w:rPr>
      <w:vertAlign w:val="superscript"/>
    </w:rPr>
  </w:style>
  <w:style w:type="paragraph" w:customStyle="1" w:styleId="Footnote">
    <w:name w:val="Footnote"/>
    <w:basedOn w:val="FootnoteText"/>
    <w:uiPriority w:val="99"/>
    <w:semiHidden/>
    <w:rsid w:val="002C17A3"/>
  </w:style>
  <w:style w:type="paragraph" w:customStyle="1" w:styleId="Limitedliability">
    <w:name w:val="Limited liability"/>
    <w:basedOn w:val="BodyText"/>
    <w:uiPriority w:val="99"/>
    <w:semiHidden/>
    <w:rsid w:val="00B91A05"/>
    <w:pPr>
      <w:spacing w:before="0" w:after="0" w:line="240" w:lineRule="auto"/>
    </w:pPr>
    <w:rPr>
      <w:sz w:val="16"/>
      <w:szCs w:val="16"/>
    </w:rPr>
  </w:style>
  <w:style w:type="paragraph" w:styleId="NormalWeb">
    <w:name w:val="Normal (Web)"/>
    <w:basedOn w:val="Normal"/>
    <w:uiPriority w:val="99"/>
    <w:semiHidden/>
    <w:rsid w:val="002C17A3"/>
    <w:rPr>
      <w:rFonts w:ascii="Times New Roman" w:hAnsi="Times New Roman" w:cs="Times New Roman"/>
      <w:sz w:val="24"/>
      <w:szCs w:val="24"/>
    </w:rPr>
  </w:style>
  <w:style w:type="paragraph" w:styleId="ListParagraph">
    <w:name w:val="List Paragraph"/>
    <w:basedOn w:val="Normal"/>
    <w:uiPriority w:val="99"/>
    <w:semiHidden/>
    <w:rsid w:val="002C17A3"/>
    <w:pPr>
      <w:ind w:left="720"/>
      <w:contextualSpacing/>
    </w:pPr>
  </w:style>
  <w:style w:type="paragraph" w:customStyle="1" w:styleId="TOCheadings">
    <w:name w:val="TOC headings"/>
    <w:basedOn w:val="Normal"/>
    <w:link w:val="TOCheadingsChar"/>
    <w:uiPriority w:val="99"/>
    <w:semiHidden/>
    <w:rsid w:val="00D2231E"/>
    <w:pPr>
      <w:keepNext/>
      <w:keepLines/>
      <w:spacing w:before="20" w:after="120" w:line="240" w:lineRule="auto"/>
      <w:outlineLvl w:val="0"/>
    </w:pPr>
    <w:rPr>
      <w:rFonts w:asciiTheme="majorHAnsi" w:eastAsia="Times New Roman" w:hAnsiTheme="majorHAnsi" w:cs="Arial"/>
      <w:b/>
      <w:bCs/>
      <w:color w:val="032432" w:themeColor="background2"/>
      <w:sz w:val="30"/>
      <w:szCs w:val="30"/>
    </w:rPr>
  </w:style>
  <w:style w:type="character" w:customStyle="1" w:styleId="TOCheadingsChar">
    <w:name w:val="TOC headings Char"/>
    <w:basedOn w:val="DefaultParagraphFont"/>
    <w:link w:val="TOCheadings"/>
    <w:uiPriority w:val="99"/>
    <w:semiHidden/>
    <w:rsid w:val="00D2231E"/>
    <w:rPr>
      <w:rFonts w:asciiTheme="majorHAnsi" w:eastAsia="Times New Roman" w:hAnsiTheme="majorHAnsi" w:cs="Arial"/>
      <w:b/>
      <w:bCs/>
      <w:color w:val="032432" w:themeColor="background2"/>
      <w:sz w:val="30"/>
      <w:szCs w:val="30"/>
    </w:rPr>
  </w:style>
  <w:style w:type="paragraph" w:customStyle="1" w:styleId="Majorheading">
    <w:name w:val="Major heading"/>
    <w:basedOn w:val="BodyText"/>
    <w:uiPriority w:val="99"/>
    <w:semiHidden/>
    <w:rsid w:val="002C17A3"/>
    <w:pPr>
      <w:spacing w:before="120" w:after="0" w:line="240" w:lineRule="auto"/>
      <w:ind w:left="624" w:right="624"/>
    </w:pPr>
    <w:rPr>
      <w:rFonts w:asciiTheme="majorHAnsi" w:hAnsiTheme="majorHAnsi"/>
      <w:b/>
      <w:color w:val="032432" w:themeColor="background2"/>
      <w:sz w:val="42"/>
      <w:szCs w:val="40"/>
    </w:rPr>
  </w:style>
  <w:style w:type="paragraph" w:customStyle="1" w:styleId="Minorheading">
    <w:name w:val="Minor heading"/>
    <w:uiPriority w:val="99"/>
    <w:semiHidden/>
    <w:rsid w:val="002C17A3"/>
    <w:pPr>
      <w:spacing w:before="60" w:after="120" w:line="264" w:lineRule="auto"/>
      <w:ind w:left="624" w:right="624"/>
    </w:pPr>
    <w:rPr>
      <w:rFonts w:ascii="Aptos" w:hAnsi="Aptos"/>
      <w:color w:val="4B673B" w:themeColor="accent2"/>
      <w:sz w:val="24"/>
      <w:szCs w:val="24"/>
    </w:rPr>
  </w:style>
  <w:style w:type="paragraph" w:styleId="Signature">
    <w:name w:val="Signature"/>
    <w:basedOn w:val="Normal"/>
    <w:link w:val="SignatureChar"/>
    <w:uiPriority w:val="99"/>
    <w:semiHidden/>
    <w:rsid w:val="002C17A3"/>
    <w:pPr>
      <w:tabs>
        <w:tab w:val="left" w:pos="5670"/>
      </w:tabs>
    </w:pPr>
  </w:style>
  <w:style w:type="character" w:customStyle="1" w:styleId="SignatureChar">
    <w:name w:val="Signature Char"/>
    <w:basedOn w:val="DefaultParagraphFont"/>
    <w:link w:val="Signature"/>
    <w:uiPriority w:val="99"/>
    <w:semiHidden/>
    <w:rsid w:val="002C17A3"/>
    <w:rPr>
      <w:sz w:val="20"/>
      <w:szCs w:val="20"/>
    </w:rPr>
  </w:style>
  <w:style w:type="paragraph" w:styleId="Closing">
    <w:name w:val="Closing"/>
    <w:basedOn w:val="Normal"/>
    <w:next w:val="Normal"/>
    <w:link w:val="ClosingChar"/>
    <w:uiPriority w:val="99"/>
    <w:semiHidden/>
    <w:rsid w:val="002C17A3"/>
    <w:pPr>
      <w:keepNext/>
      <w:spacing w:before="240"/>
    </w:pPr>
  </w:style>
  <w:style w:type="character" w:customStyle="1" w:styleId="ClosingChar">
    <w:name w:val="Closing Char"/>
    <w:basedOn w:val="DefaultParagraphFont"/>
    <w:link w:val="Closing"/>
    <w:uiPriority w:val="99"/>
    <w:semiHidden/>
    <w:rsid w:val="002C17A3"/>
    <w:rPr>
      <w:sz w:val="20"/>
      <w:szCs w:val="20"/>
    </w:rPr>
  </w:style>
  <w:style w:type="paragraph" w:styleId="NoSpacing">
    <w:name w:val="No Spacing"/>
    <w:uiPriority w:val="99"/>
    <w:semiHidden/>
    <w:rsid w:val="002C17A3"/>
    <w:rPr>
      <w:rFonts w:ascii="Aptos" w:hAnsi="Aptos"/>
      <w:color w:val="000000" w:themeColor="text1"/>
      <w:sz w:val="18"/>
      <w:szCs w:val="20"/>
    </w:rPr>
  </w:style>
  <w:style w:type="paragraph" w:styleId="Title">
    <w:name w:val="Title"/>
    <w:basedOn w:val="Normal"/>
    <w:next w:val="Normal"/>
    <w:link w:val="TitleChar"/>
    <w:uiPriority w:val="99"/>
    <w:semiHidden/>
    <w:rsid w:val="002C17A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semiHidden/>
    <w:rsid w:val="002C1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semiHidden/>
    <w:rsid w:val="002C17A3"/>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99"/>
    <w:semiHidden/>
    <w:rsid w:val="002C17A3"/>
    <w:rPr>
      <w:rFonts w:eastAsiaTheme="minorEastAsia"/>
      <w:color w:val="5A5A5A" w:themeColor="text1" w:themeTint="A5"/>
      <w:spacing w:val="15"/>
      <w:szCs w:val="20"/>
    </w:rPr>
  </w:style>
  <w:style w:type="character" w:styleId="SubtleEmphasis">
    <w:name w:val="Subtle Emphasis"/>
    <w:basedOn w:val="DefaultParagraphFont"/>
    <w:uiPriority w:val="99"/>
    <w:semiHidden/>
    <w:rsid w:val="002C17A3"/>
    <w:rPr>
      <w:i/>
      <w:iCs/>
      <w:color w:val="404040" w:themeColor="text1" w:themeTint="BF"/>
    </w:rPr>
  </w:style>
  <w:style w:type="character" w:styleId="Emphasis">
    <w:name w:val="Emphasis"/>
    <w:basedOn w:val="DefaultParagraphFont"/>
    <w:uiPriority w:val="99"/>
    <w:semiHidden/>
    <w:rsid w:val="002C17A3"/>
    <w:rPr>
      <w:i/>
      <w:iCs/>
    </w:rPr>
  </w:style>
  <w:style w:type="character" w:styleId="IntenseEmphasis">
    <w:name w:val="Intense Emphasis"/>
    <w:basedOn w:val="DefaultParagraphFont"/>
    <w:uiPriority w:val="99"/>
    <w:semiHidden/>
    <w:rsid w:val="002C17A3"/>
    <w:rPr>
      <w:i/>
      <w:iCs/>
      <w:color w:val="649EA5" w:themeColor="accent1"/>
    </w:rPr>
  </w:style>
  <w:style w:type="character" w:styleId="Strong">
    <w:name w:val="Strong"/>
    <w:basedOn w:val="DefaultParagraphFont"/>
    <w:uiPriority w:val="99"/>
    <w:semiHidden/>
    <w:rsid w:val="002C17A3"/>
    <w:rPr>
      <w:b/>
      <w:bCs/>
    </w:rPr>
  </w:style>
  <w:style w:type="paragraph" w:styleId="Quote">
    <w:name w:val="Quote"/>
    <w:basedOn w:val="Normal"/>
    <w:next w:val="Normal"/>
    <w:link w:val="QuoteChar"/>
    <w:uiPriority w:val="99"/>
    <w:semiHidden/>
    <w:rsid w:val="002C17A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2C17A3"/>
    <w:rPr>
      <w:i/>
      <w:iCs/>
      <w:color w:val="404040" w:themeColor="text1" w:themeTint="BF"/>
      <w:sz w:val="20"/>
      <w:szCs w:val="20"/>
    </w:rPr>
  </w:style>
  <w:style w:type="paragraph" w:styleId="IntenseQuote">
    <w:name w:val="Intense Quote"/>
    <w:basedOn w:val="Normal"/>
    <w:next w:val="Normal"/>
    <w:link w:val="IntenseQuoteChar"/>
    <w:uiPriority w:val="99"/>
    <w:semiHidden/>
    <w:rsid w:val="002C17A3"/>
    <w:pPr>
      <w:pBdr>
        <w:top w:val="single" w:sz="4" w:space="10" w:color="649EA5" w:themeColor="accent1"/>
        <w:bottom w:val="single" w:sz="4" w:space="10" w:color="649EA5" w:themeColor="accent1"/>
      </w:pBdr>
      <w:spacing w:before="360" w:after="360"/>
      <w:ind w:left="864" w:right="864"/>
      <w:jc w:val="center"/>
    </w:pPr>
    <w:rPr>
      <w:i/>
      <w:iCs/>
      <w:color w:val="649EA5" w:themeColor="accent1"/>
    </w:rPr>
  </w:style>
  <w:style w:type="character" w:customStyle="1" w:styleId="IntenseQuoteChar">
    <w:name w:val="Intense Quote Char"/>
    <w:basedOn w:val="DefaultParagraphFont"/>
    <w:link w:val="IntenseQuote"/>
    <w:uiPriority w:val="99"/>
    <w:semiHidden/>
    <w:rsid w:val="002C17A3"/>
    <w:rPr>
      <w:i/>
      <w:iCs/>
      <w:color w:val="649EA5" w:themeColor="accent1"/>
      <w:sz w:val="20"/>
      <w:szCs w:val="20"/>
    </w:rPr>
  </w:style>
  <w:style w:type="character" w:styleId="SubtleReference">
    <w:name w:val="Subtle Reference"/>
    <w:basedOn w:val="DefaultParagraphFont"/>
    <w:uiPriority w:val="99"/>
    <w:semiHidden/>
    <w:rsid w:val="002C17A3"/>
    <w:rPr>
      <w:smallCaps/>
      <w:color w:val="5A5A5A" w:themeColor="text1" w:themeTint="A5"/>
    </w:rPr>
  </w:style>
  <w:style w:type="character" w:styleId="IntenseReference">
    <w:name w:val="Intense Reference"/>
    <w:basedOn w:val="DefaultParagraphFont"/>
    <w:uiPriority w:val="99"/>
    <w:semiHidden/>
    <w:rsid w:val="002C17A3"/>
    <w:rPr>
      <w:b/>
      <w:bCs/>
      <w:smallCaps/>
      <w:color w:val="649EA5" w:themeColor="accent1"/>
      <w:spacing w:val="5"/>
    </w:rPr>
  </w:style>
  <w:style w:type="character" w:styleId="BookTitle">
    <w:name w:val="Book Title"/>
    <w:basedOn w:val="DefaultParagraphFont"/>
    <w:uiPriority w:val="99"/>
    <w:semiHidden/>
    <w:rsid w:val="002C17A3"/>
    <w:rPr>
      <w:b/>
      <w:bCs/>
      <w:i/>
      <w:iCs/>
      <w:spacing w:val="5"/>
    </w:rPr>
  </w:style>
  <w:style w:type="paragraph" w:customStyle="1" w:styleId="InstructionText">
    <w:name w:val="Instruction Text"/>
    <w:basedOn w:val="Normal"/>
    <w:uiPriority w:val="99"/>
    <w:semiHidden/>
    <w:rsid w:val="002C17A3"/>
    <w:pPr>
      <w:pBdr>
        <w:top w:val="single" w:sz="4" w:space="1" w:color="649EA5" w:themeColor="accent1"/>
        <w:left w:val="single" w:sz="4" w:space="4" w:color="649EA5" w:themeColor="accent1"/>
        <w:bottom w:val="single" w:sz="4" w:space="1" w:color="649EA5" w:themeColor="accent1"/>
        <w:right w:val="single" w:sz="4" w:space="4" w:color="649EA5" w:themeColor="accent1"/>
      </w:pBdr>
      <w:shd w:val="clear" w:color="auto" w:fill="E0EBED" w:themeFill="accent1" w:themeFillTint="33"/>
      <w:spacing w:line="240" w:lineRule="atLeast"/>
    </w:pPr>
    <w:rPr>
      <w:color w:val="649EA5" w:themeColor="accent1"/>
    </w:rPr>
  </w:style>
  <w:style w:type="character" w:styleId="CommentReference">
    <w:name w:val="annotation reference"/>
    <w:basedOn w:val="DefaultParagraphFont"/>
    <w:uiPriority w:val="99"/>
    <w:semiHidden/>
    <w:rsid w:val="002C17A3"/>
    <w:rPr>
      <w:sz w:val="16"/>
      <w:szCs w:val="16"/>
    </w:rPr>
  </w:style>
  <w:style w:type="paragraph" w:styleId="CommentText">
    <w:name w:val="annotation text"/>
    <w:basedOn w:val="Normal"/>
    <w:link w:val="CommentTextChar"/>
    <w:uiPriority w:val="99"/>
    <w:unhideWhenUsed/>
    <w:rsid w:val="002C17A3"/>
    <w:pPr>
      <w:spacing w:line="240" w:lineRule="auto"/>
    </w:pPr>
  </w:style>
  <w:style w:type="character" w:customStyle="1" w:styleId="CommentTextChar">
    <w:name w:val="Comment Text Char"/>
    <w:basedOn w:val="DefaultParagraphFont"/>
    <w:link w:val="CommentText"/>
    <w:uiPriority w:val="99"/>
    <w:rsid w:val="002C17A3"/>
    <w:rPr>
      <w:sz w:val="20"/>
      <w:szCs w:val="20"/>
    </w:rPr>
  </w:style>
  <w:style w:type="paragraph" w:styleId="CommentSubject">
    <w:name w:val="annotation subject"/>
    <w:basedOn w:val="Normal"/>
    <w:next w:val="Normal"/>
    <w:link w:val="CommentSubjectChar"/>
    <w:uiPriority w:val="99"/>
    <w:semiHidden/>
    <w:rsid w:val="002C17A3"/>
    <w:pPr>
      <w:spacing w:line="240" w:lineRule="auto"/>
    </w:pPr>
    <w:rPr>
      <w:b/>
      <w:bCs/>
    </w:rPr>
  </w:style>
  <w:style w:type="character" w:customStyle="1" w:styleId="CommentSubjectChar">
    <w:name w:val="Comment Subject Char"/>
    <w:basedOn w:val="DefaultParagraphFont"/>
    <w:link w:val="CommentSubject"/>
    <w:uiPriority w:val="99"/>
    <w:semiHidden/>
    <w:rsid w:val="002C17A3"/>
    <w:rPr>
      <w:b/>
      <w:bCs/>
      <w:sz w:val="20"/>
      <w:szCs w:val="20"/>
    </w:rPr>
  </w:style>
  <w:style w:type="numbering" w:customStyle="1" w:styleId="Headings">
    <w:name w:val="Headings"/>
    <w:uiPriority w:val="99"/>
    <w:rsid w:val="00DC346A"/>
    <w:pPr>
      <w:numPr>
        <w:numId w:val="3"/>
      </w:numPr>
    </w:pPr>
  </w:style>
  <w:style w:type="paragraph" w:styleId="ListBullet3">
    <w:name w:val="List Bullet 3"/>
    <w:basedOn w:val="Normal"/>
    <w:uiPriority w:val="1"/>
    <w:semiHidden/>
    <w:rsid w:val="003A5FDA"/>
    <w:pPr>
      <w:ind w:left="425" w:hanging="425"/>
      <w:contextualSpacing/>
    </w:pPr>
  </w:style>
  <w:style w:type="paragraph" w:styleId="ListBullet4">
    <w:name w:val="List Bullet 4"/>
    <w:basedOn w:val="Normal"/>
    <w:uiPriority w:val="1"/>
    <w:semiHidden/>
    <w:rsid w:val="003A5FDA"/>
    <w:pPr>
      <w:ind w:left="425" w:hanging="425"/>
      <w:contextualSpacing/>
    </w:pPr>
  </w:style>
  <w:style w:type="paragraph" w:styleId="ListBullet5">
    <w:name w:val="List Bullet 5"/>
    <w:basedOn w:val="Normal"/>
    <w:uiPriority w:val="1"/>
    <w:semiHidden/>
    <w:rsid w:val="003A5FDA"/>
    <w:pPr>
      <w:ind w:left="425" w:hanging="425"/>
      <w:contextualSpacing/>
    </w:pPr>
  </w:style>
  <w:style w:type="paragraph" w:customStyle="1" w:styleId="ListBullet6">
    <w:name w:val="List Bullet 6"/>
    <w:basedOn w:val="ListBullet1"/>
    <w:uiPriority w:val="1"/>
    <w:semiHidden/>
    <w:rsid w:val="003A5FDA"/>
  </w:style>
  <w:style w:type="paragraph" w:customStyle="1" w:styleId="ListBullet7">
    <w:name w:val="List Bullet 7"/>
    <w:basedOn w:val="ListBullet1"/>
    <w:uiPriority w:val="1"/>
    <w:semiHidden/>
    <w:rsid w:val="003A5FDA"/>
  </w:style>
  <w:style w:type="paragraph" w:customStyle="1" w:styleId="ListBullet8">
    <w:name w:val="List Bullet 8"/>
    <w:basedOn w:val="ListBullet1"/>
    <w:uiPriority w:val="1"/>
    <w:semiHidden/>
    <w:rsid w:val="003A5FDA"/>
  </w:style>
  <w:style w:type="paragraph" w:customStyle="1" w:styleId="ListBullet9">
    <w:name w:val="List Bullet 9"/>
    <w:basedOn w:val="ListBullet1"/>
    <w:uiPriority w:val="1"/>
    <w:semiHidden/>
    <w:rsid w:val="003A5FDA"/>
    <w:pPr>
      <w:numPr>
        <w:numId w:val="14"/>
      </w:numPr>
    </w:pPr>
  </w:style>
  <w:style w:type="numbering" w:customStyle="1" w:styleId="ListBullets">
    <w:name w:val="List Bullets"/>
    <w:uiPriority w:val="99"/>
    <w:rsid w:val="003A5FDA"/>
    <w:pPr>
      <w:numPr>
        <w:numId w:val="5"/>
      </w:numPr>
    </w:pPr>
  </w:style>
  <w:style w:type="paragraph" w:customStyle="1" w:styleId="Number4">
    <w:name w:val="Number 4"/>
    <w:basedOn w:val="Number3"/>
    <w:uiPriority w:val="1"/>
    <w:semiHidden/>
    <w:rsid w:val="00DC346A"/>
    <w:pPr>
      <w:numPr>
        <w:ilvl w:val="3"/>
      </w:numPr>
    </w:pPr>
  </w:style>
  <w:style w:type="paragraph" w:customStyle="1" w:styleId="Number5">
    <w:name w:val="Number 5"/>
    <w:basedOn w:val="Number3"/>
    <w:uiPriority w:val="1"/>
    <w:semiHidden/>
    <w:rsid w:val="00DC346A"/>
    <w:pPr>
      <w:numPr>
        <w:ilvl w:val="4"/>
      </w:numPr>
    </w:pPr>
  </w:style>
  <w:style w:type="paragraph" w:customStyle="1" w:styleId="Number6">
    <w:name w:val="Number 6"/>
    <w:basedOn w:val="Number3"/>
    <w:uiPriority w:val="1"/>
    <w:semiHidden/>
    <w:rsid w:val="00DC346A"/>
    <w:pPr>
      <w:numPr>
        <w:ilvl w:val="5"/>
      </w:numPr>
    </w:pPr>
  </w:style>
  <w:style w:type="paragraph" w:customStyle="1" w:styleId="Number7">
    <w:name w:val="Number 7"/>
    <w:basedOn w:val="Number3"/>
    <w:uiPriority w:val="1"/>
    <w:semiHidden/>
    <w:rsid w:val="00DC346A"/>
    <w:pPr>
      <w:numPr>
        <w:ilvl w:val="6"/>
      </w:numPr>
    </w:pPr>
  </w:style>
  <w:style w:type="paragraph" w:customStyle="1" w:styleId="Number8">
    <w:name w:val="Number 8"/>
    <w:basedOn w:val="Number3"/>
    <w:uiPriority w:val="1"/>
    <w:semiHidden/>
    <w:rsid w:val="00DC346A"/>
    <w:pPr>
      <w:numPr>
        <w:ilvl w:val="7"/>
      </w:numPr>
    </w:pPr>
  </w:style>
  <w:style w:type="paragraph" w:customStyle="1" w:styleId="Number9">
    <w:name w:val="Number 9"/>
    <w:basedOn w:val="Normal"/>
    <w:uiPriority w:val="1"/>
    <w:semiHidden/>
    <w:rsid w:val="002C17A3"/>
    <w:pPr>
      <w:numPr>
        <w:ilvl w:val="8"/>
        <w:numId w:val="13"/>
      </w:numPr>
    </w:pPr>
  </w:style>
  <w:style w:type="character" w:styleId="UnresolvedMention">
    <w:name w:val="Unresolved Mention"/>
    <w:basedOn w:val="DefaultParagraphFont"/>
    <w:uiPriority w:val="99"/>
    <w:semiHidden/>
    <w:rsid w:val="002C17A3"/>
    <w:rPr>
      <w:color w:val="605E5C"/>
      <w:shd w:val="clear" w:color="auto" w:fill="E1DFDD"/>
    </w:rPr>
  </w:style>
  <w:style w:type="paragraph" w:customStyle="1" w:styleId="TableBullet3">
    <w:name w:val="Table Bullet 3"/>
    <w:basedOn w:val="TableBullet2"/>
    <w:uiPriority w:val="99"/>
    <w:semiHidden/>
    <w:rsid w:val="003A5FDA"/>
    <w:pPr>
      <w:numPr>
        <w:ilvl w:val="2"/>
      </w:numPr>
    </w:pPr>
  </w:style>
  <w:style w:type="paragraph" w:customStyle="1" w:styleId="TableBullet4">
    <w:name w:val="Table Bullet 4"/>
    <w:basedOn w:val="TableBullet2"/>
    <w:uiPriority w:val="99"/>
    <w:semiHidden/>
    <w:rsid w:val="003A5FDA"/>
    <w:pPr>
      <w:numPr>
        <w:ilvl w:val="3"/>
      </w:numPr>
    </w:pPr>
  </w:style>
  <w:style w:type="paragraph" w:customStyle="1" w:styleId="TableBullet5">
    <w:name w:val="Table Bullet 5"/>
    <w:basedOn w:val="TableBullet2"/>
    <w:uiPriority w:val="99"/>
    <w:semiHidden/>
    <w:rsid w:val="003A5FDA"/>
    <w:pPr>
      <w:numPr>
        <w:ilvl w:val="4"/>
      </w:numPr>
    </w:pPr>
  </w:style>
  <w:style w:type="paragraph" w:customStyle="1" w:styleId="TableBullet6">
    <w:name w:val="Table Bullet 6"/>
    <w:basedOn w:val="TableBullet2"/>
    <w:uiPriority w:val="99"/>
    <w:semiHidden/>
    <w:rsid w:val="003A5FDA"/>
    <w:pPr>
      <w:numPr>
        <w:ilvl w:val="5"/>
      </w:numPr>
    </w:pPr>
  </w:style>
  <w:style w:type="paragraph" w:customStyle="1" w:styleId="TableBullet7">
    <w:name w:val="Table Bullet 7"/>
    <w:basedOn w:val="TableBullet2"/>
    <w:uiPriority w:val="99"/>
    <w:semiHidden/>
    <w:rsid w:val="003A5FDA"/>
    <w:pPr>
      <w:numPr>
        <w:ilvl w:val="6"/>
      </w:numPr>
    </w:pPr>
  </w:style>
  <w:style w:type="paragraph" w:customStyle="1" w:styleId="TableBullet8">
    <w:name w:val="Table Bullet 8"/>
    <w:basedOn w:val="TableBullet2"/>
    <w:uiPriority w:val="99"/>
    <w:semiHidden/>
    <w:rsid w:val="003A5FDA"/>
    <w:pPr>
      <w:numPr>
        <w:ilvl w:val="7"/>
      </w:numPr>
    </w:pPr>
  </w:style>
  <w:style w:type="paragraph" w:customStyle="1" w:styleId="TableBullet9">
    <w:name w:val="Table Bullet 9"/>
    <w:basedOn w:val="TableBullet2"/>
    <w:uiPriority w:val="99"/>
    <w:semiHidden/>
    <w:rsid w:val="003A5FDA"/>
    <w:pPr>
      <w:numPr>
        <w:ilvl w:val="8"/>
      </w:numPr>
    </w:pPr>
  </w:style>
  <w:style w:type="numbering" w:customStyle="1" w:styleId="TableBullets">
    <w:name w:val="Table Bullets"/>
    <w:uiPriority w:val="99"/>
    <w:rsid w:val="002C17A3"/>
    <w:pPr>
      <w:numPr>
        <w:numId w:val="6"/>
      </w:numPr>
    </w:pPr>
  </w:style>
  <w:style w:type="paragraph" w:customStyle="1" w:styleId="AppHeading4">
    <w:name w:val="AppHeading4"/>
    <w:basedOn w:val="Normal"/>
    <w:uiPriority w:val="99"/>
    <w:semiHidden/>
    <w:rsid w:val="003A5FDA"/>
    <w:pPr>
      <w:tabs>
        <w:tab w:val="num" w:pos="1492"/>
      </w:tabs>
      <w:ind w:left="709" w:hanging="709"/>
    </w:pPr>
  </w:style>
  <w:style w:type="paragraph" w:customStyle="1" w:styleId="AppHeading5">
    <w:name w:val="AppHeading5"/>
    <w:basedOn w:val="Normal"/>
    <w:uiPriority w:val="99"/>
    <w:semiHidden/>
    <w:rsid w:val="003A5FDA"/>
    <w:pPr>
      <w:tabs>
        <w:tab w:val="num" w:pos="1492"/>
      </w:tabs>
      <w:ind w:left="709" w:hanging="709"/>
    </w:pPr>
  </w:style>
  <w:style w:type="paragraph" w:customStyle="1" w:styleId="AppHeading6">
    <w:name w:val="AppHeading6"/>
    <w:basedOn w:val="Normal"/>
    <w:uiPriority w:val="99"/>
    <w:semiHidden/>
    <w:rsid w:val="003A5FDA"/>
    <w:pPr>
      <w:tabs>
        <w:tab w:val="num" w:pos="1492"/>
      </w:tabs>
      <w:ind w:left="709" w:hanging="709"/>
    </w:pPr>
  </w:style>
  <w:style w:type="paragraph" w:customStyle="1" w:styleId="AppHeading7">
    <w:name w:val="AppHeading7"/>
    <w:basedOn w:val="Normal"/>
    <w:uiPriority w:val="99"/>
    <w:semiHidden/>
    <w:rsid w:val="003A5FDA"/>
    <w:pPr>
      <w:tabs>
        <w:tab w:val="num" w:pos="1492"/>
      </w:tabs>
      <w:ind w:left="709" w:hanging="709"/>
    </w:pPr>
  </w:style>
  <w:style w:type="paragraph" w:customStyle="1" w:styleId="AppHeading8">
    <w:name w:val="AppHeading8"/>
    <w:basedOn w:val="Normal"/>
    <w:uiPriority w:val="99"/>
    <w:semiHidden/>
    <w:rsid w:val="003A5FDA"/>
    <w:pPr>
      <w:tabs>
        <w:tab w:val="num" w:pos="1492"/>
      </w:tabs>
      <w:ind w:left="709" w:hanging="709"/>
    </w:pPr>
  </w:style>
  <w:style w:type="paragraph" w:customStyle="1" w:styleId="AppHeading9">
    <w:name w:val="AppHeading9"/>
    <w:basedOn w:val="Normal"/>
    <w:uiPriority w:val="99"/>
    <w:semiHidden/>
    <w:rsid w:val="003A5FDA"/>
    <w:pPr>
      <w:numPr>
        <w:numId w:val="27"/>
      </w:numPr>
    </w:pPr>
  </w:style>
  <w:style w:type="numbering" w:customStyle="1" w:styleId="AppendixNumbering">
    <w:name w:val="Appendix Numbering"/>
    <w:uiPriority w:val="99"/>
    <w:rsid w:val="003A5FDA"/>
    <w:pPr>
      <w:numPr>
        <w:numId w:val="15"/>
      </w:numPr>
    </w:pPr>
  </w:style>
  <w:style w:type="paragraph" w:customStyle="1" w:styleId="TableNumber1">
    <w:name w:val="Table Number 1"/>
    <w:basedOn w:val="TableText"/>
    <w:uiPriority w:val="4"/>
    <w:qFormat/>
    <w:rsid w:val="00DC346A"/>
    <w:pPr>
      <w:numPr>
        <w:numId w:val="23"/>
      </w:numPr>
    </w:pPr>
  </w:style>
  <w:style w:type="paragraph" w:customStyle="1" w:styleId="TableNumber2">
    <w:name w:val="Table Number 2"/>
    <w:basedOn w:val="TableText"/>
    <w:uiPriority w:val="4"/>
    <w:qFormat/>
    <w:rsid w:val="00DC346A"/>
    <w:pPr>
      <w:numPr>
        <w:ilvl w:val="1"/>
        <w:numId w:val="23"/>
      </w:numPr>
    </w:pPr>
  </w:style>
  <w:style w:type="paragraph" w:customStyle="1" w:styleId="TableNumber3">
    <w:name w:val="Table Number 3"/>
    <w:basedOn w:val="TableText"/>
    <w:uiPriority w:val="4"/>
    <w:qFormat/>
    <w:rsid w:val="00DC346A"/>
    <w:pPr>
      <w:numPr>
        <w:ilvl w:val="2"/>
        <w:numId w:val="23"/>
      </w:numPr>
    </w:pPr>
  </w:style>
  <w:style w:type="paragraph" w:customStyle="1" w:styleId="TableNumber4">
    <w:name w:val="Table Number 4"/>
    <w:basedOn w:val="TableText"/>
    <w:uiPriority w:val="4"/>
    <w:semiHidden/>
    <w:rsid w:val="00DC346A"/>
    <w:pPr>
      <w:numPr>
        <w:ilvl w:val="3"/>
        <w:numId w:val="23"/>
      </w:numPr>
    </w:pPr>
  </w:style>
  <w:style w:type="paragraph" w:customStyle="1" w:styleId="TableNumber5">
    <w:name w:val="Table Number 5"/>
    <w:basedOn w:val="TableText"/>
    <w:uiPriority w:val="4"/>
    <w:semiHidden/>
    <w:rsid w:val="00DC346A"/>
    <w:pPr>
      <w:numPr>
        <w:ilvl w:val="4"/>
        <w:numId w:val="23"/>
      </w:numPr>
    </w:pPr>
  </w:style>
  <w:style w:type="paragraph" w:customStyle="1" w:styleId="TableNumber6">
    <w:name w:val="Table Number 6"/>
    <w:basedOn w:val="TableText"/>
    <w:uiPriority w:val="4"/>
    <w:semiHidden/>
    <w:rsid w:val="00DC346A"/>
    <w:pPr>
      <w:numPr>
        <w:ilvl w:val="5"/>
        <w:numId w:val="23"/>
      </w:numPr>
    </w:pPr>
  </w:style>
  <w:style w:type="paragraph" w:customStyle="1" w:styleId="TableNumber7">
    <w:name w:val="Table Number 7"/>
    <w:basedOn w:val="TableText"/>
    <w:uiPriority w:val="4"/>
    <w:semiHidden/>
    <w:rsid w:val="00DC346A"/>
    <w:pPr>
      <w:numPr>
        <w:ilvl w:val="6"/>
        <w:numId w:val="23"/>
      </w:numPr>
    </w:pPr>
  </w:style>
  <w:style w:type="paragraph" w:customStyle="1" w:styleId="TableNumber8">
    <w:name w:val="Table Number 8"/>
    <w:basedOn w:val="TableText"/>
    <w:uiPriority w:val="4"/>
    <w:semiHidden/>
    <w:rsid w:val="00DC346A"/>
    <w:pPr>
      <w:numPr>
        <w:ilvl w:val="7"/>
        <w:numId w:val="23"/>
      </w:numPr>
    </w:pPr>
  </w:style>
  <w:style w:type="paragraph" w:customStyle="1" w:styleId="TableNumber9">
    <w:name w:val="Table Number 9"/>
    <w:basedOn w:val="TableText"/>
    <w:uiPriority w:val="4"/>
    <w:semiHidden/>
    <w:rsid w:val="00DC346A"/>
    <w:pPr>
      <w:numPr>
        <w:ilvl w:val="8"/>
        <w:numId w:val="23"/>
      </w:numPr>
    </w:pPr>
  </w:style>
  <w:style w:type="numbering" w:customStyle="1" w:styleId="Tablenumbering">
    <w:name w:val="Table numbering"/>
    <w:uiPriority w:val="99"/>
    <w:rsid w:val="00DC346A"/>
    <w:pPr>
      <w:numPr>
        <w:numId w:val="18"/>
      </w:numPr>
    </w:pPr>
  </w:style>
  <w:style w:type="numbering" w:styleId="111111">
    <w:name w:val="Outline List 2"/>
    <w:basedOn w:val="NoList"/>
    <w:uiPriority w:val="99"/>
    <w:semiHidden/>
    <w:unhideWhenUsed/>
    <w:rsid w:val="003A5FDA"/>
    <w:pPr>
      <w:numPr>
        <w:numId w:val="28"/>
      </w:numPr>
    </w:pPr>
  </w:style>
  <w:style w:type="numbering" w:styleId="1ai">
    <w:name w:val="Outline List 1"/>
    <w:basedOn w:val="NoList"/>
    <w:uiPriority w:val="99"/>
    <w:semiHidden/>
    <w:unhideWhenUsed/>
    <w:rsid w:val="002C17A3"/>
    <w:pPr>
      <w:numPr>
        <w:numId w:val="16"/>
      </w:numPr>
    </w:pPr>
  </w:style>
  <w:style w:type="numbering" w:styleId="ArticleSection">
    <w:name w:val="Outline List 3"/>
    <w:basedOn w:val="NoList"/>
    <w:uiPriority w:val="99"/>
    <w:semiHidden/>
    <w:unhideWhenUsed/>
    <w:rsid w:val="002C17A3"/>
    <w:pPr>
      <w:numPr>
        <w:numId w:val="17"/>
      </w:numPr>
    </w:pPr>
  </w:style>
  <w:style w:type="paragraph" w:styleId="Bibliography">
    <w:name w:val="Bibliography"/>
    <w:basedOn w:val="Normal"/>
    <w:next w:val="Normal"/>
    <w:uiPriority w:val="37"/>
    <w:semiHidden/>
    <w:unhideWhenUsed/>
    <w:rsid w:val="002C17A3"/>
  </w:style>
  <w:style w:type="paragraph" w:styleId="BlockText">
    <w:name w:val="Block Text"/>
    <w:basedOn w:val="Normal"/>
    <w:uiPriority w:val="99"/>
    <w:semiHidden/>
    <w:rsid w:val="002C17A3"/>
    <w:pPr>
      <w:pBdr>
        <w:top w:val="single" w:sz="2" w:space="10" w:color="649EA5" w:themeColor="accent1"/>
        <w:left w:val="single" w:sz="2" w:space="10" w:color="649EA5" w:themeColor="accent1"/>
        <w:bottom w:val="single" w:sz="2" w:space="10" w:color="649EA5" w:themeColor="accent1"/>
        <w:right w:val="single" w:sz="2" w:space="10" w:color="649EA5" w:themeColor="accent1"/>
      </w:pBdr>
      <w:ind w:left="1152" w:right="1152"/>
    </w:pPr>
    <w:rPr>
      <w:rFonts w:eastAsiaTheme="minorEastAsia"/>
      <w:i/>
      <w:iCs/>
      <w:color w:val="649EA5" w:themeColor="accent1"/>
    </w:rPr>
  </w:style>
  <w:style w:type="paragraph" w:styleId="BodyText0">
    <w:name w:val="Body Text"/>
    <w:basedOn w:val="Normal"/>
    <w:link w:val="BodyTextChar"/>
    <w:uiPriority w:val="99"/>
    <w:semiHidden/>
    <w:rsid w:val="002C17A3"/>
    <w:pPr>
      <w:spacing w:after="120"/>
    </w:pPr>
  </w:style>
  <w:style w:type="character" w:customStyle="1" w:styleId="BodyTextChar">
    <w:name w:val="Body Text Char"/>
    <w:basedOn w:val="DefaultParagraphFont"/>
    <w:link w:val="BodyText0"/>
    <w:uiPriority w:val="99"/>
    <w:semiHidden/>
    <w:rsid w:val="002C17A3"/>
    <w:rPr>
      <w:sz w:val="20"/>
      <w:szCs w:val="20"/>
    </w:rPr>
  </w:style>
  <w:style w:type="paragraph" w:styleId="BodyText2">
    <w:name w:val="Body Text 2"/>
    <w:basedOn w:val="Normal"/>
    <w:link w:val="BodyText2Char"/>
    <w:uiPriority w:val="99"/>
    <w:semiHidden/>
    <w:rsid w:val="002C17A3"/>
    <w:pPr>
      <w:spacing w:after="120" w:line="480" w:lineRule="auto"/>
    </w:pPr>
  </w:style>
  <w:style w:type="character" w:customStyle="1" w:styleId="BodyText2Char">
    <w:name w:val="Body Text 2 Char"/>
    <w:basedOn w:val="DefaultParagraphFont"/>
    <w:link w:val="BodyText2"/>
    <w:uiPriority w:val="99"/>
    <w:semiHidden/>
    <w:rsid w:val="002C17A3"/>
    <w:rPr>
      <w:sz w:val="20"/>
      <w:szCs w:val="20"/>
    </w:rPr>
  </w:style>
  <w:style w:type="paragraph" w:styleId="BodyText3">
    <w:name w:val="Body Text 3"/>
    <w:basedOn w:val="Normal"/>
    <w:link w:val="BodyText3Char"/>
    <w:uiPriority w:val="99"/>
    <w:semiHidden/>
    <w:rsid w:val="002C17A3"/>
    <w:pPr>
      <w:spacing w:after="120"/>
    </w:pPr>
    <w:rPr>
      <w:sz w:val="16"/>
      <w:szCs w:val="16"/>
    </w:rPr>
  </w:style>
  <w:style w:type="character" w:customStyle="1" w:styleId="BodyText3Char">
    <w:name w:val="Body Text 3 Char"/>
    <w:basedOn w:val="DefaultParagraphFont"/>
    <w:link w:val="BodyText3"/>
    <w:uiPriority w:val="99"/>
    <w:semiHidden/>
    <w:rsid w:val="002C17A3"/>
    <w:rPr>
      <w:sz w:val="16"/>
      <w:szCs w:val="16"/>
    </w:rPr>
  </w:style>
  <w:style w:type="paragraph" w:styleId="BodyTextFirstIndent">
    <w:name w:val="Body Text First Indent"/>
    <w:basedOn w:val="BodyText0"/>
    <w:link w:val="BodyTextFirstIndentChar"/>
    <w:uiPriority w:val="99"/>
    <w:semiHidden/>
    <w:rsid w:val="002C17A3"/>
    <w:pPr>
      <w:spacing w:after="0"/>
      <w:ind w:firstLine="360"/>
    </w:pPr>
  </w:style>
  <w:style w:type="character" w:customStyle="1" w:styleId="BodyTextFirstIndentChar">
    <w:name w:val="Body Text First Indent Char"/>
    <w:basedOn w:val="BodyTextChar"/>
    <w:link w:val="BodyTextFirstIndent"/>
    <w:uiPriority w:val="99"/>
    <w:semiHidden/>
    <w:rsid w:val="002C17A3"/>
    <w:rPr>
      <w:sz w:val="20"/>
      <w:szCs w:val="20"/>
    </w:rPr>
  </w:style>
  <w:style w:type="paragraph" w:styleId="BodyTextIndent">
    <w:name w:val="Body Text Indent"/>
    <w:basedOn w:val="Normal"/>
    <w:link w:val="BodyTextIndentChar"/>
    <w:uiPriority w:val="99"/>
    <w:semiHidden/>
    <w:rsid w:val="002C17A3"/>
    <w:pPr>
      <w:spacing w:after="120"/>
      <w:ind w:left="283"/>
    </w:pPr>
  </w:style>
  <w:style w:type="character" w:customStyle="1" w:styleId="BodyTextIndentChar">
    <w:name w:val="Body Text Indent Char"/>
    <w:basedOn w:val="DefaultParagraphFont"/>
    <w:link w:val="BodyTextIndent"/>
    <w:uiPriority w:val="99"/>
    <w:semiHidden/>
    <w:rsid w:val="002C17A3"/>
    <w:rPr>
      <w:sz w:val="20"/>
      <w:szCs w:val="20"/>
    </w:rPr>
  </w:style>
  <w:style w:type="paragraph" w:styleId="BodyTextFirstIndent2">
    <w:name w:val="Body Text First Indent 2"/>
    <w:basedOn w:val="BodyTextIndent"/>
    <w:link w:val="BodyTextFirstIndent2Char"/>
    <w:uiPriority w:val="99"/>
    <w:semiHidden/>
    <w:rsid w:val="002C17A3"/>
    <w:pPr>
      <w:spacing w:after="0"/>
      <w:ind w:left="360" w:firstLine="360"/>
    </w:pPr>
  </w:style>
  <w:style w:type="character" w:customStyle="1" w:styleId="BodyTextFirstIndent2Char">
    <w:name w:val="Body Text First Indent 2 Char"/>
    <w:basedOn w:val="BodyTextIndentChar"/>
    <w:link w:val="BodyTextFirstIndent2"/>
    <w:uiPriority w:val="99"/>
    <w:semiHidden/>
    <w:rsid w:val="002C17A3"/>
    <w:rPr>
      <w:sz w:val="20"/>
      <w:szCs w:val="20"/>
    </w:rPr>
  </w:style>
  <w:style w:type="paragraph" w:styleId="BodyTextIndent2">
    <w:name w:val="Body Text Indent 2"/>
    <w:basedOn w:val="Normal"/>
    <w:link w:val="BodyTextIndent2Char"/>
    <w:uiPriority w:val="99"/>
    <w:semiHidden/>
    <w:rsid w:val="002C17A3"/>
    <w:pPr>
      <w:spacing w:after="120" w:line="480" w:lineRule="auto"/>
      <w:ind w:left="283"/>
    </w:pPr>
  </w:style>
  <w:style w:type="character" w:customStyle="1" w:styleId="BodyTextIndent2Char">
    <w:name w:val="Body Text Indent 2 Char"/>
    <w:basedOn w:val="DefaultParagraphFont"/>
    <w:link w:val="BodyTextIndent2"/>
    <w:uiPriority w:val="99"/>
    <w:semiHidden/>
    <w:rsid w:val="002C17A3"/>
    <w:rPr>
      <w:sz w:val="20"/>
      <w:szCs w:val="20"/>
    </w:rPr>
  </w:style>
  <w:style w:type="paragraph" w:styleId="BodyTextIndent3">
    <w:name w:val="Body Text Indent 3"/>
    <w:basedOn w:val="Normal"/>
    <w:link w:val="BodyTextIndent3Char"/>
    <w:uiPriority w:val="99"/>
    <w:semiHidden/>
    <w:rsid w:val="002C17A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C17A3"/>
    <w:rPr>
      <w:sz w:val="16"/>
      <w:szCs w:val="16"/>
    </w:rPr>
  </w:style>
  <w:style w:type="paragraph" w:styleId="Date">
    <w:name w:val="Date"/>
    <w:basedOn w:val="Normal"/>
    <w:next w:val="Normal"/>
    <w:link w:val="DateChar"/>
    <w:uiPriority w:val="99"/>
    <w:semiHidden/>
    <w:rsid w:val="002C17A3"/>
  </w:style>
  <w:style w:type="character" w:customStyle="1" w:styleId="DateChar">
    <w:name w:val="Date Char"/>
    <w:basedOn w:val="DefaultParagraphFont"/>
    <w:link w:val="Date"/>
    <w:uiPriority w:val="99"/>
    <w:semiHidden/>
    <w:rsid w:val="002C17A3"/>
    <w:rPr>
      <w:sz w:val="20"/>
      <w:szCs w:val="20"/>
    </w:rPr>
  </w:style>
  <w:style w:type="paragraph" w:styleId="DocumentMap">
    <w:name w:val="Document Map"/>
    <w:basedOn w:val="Normal"/>
    <w:link w:val="DocumentMapChar"/>
    <w:uiPriority w:val="99"/>
    <w:semiHidden/>
    <w:rsid w:val="002C17A3"/>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C17A3"/>
    <w:rPr>
      <w:rFonts w:ascii="Segoe UI" w:hAnsi="Segoe UI" w:cs="Segoe UI"/>
      <w:sz w:val="16"/>
      <w:szCs w:val="16"/>
    </w:rPr>
  </w:style>
  <w:style w:type="paragraph" w:styleId="E-mailSignature">
    <w:name w:val="E-mail Signature"/>
    <w:basedOn w:val="Normal"/>
    <w:link w:val="E-mailSignatureChar"/>
    <w:uiPriority w:val="99"/>
    <w:semiHidden/>
    <w:rsid w:val="002C17A3"/>
    <w:pPr>
      <w:spacing w:line="240" w:lineRule="auto"/>
    </w:pPr>
  </w:style>
  <w:style w:type="character" w:customStyle="1" w:styleId="E-mailSignatureChar">
    <w:name w:val="E-mail Signature Char"/>
    <w:basedOn w:val="DefaultParagraphFont"/>
    <w:link w:val="E-mailSignature"/>
    <w:uiPriority w:val="99"/>
    <w:semiHidden/>
    <w:rsid w:val="002C17A3"/>
    <w:rPr>
      <w:sz w:val="20"/>
      <w:szCs w:val="20"/>
    </w:rPr>
  </w:style>
  <w:style w:type="character" w:styleId="EndnoteReference">
    <w:name w:val="endnote reference"/>
    <w:basedOn w:val="DefaultParagraphFont"/>
    <w:uiPriority w:val="99"/>
    <w:semiHidden/>
    <w:rsid w:val="002C17A3"/>
    <w:rPr>
      <w:vertAlign w:val="superscript"/>
    </w:rPr>
  </w:style>
  <w:style w:type="paragraph" w:styleId="EndnoteText">
    <w:name w:val="endnote text"/>
    <w:basedOn w:val="Normal"/>
    <w:link w:val="EndnoteTextChar"/>
    <w:uiPriority w:val="99"/>
    <w:semiHidden/>
    <w:rsid w:val="002C17A3"/>
    <w:pPr>
      <w:spacing w:line="240" w:lineRule="auto"/>
    </w:pPr>
  </w:style>
  <w:style w:type="character" w:customStyle="1" w:styleId="EndnoteTextChar">
    <w:name w:val="Endnote Text Char"/>
    <w:basedOn w:val="DefaultParagraphFont"/>
    <w:link w:val="EndnoteText"/>
    <w:uiPriority w:val="99"/>
    <w:semiHidden/>
    <w:rsid w:val="002C17A3"/>
    <w:rPr>
      <w:sz w:val="20"/>
      <w:szCs w:val="20"/>
    </w:rPr>
  </w:style>
  <w:style w:type="paragraph" w:styleId="EnvelopeAddress">
    <w:name w:val="envelope address"/>
    <w:basedOn w:val="Normal"/>
    <w:uiPriority w:val="99"/>
    <w:semiHidden/>
    <w:rsid w:val="00DC346A"/>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C17A3"/>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C17A3"/>
    <w:rPr>
      <w:color w:val="B1B3B3" w:themeColor="followedHyperlink"/>
      <w:u w:val="single"/>
    </w:rPr>
  </w:style>
  <w:style w:type="character" w:styleId="Hashtag">
    <w:name w:val="Hashtag"/>
    <w:basedOn w:val="DefaultParagraphFont"/>
    <w:uiPriority w:val="99"/>
    <w:semiHidden/>
    <w:rsid w:val="002C17A3"/>
    <w:rPr>
      <w:color w:val="2B579A"/>
      <w:shd w:val="clear" w:color="auto" w:fill="E1DFDD"/>
    </w:rPr>
  </w:style>
  <w:style w:type="character" w:styleId="HTMLAcronym">
    <w:name w:val="HTML Acronym"/>
    <w:basedOn w:val="DefaultParagraphFont"/>
    <w:uiPriority w:val="99"/>
    <w:semiHidden/>
    <w:rsid w:val="002C17A3"/>
  </w:style>
  <w:style w:type="paragraph" w:styleId="HTMLAddress">
    <w:name w:val="HTML Address"/>
    <w:basedOn w:val="Normal"/>
    <w:link w:val="HTMLAddressChar"/>
    <w:uiPriority w:val="99"/>
    <w:semiHidden/>
    <w:rsid w:val="002C17A3"/>
    <w:pPr>
      <w:spacing w:line="240" w:lineRule="auto"/>
    </w:pPr>
    <w:rPr>
      <w:i/>
      <w:iCs/>
    </w:rPr>
  </w:style>
  <w:style w:type="character" w:customStyle="1" w:styleId="HTMLAddressChar">
    <w:name w:val="HTML Address Char"/>
    <w:basedOn w:val="DefaultParagraphFont"/>
    <w:link w:val="HTMLAddress"/>
    <w:uiPriority w:val="99"/>
    <w:semiHidden/>
    <w:rsid w:val="002C17A3"/>
    <w:rPr>
      <w:i/>
      <w:iCs/>
      <w:sz w:val="20"/>
      <w:szCs w:val="20"/>
    </w:rPr>
  </w:style>
  <w:style w:type="character" w:styleId="HTMLCite">
    <w:name w:val="HTML Cite"/>
    <w:basedOn w:val="DefaultParagraphFont"/>
    <w:uiPriority w:val="99"/>
    <w:semiHidden/>
    <w:rsid w:val="002C17A3"/>
    <w:rPr>
      <w:i/>
      <w:iCs/>
    </w:rPr>
  </w:style>
  <w:style w:type="character" w:styleId="HTMLCode">
    <w:name w:val="HTML Code"/>
    <w:basedOn w:val="DefaultParagraphFont"/>
    <w:uiPriority w:val="99"/>
    <w:semiHidden/>
    <w:rsid w:val="002C17A3"/>
    <w:rPr>
      <w:rFonts w:ascii="Consolas" w:hAnsi="Consolas"/>
      <w:sz w:val="20"/>
      <w:szCs w:val="20"/>
    </w:rPr>
  </w:style>
  <w:style w:type="character" w:styleId="HTMLDefinition">
    <w:name w:val="HTML Definition"/>
    <w:basedOn w:val="DefaultParagraphFont"/>
    <w:uiPriority w:val="99"/>
    <w:semiHidden/>
    <w:rsid w:val="002C17A3"/>
    <w:rPr>
      <w:i/>
      <w:iCs/>
    </w:rPr>
  </w:style>
  <w:style w:type="character" w:styleId="HTMLKeyboard">
    <w:name w:val="HTML Keyboard"/>
    <w:basedOn w:val="DefaultParagraphFont"/>
    <w:uiPriority w:val="99"/>
    <w:semiHidden/>
    <w:rsid w:val="002C17A3"/>
    <w:rPr>
      <w:rFonts w:ascii="Consolas" w:hAnsi="Consolas"/>
      <w:sz w:val="20"/>
      <w:szCs w:val="20"/>
    </w:rPr>
  </w:style>
  <w:style w:type="paragraph" w:styleId="HTMLPreformatted">
    <w:name w:val="HTML Preformatted"/>
    <w:basedOn w:val="Normal"/>
    <w:link w:val="HTMLPreformattedChar"/>
    <w:uiPriority w:val="99"/>
    <w:semiHidden/>
    <w:rsid w:val="002C17A3"/>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2C17A3"/>
    <w:rPr>
      <w:rFonts w:ascii="Consolas" w:hAnsi="Consolas"/>
      <w:sz w:val="20"/>
      <w:szCs w:val="20"/>
    </w:rPr>
  </w:style>
  <w:style w:type="character" w:styleId="HTMLSample">
    <w:name w:val="HTML Sample"/>
    <w:basedOn w:val="DefaultParagraphFont"/>
    <w:uiPriority w:val="99"/>
    <w:semiHidden/>
    <w:rsid w:val="002C17A3"/>
    <w:rPr>
      <w:rFonts w:ascii="Consolas" w:hAnsi="Consolas"/>
      <w:sz w:val="24"/>
      <w:szCs w:val="24"/>
    </w:rPr>
  </w:style>
  <w:style w:type="character" w:styleId="HTMLTypewriter">
    <w:name w:val="HTML Typewriter"/>
    <w:basedOn w:val="DefaultParagraphFont"/>
    <w:uiPriority w:val="99"/>
    <w:semiHidden/>
    <w:rsid w:val="002C17A3"/>
    <w:rPr>
      <w:rFonts w:ascii="Consolas" w:hAnsi="Consolas"/>
      <w:sz w:val="20"/>
      <w:szCs w:val="20"/>
    </w:rPr>
  </w:style>
  <w:style w:type="character" w:styleId="HTMLVariable">
    <w:name w:val="HTML Variable"/>
    <w:basedOn w:val="DefaultParagraphFont"/>
    <w:uiPriority w:val="99"/>
    <w:semiHidden/>
    <w:rsid w:val="002C17A3"/>
    <w:rPr>
      <w:i/>
      <w:iCs/>
    </w:rPr>
  </w:style>
  <w:style w:type="paragraph" w:styleId="Index1">
    <w:name w:val="index 1"/>
    <w:basedOn w:val="Normal"/>
    <w:next w:val="Normal"/>
    <w:autoRedefine/>
    <w:uiPriority w:val="99"/>
    <w:semiHidden/>
    <w:rsid w:val="002C17A3"/>
    <w:pPr>
      <w:spacing w:line="240" w:lineRule="auto"/>
      <w:ind w:left="180" w:hanging="180"/>
    </w:pPr>
  </w:style>
  <w:style w:type="paragraph" w:styleId="Index2">
    <w:name w:val="index 2"/>
    <w:basedOn w:val="Normal"/>
    <w:next w:val="Normal"/>
    <w:autoRedefine/>
    <w:uiPriority w:val="99"/>
    <w:semiHidden/>
    <w:rsid w:val="002C17A3"/>
    <w:pPr>
      <w:spacing w:line="240" w:lineRule="auto"/>
      <w:ind w:left="360" w:hanging="180"/>
    </w:pPr>
  </w:style>
  <w:style w:type="paragraph" w:styleId="Index3">
    <w:name w:val="index 3"/>
    <w:basedOn w:val="Normal"/>
    <w:next w:val="Normal"/>
    <w:autoRedefine/>
    <w:uiPriority w:val="99"/>
    <w:semiHidden/>
    <w:rsid w:val="002C17A3"/>
    <w:pPr>
      <w:spacing w:line="240" w:lineRule="auto"/>
      <w:ind w:left="540" w:hanging="180"/>
    </w:pPr>
  </w:style>
  <w:style w:type="paragraph" w:styleId="Index4">
    <w:name w:val="index 4"/>
    <w:basedOn w:val="Normal"/>
    <w:next w:val="Normal"/>
    <w:autoRedefine/>
    <w:uiPriority w:val="99"/>
    <w:semiHidden/>
    <w:rsid w:val="002C17A3"/>
    <w:pPr>
      <w:spacing w:line="240" w:lineRule="auto"/>
      <w:ind w:left="720" w:hanging="180"/>
    </w:pPr>
  </w:style>
  <w:style w:type="paragraph" w:styleId="Index5">
    <w:name w:val="index 5"/>
    <w:basedOn w:val="Normal"/>
    <w:next w:val="Normal"/>
    <w:autoRedefine/>
    <w:uiPriority w:val="99"/>
    <w:semiHidden/>
    <w:rsid w:val="002C17A3"/>
    <w:pPr>
      <w:spacing w:line="240" w:lineRule="auto"/>
      <w:ind w:left="900" w:hanging="180"/>
    </w:pPr>
  </w:style>
  <w:style w:type="paragraph" w:styleId="Index6">
    <w:name w:val="index 6"/>
    <w:basedOn w:val="Normal"/>
    <w:next w:val="Normal"/>
    <w:autoRedefine/>
    <w:uiPriority w:val="99"/>
    <w:semiHidden/>
    <w:rsid w:val="002C17A3"/>
    <w:pPr>
      <w:spacing w:line="240" w:lineRule="auto"/>
      <w:ind w:left="1080" w:hanging="180"/>
    </w:pPr>
  </w:style>
  <w:style w:type="paragraph" w:styleId="Index7">
    <w:name w:val="index 7"/>
    <w:basedOn w:val="Normal"/>
    <w:next w:val="Normal"/>
    <w:autoRedefine/>
    <w:uiPriority w:val="99"/>
    <w:semiHidden/>
    <w:rsid w:val="002C17A3"/>
    <w:pPr>
      <w:spacing w:line="240" w:lineRule="auto"/>
      <w:ind w:left="1260" w:hanging="180"/>
    </w:pPr>
  </w:style>
  <w:style w:type="paragraph" w:styleId="Index8">
    <w:name w:val="index 8"/>
    <w:basedOn w:val="Normal"/>
    <w:next w:val="Normal"/>
    <w:autoRedefine/>
    <w:uiPriority w:val="99"/>
    <w:semiHidden/>
    <w:rsid w:val="002C17A3"/>
    <w:pPr>
      <w:spacing w:line="240" w:lineRule="auto"/>
      <w:ind w:left="1440" w:hanging="180"/>
    </w:pPr>
  </w:style>
  <w:style w:type="paragraph" w:styleId="Index9">
    <w:name w:val="index 9"/>
    <w:basedOn w:val="Normal"/>
    <w:next w:val="Normal"/>
    <w:autoRedefine/>
    <w:uiPriority w:val="99"/>
    <w:semiHidden/>
    <w:rsid w:val="002C17A3"/>
    <w:pPr>
      <w:spacing w:line="240" w:lineRule="auto"/>
      <w:ind w:left="1620" w:hanging="180"/>
    </w:pPr>
  </w:style>
  <w:style w:type="paragraph" w:styleId="IndexHeading">
    <w:name w:val="index heading"/>
    <w:basedOn w:val="Normal"/>
    <w:next w:val="Index1"/>
    <w:uiPriority w:val="99"/>
    <w:semiHidden/>
    <w:rsid w:val="002C17A3"/>
    <w:rPr>
      <w:rFonts w:asciiTheme="majorHAnsi" w:eastAsiaTheme="majorEastAsia" w:hAnsiTheme="majorHAnsi" w:cstheme="majorBidi"/>
      <w:b/>
      <w:bCs/>
    </w:rPr>
  </w:style>
  <w:style w:type="character" w:styleId="LineNumber">
    <w:name w:val="line number"/>
    <w:basedOn w:val="DefaultParagraphFont"/>
    <w:uiPriority w:val="99"/>
    <w:semiHidden/>
    <w:rsid w:val="002C17A3"/>
  </w:style>
  <w:style w:type="paragraph" w:styleId="List">
    <w:name w:val="List"/>
    <w:basedOn w:val="Normal"/>
    <w:uiPriority w:val="99"/>
    <w:semiHidden/>
    <w:rsid w:val="002C17A3"/>
    <w:pPr>
      <w:ind w:left="283" w:hanging="283"/>
      <w:contextualSpacing/>
    </w:pPr>
  </w:style>
  <w:style w:type="paragraph" w:styleId="List2">
    <w:name w:val="List 2"/>
    <w:basedOn w:val="Normal"/>
    <w:uiPriority w:val="99"/>
    <w:semiHidden/>
    <w:rsid w:val="002C17A3"/>
    <w:pPr>
      <w:ind w:left="566" w:hanging="283"/>
      <w:contextualSpacing/>
    </w:pPr>
  </w:style>
  <w:style w:type="paragraph" w:styleId="List3">
    <w:name w:val="List 3"/>
    <w:basedOn w:val="Normal"/>
    <w:uiPriority w:val="99"/>
    <w:semiHidden/>
    <w:rsid w:val="002C17A3"/>
    <w:pPr>
      <w:ind w:left="849" w:hanging="283"/>
      <w:contextualSpacing/>
    </w:pPr>
  </w:style>
  <w:style w:type="paragraph" w:styleId="List4">
    <w:name w:val="List 4"/>
    <w:basedOn w:val="Normal"/>
    <w:uiPriority w:val="99"/>
    <w:semiHidden/>
    <w:rsid w:val="002C17A3"/>
    <w:pPr>
      <w:ind w:left="1132" w:hanging="283"/>
      <w:contextualSpacing/>
    </w:pPr>
  </w:style>
  <w:style w:type="paragraph" w:styleId="List5">
    <w:name w:val="List 5"/>
    <w:basedOn w:val="Normal"/>
    <w:uiPriority w:val="99"/>
    <w:semiHidden/>
    <w:rsid w:val="002C17A3"/>
    <w:pPr>
      <w:ind w:left="1415" w:hanging="283"/>
      <w:contextualSpacing/>
    </w:pPr>
  </w:style>
  <w:style w:type="paragraph" w:styleId="ListBullet">
    <w:name w:val="List Bullet"/>
    <w:basedOn w:val="Normal"/>
    <w:uiPriority w:val="99"/>
    <w:semiHidden/>
    <w:rsid w:val="00DC346A"/>
    <w:pPr>
      <w:numPr>
        <w:numId w:val="1"/>
      </w:numPr>
      <w:contextualSpacing/>
    </w:pPr>
  </w:style>
  <w:style w:type="paragraph" w:styleId="ListContinue">
    <w:name w:val="List Continue"/>
    <w:basedOn w:val="Normal"/>
    <w:uiPriority w:val="99"/>
    <w:semiHidden/>
    <w:rsid w:val="002C17A3"/>
    <w:pPr>
      <w:spacing w:after="120"/>
      <w:ind w:left="283"/>
      <w:contextualSpacing/>
    </w:pPr>
  </w:style>
  <w:style w:type="paragraph" w:styleId="ListContinue2">
    <w:name w:val="List Continue 2"/>
    <w:basedOn w:val="Normal"/>
    <w:uiPriority w:val="99"/>
    <w:semiHidden/>
    <w:rsid w:val="002C17A3"/>
    <w:pPr>
      <w:spacing w:after="120"/>
      <w:ind w:left="566"/>
      <w:contextualSpacing/>
    </w:pPr>
  </w:style>
  <w:style w:type="paragraph" w:styleId="ListContinue3">
    <w:name w:val="List Continue 3"/>
    <w:basedOn w:val="Normal"/>
    <w:uiPriority w:val="99"/>
    <w:semiHidden/>
    <w:rsid w:val="002C17A3"/>
    <w:pPr>
      <w:spacing w:after="120"/>
      <w:ind w:left="849"/>
      <w:contextualSpacing/>
    </w:pPr>
  </w:style>
  <w:style w:type="paragraph" w:styleId="ListContinue4">
    <w:name w:val="List Continue 4"/>
    <w:basedOn w:val="Normal"/>
    <w:uiPriority w:val="99"/>
    <w:semiHidden/>
    <w:rsid w:val="002C17A3"/>
    <w:pPr>
      <w:spacing w:after="120"/>
      <w:ind w:left="1132"/>
      <w:contextualSpacing/>
    </w:pPr>
  </w:style>
  <w:style w:type="paragraph" w:styleId="ListContinue5">
    <w:name w:val="List Continue 5"/>
    <w:basedOn w:val="Normal"/>
    <w:uiPriority w:val="99"/>
    <w:semiHidden/>
    <w:rsid w:val="002C17A3"/>
    <w:pPr>
      <w:spacing w:after="120"/>
      <w:ind w:left="1415"/>
      <w:contextualSpacing/>
    </w:pPr>
  </w:style>
  <w:style w:type="paragraph" w:styleId="ListNumber">
    <w:name w:val="List Number"/>
    <w:basedOn w:val="Normal"/>
    <w:uiPriority w:val="99"/>
    <w:semiHidden/>
    <w:rsid w:val="00DC346A"/>
    <w:pPr>
      <w:numPr>
        <w:numId w:val="7"/>
      </w:numPr>
      <w:contextualSpacing/>
    </w:pPr>
  </w:style>
  <w:style w:type="paragraph" w:styleId="ListNumber2">
    <w:name w:val="List Number 2"/>
    <w:basedOn w:val="Normal"/>
    <w:uiPriority w:val="99"/>
    <w:semiHidden/>
    <w:rsid w:val="00DC346A"/>
    <w:pPr>
      <w:numPr>
        <w:numId w:val="8"/>
      </w:numPr>
      <w:contextualSpacing/>
    </w:pPr>
  </w:style>
  <w:style w:type="paragraph" w:styleId="ListNumber3">
    <w:name w:val="List Number 3"/>
    <w:basedOn w:val="Normal"/>
    <w:uiPriority w:val="99"/>
    <w:semiHidden/>
    <w:rsid w:val="00DC346A"/>
    <w:pPr>
      <w:numPr>
        <w:numId w:val="9"/>
      </w:numPr>
      <w:contextualSpacing/>
    </w:pPr>
  </w:style>
  <w:style w:type="paragraph" w:styleId="ListNumber4">
    <w:name w:val="List Number 4"/>
    <w:basedOn w:val="Normal"/>
    <w:uiPriority w:val="99"/>
    <w:semiHidden/>
    <w:rsid w:val="00DC346A"/>
    <w:pPr>
      <w:numPr>
        <w:numId w:val="10"/>
      </w:numPr>
      <w:contextualSpacing/>
    </w:pPr>
  </w:style>
  <w:style w:type="paragraph" w:styleId="ListNumber5">
    <w:name w:val="List Number 5"/>
    <w:basedOn w:val="Normal"/>
    <w:uiPriority w:val="99"/>
    <w:semiHidden/>
    <w:rsid w:val="00DC346A"/>
    <w:pPr>
      <w:tabs>
        <w:tab w:val="num" w:pos="1492"/>
      </w:tabs>
      <w:ind w:left="1492" w:hanging="360"/>
      <w:contextualSpacing/>
    </w:pPr>
  </w:style>
  <w:style w:type="paragraph" w:styleId="MacroText">
    <w:name w:val="macro"/>
    <w:link w:val="MacroTextChar"/>
    <w:uiPriority w:val="99"/>
    <w:semiHidden/>
    <w:rsid w:val="002C17A3"/>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nsolas" w:hAnsi="Consolas"/>
      <w:color w:val="000000" w:themeColor="text1"/>
      <w:sz w:val="20"/>
      <w:szCs w:val="20"/>
    </w:rPr>
  </w:style>
  <w:style w:type="character" w:customStyle="1" w:styleId="MacroTextChar">
    <w:name w:val="Macro Text Char"/>
    <w:basedOn w:val="DefaultParagraphFont"/>
    <w:link w:val="MacroText"/>
    <w:uiPriority w:val="99"/>
    <w:semiHidden/>
    <w:rsid w:val="002C17A3"/>
    <w:rPr>
      <w:rFonts w:ascii="Consolas" w:hAnsi="Consolas"/>
      <w:color w:val="000000" w:themeColor="text1"/>
      <w:sz w:val="20"/>
      <w:szCs w:val="20"/>
    </w:rPr>
  </w:style>
  <w:style w:type="character" w:styleId="Mention">
    <w:name w:val="Mention"/>
    <w:basedOn w:val="DefaultParagraphFont"/>
    <w:uiPriority w:val="99"/>
    <w:semiHidden/>
    <w:rsid w:val="002C17A3"/>
    <w:rPr>
      <w:color w:val="2B579A"/>
      <w:shd w:val="clear" w:color="auto" w:fill="E1DFDD"/>
    </w:rPr>
  </w:style>
  <w:style w:type="paragraph" w:styleId="MessageHeader">
    <w:name w:val="Message Header"/>
    <w:basedOn w:val="Normal"/>
    <w:link w:val="MessageHeaderChar"/>
    <w:uiPriority w:val="99"/>
    <w:semiHidden/>
    <w:rsid w:val="002C17A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C17A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rsid w:val="002C17A3"/>
    <w:pPr>
      <w:ind w:left="720"/>
    </w:pPr>
  </w:style>
  <w:style w:type="paragraph" w:styleId="NoteHeading">
    <w:name w:val="Note Heading"/>
    <w:basedOn w:val="Normal"/>
    <w:next w:val="Normal"/>
    <w:link w:val="NoteHeadingChar"/>
    <w:uiPriority w:val="99"/>
    <w:semiHidden/>
    <w:rsid w:val="002C17A3"/>
    <w:pPr>
      <w:spacing w:line="240" w:lineRule="auto"/>
    </w:pPr>
  </w:style>
  <w:style w:type="character" w:customStyle="1" w:styleId="NoteHeadingChar">
    <w:name w:val="Note Heading Char"/>
    <w:basedOn w:val="DefaultParagraphFont"/>
    <w:link w:val="NoteHeading"/>
    <w:uiPriority w:val="99"/>
    <w:semiHidden/>
    <w:rsid w:val="002C17A3"/>
    <w:rPr>
      <w:sz w:val="20"/>
      <w:szCs w:val="20"/>
    </w:rPr>
  </w:style>
  <w:style w:type="character" w:styleId="PageNumber">
    <w:name w:val="page number"/>
    <w:basedOn w:val="DefaultParagraphFont"/>
    <w:uiPriority w:val="99"/>
    <w:semiHidden/>
    <w:rsid w:val="002C17A3"/>
  </w:style>
  <w:style w:type="character" w:styleId="PlaceholderText">
    <w:name w:val="Placeholder Text"/>
    <w:basedOn w:val="DefaultParagraphFont"/>
    <w:uiPriority w:val="99"/>
    <w:semiHidden/>
    <w:rsid w:val="002C17A3"/>
    <w:rPr>
      <w:color w:val="666666"/>
    </w:rPr>
  </w:style>
  <w:style w:type="paragraph" w:styleId="PlainText">
    <w:name w:val="Plain Text"/>
    <w:basedOn w:val="Normal"/>
    <w:link w:val="PlainTextChar"/>
    <w:uiPriority w:val="99"/>
    <w:semiHidden/>
    <w:rsid w:val="002C17A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C17A3"/>
    <w:rPr>
      <w:rFonts w:ascii="Consolas" w:hAnsi="Consolas"/>
      <w:sz w:val="21"/>
      <w:szCs w:val="21"/>
    </w:rPr>
  </w:style>
  <w:style w:type="paragraph" w:styleId="Salutation">
    <w:name w:val="Salutation"/>
    <w:basedOn w:val="Normal"/>
    <w:next w:val="Normal"/>
    <w:link w:val="SalutationChar"/>
    <w:uiPriority w:val="99"/>
    <w:semiHidden/>
    <w:rsid w:val="002C17A3"/>
  </w:style>
  <w:style w:type="character" w:customStyle="1" w:styleId="SalutationChar">
    <w:name w:val="Salutation Char"/>
    <w:basedOn w:val="DefaultParagraphFont"/>
    <w:link w:val="Salutation"/>
    <w:uiPriority w:val="99"/>
    <w:semiHidden/>
    <w:rsid w:val="002C17A3"/>
    <w:rPr>
      <w:sz w:val="20"/>
      <w:szCs w:val="20"/>
    </w:rPr>
  </w:style>
  <w:style w:type="character" w:styleId="SmartHyperlink">
    <w:name w:val="Smart Hyperlink"/>
    <w:basedOn w:val="DefaultParagraphFont"/>
    <w:uiPriority w:val="99"/>
    <w:semiHidden/>
    <w:rsid w:val="002C17A3"/>
    <w:rPr>
      <w:u w:val="dotted"/>
    </w:rPr>
  </w:style>
  <w:style w:type="character" w:styleId="SmartLink">
    <w:name w:val="Smart Link"/>
    <w:basedOn w:val="DefaultParagraphFont"/>
    <w:uiPriority w:val="99"/>
    <w:semiHidden/>
    <w:rsid w:val="002C17A3"/>
    <w:rPr>
      <w:color w:val="0000FF"/>
      <w:u w:val="single"/>
      <w:shd w:val="clear" w:color="auto" w:fill="F3F2F1"/>
    </w:rPr>
  </w:style>
  <w:style w:type="paragraph" w:styleId="TableofAuthorities">
    <w:name w:val="table of authorities"/>
    <w:basedOn w:val="Normal"/>
    <w:next w:val="Normal"/>
    <w:uiPriority w:val="99"/>
    <w:semiHidden/>
    <w:rsid w:val="002C17A3"/>
    <w:pPr>
      <w:ind w:left="180" w:hanging="180"/>
    </w:pPr>
  </w:style>
  <w:style w:type="paragraph" w:styleId="TableofFigures">
    <w:name w:val="table of figures"/>
    <w:basedOn w:val="Normal"/>
    <w:next w:val="Normal"/>
    <w:uiPriority w:val="99"/>
    <w:semiHidden/>
    <w:rsid w:val="002C17A3"/>
  </w:style>
  <w:style w:type="paragraph" w:styleId="TOAHeading">
    <w:name w:val="toa heading"/>
    <w:basedOn w:val="Normal"/>
    <w:next w:val="Normal"/>
    <w:uiPriority w:val="99"/>
    <w:semiHidden/>
    <w:rsid w:val="002C17A3"/>
    <w:pPr>
      <w:spacing w:before="120"/>
    </w:pPr>
    <w:rPr>
      <w:rFonts w:asciiTheme="majorHAnsi" w:eastAsiaTheme="majorEastAsia" w:hAnsiTheme="majorHAnsi" w:cstheme="majorBidi"/>
      <w:b/>
      <w:bCs/>
      <w:sz w:val="24"/>
      <w:szCs w:val="24"/>
    </w:rPr>
  </w:style>
  <w:style w:type="paragraph" w:styleId="TOC4">
    <w:name w:val="toc 4"/>
    <w:basedOn w:val="Normal"/>
    <w:next w:val="Normal"/>
    <w:uiPriority w:val="99"/>
    <w:semiHidden/>
    <w:rsid w:val="002C17A3"/>
    <w:pPr>
      <w:spacing w:after="100"/>
      <w:ind w:left="540"/>
    </w:pPr>
  </w:style>
  <w:style w:type="paragraph" w:styleId="TOC5">
    <w:name w:val="toc 5"/>
    <w:basedOn w:val="Normal"/>
    <w:next w:val="Normal"/>
    <w:uiPriority w:val="99"/>
    <w:semiHidden/>
    <w:rsid w:val="002C17A3"/>
    <w:pPr>
      <w:spacing w:after="100"/>
      <w:ind w:left="720"/>
    </w:pPr>
  </w:style>
  <w:style w:type="paragraph" w:styleId="TOC6">
    <w:name w:val="toc 6"/>
    <w:basedOn w:val="Normal"/>
    <w:next w:val="Normal"/>
    <w:uiPriority w:val="99"/>
    <w:semiHidden/>
    <w:rsid w:val="002C17A3"/>
    <w:pPr>
      <w:spacing w:after="100"/>
      <w:ind w:left="900"/>
    </w:pPr>
  </w:style>
  <w:style w:type="paragraph" w:styleId="TOC7">
    <w:name w:val="toc 7"/>
    <w:basedOn w:val="Normal"/>
    <w:next w:val="Normal"/>
    <w:uiPriority w:val="99"/>
    <w:semiHidden/>
    <w:rsid w:val="002C17A3"/>
    <w:pPr>
      <w:spacing w:after="100"/>
      <w:ind w:left="1080"/>
    </w:pPr>
  </w:style>
  <w:style w:type="paragraph" w:styleId="TOC8">
    <w:name w:val="toc 8"/>
    <w:basedOn w:val="Normal"/>
    <w:next w:val="Normal"/>
    <w:uiPriority w:val="99"/>
    <w:semiHidden/>
    <w:rsid w:val="002C17A3"/>
    <w:pPr>
      <w:spacing w:after="100"/>
      <w:ind w:left="1260"/>
    </w:pPr>
  </w:style>
  <w:style w:type="paragraph" w:styleId="TOC9">
    <w:name w:val="toc 9"/>
    <w:basedOn w:val="Normal"/>
    <w:next w:val="Normal"/>
    <w:uiPriority w:val="99"/>
    <w:semiHidden/>
    <w:rsid w:val="002C17A3"/>
    <w:pPr>
      <w:spacing w:after="100"/>
      <w:ind w:left="1440"/>
    </w:pPr>
  </w:style>
  <w:style w:type="table" w:styleId="ColorfulGrid">
    <w:name w:val="Colorful Grid"/>
    <w:basedOn w:val="TableNormal"/>
    <w:uiPriority w:val="73"/>
    <w:semiHidden/>
    <w:unhideWhenUsed/>
    <w:rsid w:val="002C17A3"/>
    <w:rPr>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C17A3"/>
    <w:rPr>
      <w:color w:val="000000" w:themeColor="text1"/>
      <w:sz w:val="20"/>
      <w:szCs w:val="20"/>
    </w:rPr>
    <w:tblPr>
      <w:tblStyleRowBandSize w:val="1"/>
      <w:tblStyleColBandSize w:val="1"/>
      <w:tblBorders>
        <w:insideH w:val="single" w:sz="4" w:space="0" w:color="FFFFFF" w:themeColor="background1"/>
      </w:tblBorders>
    </w:tblPr>
    <w:tcPr>
      <w:shd w:val="clear" w:color="auto" w:fill="E0EBED" w:themeFill="accent1" w:themeFillTint="33"/>
    </w:tcPr>
    <w:tblStylePr w:type="firstRow">
      <w:rPr>
        <w:b/>
        <w:bCs/>
      </w:rPr>
      <w:tblPr/>
      <w:tcPr>
        <w:shd w:val="clear" w:color="auto" w:fill="C1D8DB" w:themeFill="accent1" w:themeFillTint="66"/>
      </w:tcPr>
    </w:tblStylePr>
    <w:tblStylePr w:type="lastRow">
      <w:rPr>
        <w:b/>
        <w:bCs/>
        <w:color w:val="000000" w:themeColor="text1"/>
      </w:rPr>
      <w:tblPr/>
      <w:tcPr>
        <w:shd w:val="clear" w:color="auto" w:fill="C1D8DB" w:themeFill="accent1" w:themeFillTint="66"/>
      </w:tcPr>
    </w:tblStylePr>
    <w:tblStylePr w:type="firstCol">
      <w:rPr>
        <w:color w:val="FFFFFF" w:themeColor="background1"/>
      </w:rPr>
      <w:tblPr/>
      <w:tcPr>
        <w:shd w:val="clear" w:color="auto" w:fill="49777D" w:themeFill="accent1" w:themeFillShade="BF"/>
      </w:tcPr>
    </w:tblStylePr>
    <w:tblStylePr w:type="lastCol">
      <w:rPr>
        <w:color w:val="FFFFFF" w:themeColor="background1"/>
      </w:rPr>
      <w:tblPr/>
      <w:tcPr>
        <w:shd w:val="clear" w:color="auto" w:fill="49777D" w:themeFill="accent1" w:themeFillShade="BF"/>
      </w:tcPr>
    </w:tblStylePr>
    <w:tblStylePr w:type="band1Vert">
      <w:tblPr/>
      <w:tcPr>
        <w:shd w:val="clear" w:color="auto" w:fill="B1CED2" w:themeFill="accent1" w:themeFillTint="7F"/>
      </w:tcPr>
    </w:tblStylePr>
    <w:tblStylePr w:type="band1Horz">
      <w:tblPr/>
      <w:tcPr>
        <w:shd w:val="clear" w:color="auto" w:fill="B1CED2" w:themeFill="accent1" w:themeFillTint="7F"/>
      </w:tcPr>
    </w:tblStylePr>
  </w:style>
  <w:style w:type="table" w:styleId="ColorfulGrid-Accent2">
    <w:name w:val="Colorful Grid Accent 2"/>
    <w:basedOn w:val="TableNormal"/>
    <w:uiPriority w:val="73"/>
    <w:semiHidden/>
    <w:unhideWhenUsed/>
    <w:rsid w:val="002C17A3"/>
    <w:rPr>
      <w:color w:val="000000" w:themeColor="text1"/>
      <w:sz w:val="20"/>
      <w:szCs w:val="20"/>
    </w:rPr>
    <w:tblPr>
      <w:tblStyleRowBandSize w:val="1"/>
      <w:tblStyleColBandSize w:val="1"/>
      <w:tblBorders>
        <w:insideH w:val="single" w:sz="4" w:space="0" w:color="FFFFFF" w:themeColor="background1"/>
      </w:tblBorders>
    </w:tblPr>
    <w:tcPr>
      <w:shd w:val="clear" w:color="auto" w:fill="D9E5D2" w:themeFill="accent2" w:themeFillTint="33"/>
    </w:tcPr>
    <w:tblStylePr w:type="firstRow">
      <w:rPr>
        <w:b/>
        <w:bCs/>
      </w:rPr>
      <w:tblPr/>
      <w:tcPr>
        <w:shd w:val="clear" w:color="auto" w:fill="B4CCA6" w:themeFill="accent2" w:themeFillTint="66"/>
      </w:tcPr>
    </w:tblStylePr>
    <w:tblStylePr w:type="lastRow">
      <w:rPr>
        <w:b/>
        <w:bCs/>
        <w:color w:val="000000" w:themeColor="text1"/>
      </w:rPr>
      <w:tblPr/>
      <w:tcPr>
        <w:shd w:val="clear" w:color="auto" w:fill="B4CCA6" w:themeFill="accent2" w:themeFillTint="66"/>
      </w:tcPr>
    </w:tblStylePr>
    <w:tblStylePr w:type="firstCol">
      <w:rPr>
        <w:color w:val="FFFFFF" w:themeColor="background1"/>
      </w:rPr>
      <w:tblPr/>
      <w:tcPr>
        <w:shd w:val="clear" w:color="auto" w:fill="384D2C" w:themeFill="accent2" w:themeFillShade="BF"/>
      </w:tcPr>
    </w:tblStylePr>
    <w:tblStylePr w:type="lastCol">
      <w:rPr>
        <w:color w:val="FFFFFF" w:themeColor="background1"/>
      </w:rPr>
      <w:tblPr/>
      <w:tcPr>
        <w:shd w:val="clear" w:color="auto" w:fill="384D2C" w:themeFill="accent2" w:themeFillShade="BF"/>
      </w:tcPr>
    </w:tblStylePr>
    <w:tblStylePr w:type="band1Vert">
      <w:tblPr/>
      <w:tcPr>
        <w:shd w:val="clear" w:color="auto" w:fill="A1C090" w:themeFill="accent2" w:themeFillTint="7F"/>
      </w:tcPr>
    </w:tblStylePr>
    <w:tblStylePr w:type="band1Horz">
      <w:tblPr/>
      <w:tcPr>
        <w:shd w:val="clear" w:color="auto" w:fill="A1C090" w:themeFill="accent2" w:themeFillTint="7F"/>
      </w:tcPr>
    </w:tblStylePr>
  </w:style>
  <w:style w:type="table" w:styleId="ColorfulGrid-Accent3">
    <w:name w:val="Colorful Grid Accent 3"/>
    <w:basedOn w:val="TableNormal"/>
    <w:uiPriority w:val="73"/>
    <w:semiHidden/>
    <w:unhideWhenUsed/>
    <w:rsid w:val="002C17A3"/>
    <w:rPr>
      <w:color w:val="000000" w:themeColor="text1"/>
      <w:sz w:val="20"/>
      <w:szCs w:val="20"/>
    </w:rPr>
    <w:tblPr>
      <w:tblStyleRowBandSize w:val="1"/>
      <w:tblStyleColBandSize w:val="1"/>
      <w:tblBorders>
        <w:insideH w:val="single" w:sz="4" w:space="0" w:color="FFFFFF" w:themeColor="background1"/>
      </w:tblBorders>
    </w:tblPr>
    <w:tcPr>
      <w:shd w:val="clear" w:color="auto" w:fill="E8ECE7" w:themeFill="accent3" w:themeFillTint="33"/>
    </w:tcPr>
    <w:tblStylePr w:type="firstRow">
      <w:rPr>
        <w:b/>
        <w:bCs/>
      </w:rPr>
      <w:tblPr/>
      <w:tcPr>
        <w:shd w:val="clear" w:color="auto" w:fill="D1D9CF" w:themeFill="accent3" w:themeFillTint="66"/>
      </w:tcPr>
    </w:tblStylePr>
    <w:tblStylePr w:type="lastRow">
      <w:rPr>
        <w:b/>
        <w:bCs/>
        <w:color w:val="000000" w:themeColor="text1"/>
      </w:rPr>
      <w:tblPr/>
      <w:tcPr>
        <w:shd w:val="clear" w:color="auto" w:fill="D1D9CF" w:themeFill="accent3" w:themeFillTint="66"/>
      </w:tcPr>
    </w:tblStylePr>
    <w:tblStylePr w:type="firstCol">
      <w:rPr>
        <w:color w:val="FFFFFF" w:themeColor="background1"/>
      </w:rPr>
      <w:tblPr/>
      <w:tcPr>
        <w:shd w:val="clear" w:color="auto" w:fill="687C63" w:themeFill="accent3" w:themeFillShade="BF"/>
      </w:tcPr>
    </w:tblStylePr>
    <w:tblStylePr w:type="lastCol">
      <w:rPr>
        <w:color w:val="FFFFFF" w:themeColor="background1"/>
      </w:rPr>
      <w:tblPr/>
      <w:tcPr>
        <w:shd w:val="clear" w:color="auto" w:fill="687C63" w:themeFill="accent3" w:themeFillShade="BF"/>
      </w:tcPr>
    </w:tblStylePr>
    <w:tblStylePr w:type="band1Vert">
      <w:tblPr/>
      <w:tcPr>
        <w:shd w:val="clear" w:color="auto" w:fill="C6D0C4" w:themeFill="accent3" w:themeFillTint="7F"/>
      </w:tcPr>
    </w:tblStylePr>
    <w:tblStylePr w:type="band1Horz">
      <w:tblPr/>
      <w:tcPr>
        <w:shd w:val="clear" w:color="auto" w:fill="C6D0C4" w:themeFill="accent3" w:themeFillTint="7F"/>
      </w:tcPr>
    </w:tblStylePr>
  </w:style>
  <w:style w:type="table" w:styleId="ColorfulGrid-Accent4">
    <w:name w:val="Colorful Grid Accent 4"/>
    <w:basedOn w:val="TableNormal"/>
    <w:uiPriority w:val="73"/>
    <w:semiHidden/>
    <w:unhideWhenUsed/>
    <w:rsid w:val="002C17A3"/>
    <w:rPr>
      <w:color w:val="000000" w:themeColor="text1"/>
      <w:sz w:val="20"/>
      <w:szCs w:val="20"/>
    </w:rPr>
    <w:tblPr>
      <w:tblStyleRowBandSize w:val="1"/>
      <w:tblStyleColBandSize w:val="1"/>
      <w:tblBorders>
        <w:insideH w:val="single" w:sz="4" w:space="0" w:color="FFFFFF" w:themeColor="background1"/>
      </w:tblBorders>
    </w:tblPr>
    <w:tcPr>
      <w:shd w:val="clear" w:color="auto" w:fill="F5D9D2" w:themeFill="accent4" w:themeFillTint="33"/>
    </w:tcPr>
    <w:tblStylePr w:type="firstRow">
      <w:rPr>
        <w:b/>
        <w:bCs/>
      </w:rPr>
      <w:tblPr/>
      <w:tcPr>
        <w:shd w:val="clear" w:color="auto" w:fill="EBB4A6" w:themeFill="accent4" w:themeFillTint="66"/>
      </w:tcPr>
    </w:tblStylePr>
    <w:tblStylePr w:type="lastRow">
      <w:rPr>
        <w:b/>
        <w:bCs/>
        <w:color w:val="000000" w:themeColor="text1"/>
      </w:rPr>
      <w:tblPr/>
      <w:tcPr>
        <w:shd w:val="clear" w:color="auto" w:fill="EBB4A6" w:themeFill="accent4" w:themeFillTint="66"/>
      </w:tcPr>
    </w:tblStylePr>
    <w:tblStylePr w:type="firstCol">
      <w:rPr>
        <w:color w:val="FFFFFF" w:themeColor="background1"/>
      </w:rPr>
      <w:tblPr/>
      <w:tcPr>
        <w:shd w:val="clear" w:color="auto" w:fill="923721" w:themeFill="accent4" w:themeFillShade="BF"/>
      </w:tcPr>
    </w:tblStylePr>
    <w:tblStylePr w:type="lastCol">
      <w:rPr>
        <w:color w:val="FFFFFF" w:themeColor="background1"/>
      </w:rPr>
      <w:tblPr/>
      <w:tcPr>
        <w:shd w:val="clear" w:color="auto" w:fill="923721" w:themeFill="accent4" w:themeFillShade="BF"/>
      </w:tcPr>
    </w:tblStylePr>
    <w:tblStylePr w:type="band1Vert">
      <w:tblPr/>
      <w:tcPr>
        <w:shd w:val="clear" w:color="auto" w:fill="E6A191" w:themeFill="accent4" w:themeFillTint="7F"/>
      </w:tcPr>
    </w:tblStylePr>
    <w:tblStylePr w:type="band1Horz">
      <w:tblPr/>
      <w:tcPr>
        <w:shd w:val="clear" w:color="auto" w:fill="E6A191" w:themeFill="accent4" w:themeFillTint="7F"/>
      </w:tcPr>
    </w:tblStylePr>
  </w:style>
  <w:style w:type="table" w:styleId="ColorfulGrid-Accent5">
    <w:name w:val="Colorful Grid Accent 5"/>
    <w:basedOn w:val="TableNormal"/>
    <w:uiPriority w:val="73"/>
    <w:semiHidden/>
    <w:unhideWhenUsed/>
    <w:rsid w:val="002C17A3"/>
    <w:rPr>
      <w:color w:val="000000" w:themeColor="text1"/>
      <w:sz w:val="20"/>
      <w:szCs w:val="20"/>
    </w:rPr>
    <w:tblPr>
      <w:tblStyleRowBandSize w:val="1"/>
      <w:tblStyleColBandSize w:val="1"/>
      <w:tblBorders>
        <w:insideH w:val="single" w:sz="4" w:space="0" w:color="FFFFFF" w:themeColor="background1"/>
      </w:tblBorders>
    </w:tblPr>
    <w:tcPr>
      <w:shd w:val="clear" w:color="auto" w:fill="F3EAE1" w:themeFill="accent5" w:themeFillTint="33"/>
    </w:tcPr>
    <w:tblStylePr w:type="firstRow">
      <w:rPr>
        <w:b/>
        <w:bCs/>
      </w:rPr>
      <w:tblPr/>
      <w:tcPr>
        <w:shd w:val="clear" w:color="auto" w:fill="E7D6C3" w:themeFill="accent5" w:themeFillTint="66"/>
      </w:tcPr>
    </w:tblStylePr>
    <w:tblStylePr w:type="lastRow">
      <w:rPr>
        <w:b/>
        <w:bCs/>
        <w:color w:val="000000" w:themeColor="text1"/>
      </w:rPr>
      <w:tblPr/>
      <w:tcPr>
        <w:shd w:val="clear" w:color="auto" w:fill="E7D6C3" w:themeFill="accent5" w:themeFillTint="66"/>
      </w:tcPr>
    </w:tblStylePr>
    <w:tblStylePr w:type="firstCol">
      <w:rPr>
        <w:color w:val="FFFFFF" w:themeColor="background1"/>
      </w:rPr>
      <w:tblPr/>
      <w:tcPr>
        <w:shd w:val="clear" w:color="auto" w:fill="A07340" w:themeFill="accent5" w:themeFillShade="BF"/>
      </w:tcPr>
    </w:tblStylePr>
    <w:tblStylePr w:type="lastCol">
      <w:rPr>
        <w:color w:val="FFFFFF" w:themeColor="background1"/>
      </w:rPr>
      <w:tblPr/>
      <w:tcPr>
        <w:shd w:val="clear" w:color="auto" w:fill="A07340" w:themeFill="accent5" w:themeFillShade="BF"/>
      </w:tcPr>
    </w:tblStylePr>
    <w:tblStylePr w:type="band1Vert">
      <w:tblPr/>
      <w:tcPr>
        <w:shd w:val="clear" w:color="auto" w:fill="E1CBB4" w:themeFill="accent5" w:themeFillTint="7F"/>
      </w:tcPr>
    </w:tblStylePr>
    <w:tblStylePr w:type="band1Horz">
      <w:tblPr/>
      <w:tcPr>
        <w:shd w:val="clear" w:color="auto" w:fill="E1CBB4" w:themeFill="accent5" w:themeFillTint="7F"/>
      </w:tcPr>
    </w:tblStylePr>
  </w:style>
  <w:style w:type="table" w:styleId="ColorfulGrid-Accent6">
    <w:name w:val="Colorful Grid Accent 6"/>
    <w:basedOn w:val="TableNormal"/>
    <w:uiPriority w:val="73"/>
    <w:semiHidden/>
    <w:unhideWhenUsed/>
    <w:rsid w:val="002C17A3"/>
    <w:rPr>
      <w:color w:val="000000" w:themeColor="text1"/>
      <w:sz w:val="20"/>
      <w:szCs w:val="20"/>
    </w:rPr>
    <w:tblPr>
      <w:tblStyleRowBandSize w:val="1"/>
      <w:tblStyleColBandSize w:val="1"/>
      <w:tblBorders>
        <w:insideH w:val="single" w:sz="4" w:space="0" w:color="FFFFFF" w:themeColor="background1"/>
      </w:tblBorders>
    </w:tblPr>
    <w:tcPr>
      <w:shd w:val="clear" w:color="auto" w:fill="EFEFEF" w:themeFill="accent6" w:themeFillTint="33"/>
    </w:tcPr>
    <w:tblStylePr w:type="firstRow">
      <w:rPr>
        <w:b/>
        <w:bCs/>
      </w:rPr>
      <w:tblPr/>
      <w:tcPr>
        <w:shd w:val="clear" w:color="auto" w:fill="DFE0E0" w:themeFill="accent6" w:themeFillTint="66"/>
      </w:tcPr>
    </w:tblStylePr>
    <w:tblStylePr w:type="lastRow">
      <w:rPr>
        <w:b/>
        <w:bCs/>
        <w:color w:val="000000" w:themeColor="text1"/>
      </w:rPr>
      <w:tblPr/>
      <w:tcPr>
        <w:shd w:val="clear" w:color="auto" w:fill="DFE0E0" w:themeFill="accent6" w:themeFillTint="66"/>
      </w:tcPr>
    </w:tblStylePr>
    <w:tblStylePr w:type="firstCol">
      <w:rPr>
        <w:color w:val="FFFFFF" w:themeColor="background1"/>
      </w:rPr>
      <w:tblPr/>
      <w:tcPr>
        <w:shd w:val="clear" w:color="auto" w:fill="838686" w:themeFill="accent6" w:themeFillShade="BF"/>
      </w:tcPr>
    </w:tblStylePr>
    <w:tblStylePr w:type="lastCol">
      <w:rPr>
        <w:color w:val="FFFFFF" w:themeColor="background1"/>
      </w:rPr>
      <w:tblPr/>
      <w:tcPr>
        <w:shd w:val="clear" w:color="auto" w:fill="838686" w:themeFill="accent6" w:themeFillShade="BF"/>
      </w:tcPr>
    </w:tblStylePr>
    <w:tblStylePr w:type="band1Vert">
      <w:tblPr/>
      <w:tcPr>
        <w:shd w:val="clear" w:color="auto" w:fill="D8D9D9" w:themeFill="accent6" w:themeFillTint="7F"/>
      </w:tcPr>
    </w:tblStylePr>
    <w:tblStylePr w:type="band1Horz">
      <w:tblPr/>
      <w:tcPr>
        <w:shd w:val="clear" w:color="auto" w:fill="D8D9D9" w:themeFill="accent6" w:themeFillTint="7F"/>
      </w:tcPr>
    </w:tblStylePr>
  </w:style>
  <w:style w:type="table" w:styleId="ColorfulList">
    <w:name w:val="Colorful List"/>
    <w:basedOn w:val="TableNormal"/>
    <w:uiPriority w:val="72"/>
    <w:semiHidden/>
    <w:unhideWhenUsed/>
    <w:rsid w:val="002C17A3"/>
    <w:rPr>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B522F" w:themeFill="accent2" w:themeFillShade="CC"/>
      </w:tcPr>
    </w:tblStylePr>
    <w:tblStylePr w:type="lastRow">
      <w:rPr>
        <w:b/>
        <w:bCs/>
        <w:color w:val="3B52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C17A3"/>
    <w:rPr>
      <w:color w:val="000000" w:themeColor="text1"/>
      <w:sz w:val="20"/>
      <w:szCs w:val="20"/>
    </w:rPr>
    <w:tblPr>
      <w:tblStyleRowBandSize w:val="1"/>
      <w:tblStyleColBandSize w:val="1"/>
    </w:tblPr>
    <w:tcPr>
      <w:shd w:val="clear" w:color="auto" w:fill="EFF5F6" w:themeFill="accent1" w:themeFillTint="19"/>
    </w:tcPr>
    <w:tblStylePr w:type="firstRow">
      <w:rPr>
        <w:b/>
        <w:bCs/>
        <w:color w:val="FFFFFF" w:themeColor="background1"/>
      </w:rPr>
      <w:tblPr/>
      <w:tcPr>
        <w:tcBorders>
          <w:bottom w:val="single" w:sz="12" w:space="0" w:color="FFFFFF" w:themeColor="background1"/>
        </w:tcBorders>
        <w:shd w:val="clear" w:color="auto" w:fill="3B522F" w:themeFill="accent2" w:themeFillShade="CC"/>
      </w:tcPr>
    </w:tblStylePr>
    <w:tblStylePr w:type="lastRow">
      <w:rPr>
        <w:b/>
        <w:bCs/>
        <w:color w:val="3B52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7E8" w:themeFill="accent1" w:themeFillTint="3F"/>
      </w:tcPr>
    </w:tblStylePr>
    <w:tblStylePr w:type="band1Horz">
      <w:tblPr/>
      <w:tcPr>
        <w:shd w:val="clear" w:color="auto" w:fill="E0EBED" w:themeFill="accent1" w:themeFillTint="33"/>
      </w:tcPr>
    </w:tblStylePr>
  </w:style>
  <w:style w:type="table" w:styleId="ColorfulList-Accent2">
    <w:name w:val="Colorful List Accent 2"/>
    <w:basedOn w:val="TableNormal"/>
    <w:uiPriority w:val="72"/>
    <w:semiHidden/>
    <w:unhideWhenUsed/>
    <w:rsid w:val="002C17A3"/>
    <w:rPr>
      <w:color w:val="000000" w:themeColor="text1"/>
      <w:sz w:val="20"/>
      <w:szCs w:val="20"/>
    </w:rPr>
    <w:tblPr>
      <w:tblStyleRowBandSize w:val="1"/>
      <w:tblStyleColBandSize w:val="1"/>
    </w:tblPr>
    <w:tcPr>
      <w:shd w:val="clear" w:color="auto" w:fill="ECF2E9" w:themeFill="accent2" w:themeFillTint="19"/>
    </w:tcPr>
    <w:tblStylePr w:type="firstRow">
      <w:rPr>
        <w:b/>
        <w:bCs/>
        <w:color w:val="FFFFFF" w:themeColor="background1"/>
      </w:rPr>
      <w:tblPr/>
      <w:tcPr>
        <w:tcBorders>
          <w:bottom w:val="single" w:sz="12" w:space="0" w:color="FFFFFF" w:themeColor="background1"/>
        </w:tcBorders>
        <w:shd w:val="clear" w:color="auto" w:fill="3B522F" w:themeFill="accent2" w:themeFillShade="CC"/>
      </w:tcPr>
    </w:tblStylePr>
    <w:tblStylePr w:type="lastRow">
      <w:rPr>
        <w:b/>
        <w:bCs/>
        <w:color w:val="3B522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FC8" w:themeFill="accent2" w:themeFillTint="3F"/>
      </w:tcPr>
    </w:tblStylePr>
    <w:tblStylePr w:type="band1Horz">
      <w:tblPr/>
      <w:tcPr>
        <w:shd w:val="clear" w:color="auto" w:fill="D9E5D2" w:themeFill="accent2" w:themeFillTint="33"/>
      </w:tcPr>
    </w:tblStylePr>
  </w:style>
  <w:style w:type="table" w:styleId="ColorfulList-Accent3">
    <w:name w:val="Colorful List Accent 3"/>
    <w:basedOn w:val="TableNormal"/>
    <w:uiPriority w:val="72"/>
    <w:semiHidden/>
    <w:unhideWhenUsed/>
    <w:rsid w:val="002C17A3"/>
    <w:rPr>
      <w:color w:val="000000" w:themeColor="text1"/>
      <w:sz w:val="20"/>
      <w:szCs w:val="20"/>
    </w:rPr>
    <w:tblPr>
      <w:tblStyleRowBandSize w:val="1"/>
      <w:tblStyleColBandSize w:val="1"/>
    </w:tblPr>
    <w:tcPr>
      <w:shd w:val="clear" w:color="auto" w:fill="F3F5F3" w:themeFill="accent3" w:themeFillTint="19"/>
    </w:tcPr>
    <w:tblStylePr w:type="firstRow">
      <w:rPr>
        <w:b/>
        <w:bCs/>
        <w:color w:val="FFFFFF" w:themeColor="background1"/>
      </w:rPr>
      <w:tblPr/>
      <w:tcPr>
        <w:tcBorders>
          <w:bottom w:val="single" w:sz="12" w:space="0" w:color="FFFFFF" w:themeColor="background1"/>
        </w:tcBorders>
        <w:shd w:val="clear" w:color="auto" w:fill="9C3B23" w:themeFill="accent4" w:themeFillShade="CC"/>
      </w:tcPr>
    </w:tblStylePr>
    <w:tblStylePr w:type="lastRow">
      <w:rPr>
        <w:b/>
        <w:bCs/>
        <w:color w:val="9C3B2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7E1" w:themeFill="accent3" w:themeFillTint="3F"/>
      </w:tcPr>
    </w:tblStylePr>
    <w:tblStylePr w:type="band1Horz">
      <w:tblPr/>
      <w:tcPr>
        <w:shd w:val="clear" w:color="auto" w:fill="E8ECE7" w:themeFill="accent3" w:themeFillTint="33"/>
      </w:tcPr>
    </w:tblStylePr>
  </w:style>
  <w:style w:type="table" w:styleId="ColorfulList-Accent4">
    <w:name w:val="Colorful List Accent 4"/>
    <w:basedOn w:val="TableNormal"/>
    <w:uiPriority w:val="72"/>
    <w:semiHidden/>
    <w:unhideWhenUsed/>
    <w:rsid w:val="002C17A3"/>
    <w:rPr>
      <w:color w:val="000000" w:themeColor="text1"/>
      <w:sz w:val="20"/>
      <w:szCs w:val="20"/>
    </w:rPr>
    <w:tblPr>
      <w:tblStyleRowBandSize w:val="1"/>
      <w:tblStyleColBandSize w:val="1"/>
    </w:tblPr>
    <w:tcPr>
      <w:shd w:val="clear" w:color="auto" w:fill="FAECE9" w:themeFill="accent4" w:themeFillTint="19"/>
    </w:tcPr>
    <w:tblStylePr w:type="firstRow">
      <w:rPr>
        <w:b/>
        <w:bCs/>
        <w:color w:val="FFFFFF" w:themeColor="background1"/>
      </w:rPr>
      <w:tblPr/>
      <w:tcPr>
        <w:tcBorders>
          <w:bottom w:val="single" w:sz="12" w:space="0" w:color="FFFFFF" w:themeColor="background1"/>
        </w:tcBorders>
        <w:shd w:val="clear" w:color="auto" w:fill="6F8469" w:themeFill="accent3" w:themeFillShade="CC"/>
      </w:tcPr>
    </w:tblStylePr>
    <w:tblStylePr w:type="lastRow">
      <w:rPr>
        <w:b/>
        <w:bCs/>
        <w:color w:val="6F846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0C8" w:themeFill="accent4" w:themeFillTint="3F"/>
      </w:tcPr>
    </w:tblStylePr>
    <w:tblStylePr w:type="band1Horz">
      <w:tblPr/>
      <w:tcPr>
        <w:shd w:val="clear" w:color="auto" w:fill="F5D9D2" w:themeFill="accent4" w:themeFillTint="33"/>
      </w:tcPr>
    </w:tblStylePr>
  </w:style>
  <w:style w:type="table" w:styleId="ColorfulList-Accent5">
    <w:name w:val="Colorful List Accent 5"/>
    <w:basedOn w:val="TableNormal"/>
    <w:uiPriority w:val="72"/>
    <w:semiHidden/>
    <w:unhideWhenUsed/>
    <w:rsid w:val="002C17A3"/>
    <w:rPr>
      <w:color w:val="000000" w:themeColor="text1"/>
      <w:sz w:val="20"/>
      <w:szCs w:val="20"/>
    </w:rPr>
    <w:tblPr>
      <w:tblStyleRowBandSize w:val="1"/>
      <w:tblStyleColBandSize w:val="1"/>
    </w:tblPr>
    <w:tcPr>
      <w:shd w:val="clear" w:color="auto" w:fill="F9F4F0" w:themeFill="accent5" w:themeFillTint="19"/>
    </w:tcPr>
    <w:tblStylePr w:type="firstRow">
      <w:rPr>
        <w:b/>
        <w:bCs/>
        <w:color w:val="FFFFFF" w:themeColor="background1"/>
      </w:rPr>
      <w:tblPr/>
      <w:tcPr>
        <w:tcBorders>
          <w:bottom w:val="single" w:sz="12" w:space="0" w:color="FFFFFF" w:themeColor="background1"/>
        </w:tcBorders>
        <w:shd w:val="clear" w:color="auto" w:fill="8C8F8F" w:themeFill="accent6" w:themeFillShade="CC"/>
      </w:tcPr>
    </w:tblStylePr>
    <w:tblStylePr w:type="lastRow">
      <w:rPr>
        <w:b/>
        <w:bCs/>
        <w:color w:val="8C8F8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E5DA" w:themeFill="accent5" w:themeFillTint="3F"/>
      </w:tcPr>
    </w:tblStylePr>
    <w:tblStylePr w:type="band1Horz">
      <w:tblPr/>
      <w:tcPr>
        <w:shd w:val="clear" w:color="auto" w:fill="F3EAE1" w:themeFill="accent5" w:themeFillTint="33"/>
      </w:tcPr>
    </w:tblStylePr>
  </w:style>
  <w:style w:type="table" w:styleId="ColorfulList-Accent6">
    <w:name w:val="Colorful List Accent 6"/>
    <w:basedOn w:val="TableNormal"/>
    <w:uiPriority w:val="72"/>
    <w:semiHidden/>
    <w:unhideWhenUsed/>
    <w:rsid w:val="002C17A3"/>
    <w:rPr>
      <w:color w:val="000000" w:themeColor="text1"/>
      <w:sz w:val="20"/>
      <w:szCs w:val="20"/>
    </w:rPr>
    <w:tblPr>
      <w:tblStyleRowBandSize w:val="1"/>
      <w:tblStyleColBandSize w:val="1"/>
    </w:tblPr>
    <w:tcPr>
      <w:shd w:val="clear" w:color="auto" w:fill="F7F7F7" w:themeFill="accent6" w:themeFillTint="19"/>
    </w:tcPr>
    <w:tblStylePr w:type="firstRow">
      <w:rPr>
        <w:b/>
        <w:bCs/>
        <w:color w:val="FFFFFF" w:themeColor="background1"/>
      </w:rPr>
      <w:tblPr/>
      <w:tcPr>
        <w:tcBorders>
          <w:bottom w:val="single" w:sz="12" w:space="0" w:color="FFFFFF" w:themeColor="background1"/>
        </w:tcBorders>
        <w:shd w:val="clear" w:color="auto" w:fill="AB7A45" w:themeFill="accent5" w:themeFillShade="CC"/>
      </w:tcPr>
    </w:tblStylePr>
    <w:tblStylePr w:type="lastRow">
      <w:rPr>
        <w:b/>
        <w:bCs/>
        <w:color w:val="AB7A4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CEC" w:themeFill="accent6" w:themeFillTint="3F"/>
      </w:tcPr>
    </w:tblStylePr>
    <w:tblStylePr w:type="band1Horz">
      <w:tblPr/>
      <w:tcPr>
        <w:shd w:val="clear" w:color="auto" w:fill="EFEFEF" w:themeFill="accent6" w:themeFillTint="33"/>
      </w:tcPr>
    </w:tblStylePr>
  </w:style>
  <w:style w:type="table" w:styleId="ColorfulShading">
    <w:name w:val="Colorful Shading"/>
    <w:basedOn w:val="TableNormal"/>
    <w:uiPriority w:val="71"/>
    <w:semiHidden/>
    <w:unhideWhenUsed/>
    <w:rsid w:val="002C17A3"/>
    <w:rPr>
      <w:color w:val="000000" w:themeColor="text1"/>
      <w:sz w:val="20"/>
      <w:szCs w:val="20"/>
    </w:rPr>
    <w:tblPr>
      <w:tblStyleRowBandSize w:val="1"/>
      <w:tblStyleColBandSize w:val="1"/>
      <w:tblBorders>
        <w:top w:val="single" w:sz="24" w:space="0" w:color="4B67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B67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C17A3"/>
    <w:rPr>
      <w:color w:val="000000" w:themeColor="text1"/>
      <w:sz w:val="20"/>
      <w:szCs w:val="20"/>
    </w:rPr>
    <w:tblPr>
      <w:tblStyleRowBandSize w:val="1"/>
      <w:tblStyleColBandSize w:val="1"/>
      <w:tblBorders>
        <w:top w:val="single" w:sz="24" w:space="0" w:color="4B673B" w:themeColor="accent2"/>
        <w:left w:val="single" w:sz="4" w:space="0" w:color="649EA5" w:themeColor="accent1"/>
        <w:bottom w:val="single" w:sz="4" w:space="0" w:color="649EA5" w:themeColor="accent1"/>
        <w:right w:val="single" w:sz="4" w:space="0" w:color="649EA5" w:themeColor="accent1"/>
        <w:insideH w:val="single" w:sz="4" w:space="0" w:color="FFFFFF" w:themeColor="background1"/>
        <w:insideV w:val="single" w:sz="4" w:space="0" w:color="FFFFFF" w:themeColor="background1"/>
      </w:tblBorders>
    </w:tblPr>
    <w:tcPr>
      <w:shd w:val="clear" w:color="auto" w:fill="EFF5F6" w:themeFill="accent1" w:themeFillTint="19"/>
    </w:tcPr>
    <w:tblStylePr w:type="firstRow">
      <w:rPr>
        <w:b/>
        <w:bCs/>
      </w:rPr>
      <w:tblPr/>
      <w:tcPr>
        <w:tcBorders>
          <w:top w:val="nil"/>
          <w:left w:val="nil"/>
          <w:bottom w:val="single" w:sz="24" w:space="0" w:color="4B67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F64" w:themeFill="accent1" w:themeFillShade="99"/>
      </w:tcPr>
    </w:tblStylePr>
    <w:tblStylePr w:type="firstCol">
      <w:rPr>
        <w:color w:val="FFFFFF" w:themeColor="background1"/>
      </w:rPr>
      <w:tblPr/>
      <w:tcPr>
        <w:tcBorders>
          <w:top w:val="nil"/>
          <w:left w:val="nil"/>
          <w:bottom w:val="nil"/>
          <w:right w:val="nil"/>
          <w:insideH w:val="single" w:sz="4" w:space="0" w:color="3A5F64" w:themeColor="accent1" w:themeShade="99"/>
          <w:insideV w:val="nil"/>
        </w:tcBorders>
        <w:shd w:val="clear" w:color="auto" w:fill="3A5F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A5F64" w:themeFill="accent1" w:themeFillShade="99"/>
      </w:tcPr>
    </w:tblStylePr>
    <w:tblStylePr w:type="band1Vert">
      <w:tblPr/>
      <w:tcPr>
        <w:shd w:val="clear" w:color="auto" w:fill="C1D8DB" w:themeFill="accent1" w:themeFillTint="66"/>
      </w:tcPr>
    </w:tblStylePr>
    <w:tblStylePr w:type="band1Horz">
      <w:tblPr/>
      <w:tcPr>
        <w:shd w:val="clear" w:color="auto" w:fill="B1CED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C17A3"/>
    <w:rPr>
      <w:color w:val="000000" w:themeColor="text1"/>
      <w:sz w:val="20"/>
      <w:szCs w:val="20"/>
    </w:rPr>
    <w:tblPr>
      <w:tblStyleRowBandSize w:val="1"/>
      <w:tblStyleColBandSize w:val="1"/>
      <w:tblBorders>
        <w:top w:val="single" w:sz="24" w:space="0" w:color="4B673B" w:themeColor="accent2"/>
        <w:left w:val="single" w:sz="4" w:space="0" w:color="4B673B" w:themeColor="accent2"/>
        <w:bottom w:val="single" w:sz="4" w:space="0" w:color="4B673B" w:themeColor="accent2"/>
        <w:right w:val="single" w:sz="4" w:space="0" w:color="4B673B" w:themeColor="accent2"/>
        <w:insideH w:val="single" w:sz="4" w:space="0" w:color="FFFFFF" w:themeColor="background1"/>
        <w:insideV w:val="single" w:sz="4" w:space="0" w:color="FFFFFF" w:themeColor="background1"/>
      </w:tblBorders>
    </w:tblPr>
    <w:tcPr>
      <w:shd w:val="clear" w:color="auto" w:fill="ECF2E9" w:themeFill="accent2" w:themeFillTint="19"/>
    </w:tcPr>
    <w:tblStylePr w:type="firstRow">
      <w:rPr>
        <w:b/>
        <w:bCs/>
      </w:rPr>
      <w:tblPr/>
      <w:tcPr>
        <w:tcBorders>
          <w:top w:val="nil"/>
          <w:left w:val="nil"/>
          <w:bottom w:val="single" w:sz="24" w:space="0" w:color="4B67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D23" w:themeFill="accent2" w:themeFillShade="99"/>
      </w:tcPr>
    </w:tblStylePr>
    <w:tblStylePr w:type="firstCol">
      <w:rPr>
        <w:color w:val="FFFFFF" w:themeColor="background1"/>
      </w:rPr>
      <w:tblPr/>
      <w:tcPr>
        <w:tcBorders>
          <w:top w:val="nil"/>
          <w:left w:val="nil"/>
          <w:bottom w:val="nil"/>
          <w:right w:val="nil"/>
          <w:insideH w:val="single" w:sz="4" w:space="0" w:color="2C3D23" w:themeColor="accent2" w:themeShade="99"/>
          <w:insideV w:val="nil"/>
        </w:tcBorders>
        <w:shd w:val="clear" w:color="auto" w:fill="2C3D2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C3D23" w:themeFill="accent2" w:themeFillShade="99"/>
      </w:tcPr>
    </w:tblStylePr>
    <w:tblStylePr w:type="band1Vert">
      <w:tblPr/>
      <w:tcPr>
        <w:shd w:val="clear" w:color="auto" w:fill="B4CCA6" w:themeFill="accent2" w:themeFillTint="66"/>
      </w:tcPr>
    </w:tblStylePr>
    <w:tblStylePr w:type="band1Horz">
      <w:tblPr/>
      <w:tcPr>
        <w:shd w:val="clear" w:color="auto" w:fill="A1C0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C17A3"/>
    <w:rPr>
      <w:color w:val="000000" w:themeColor="text1"/>
      <w:sz w:val="20"/>
      <w:szCs w:val="20"/>
    </w:rPr>
    <w:tblPr>
      <w:tblStyleRowBandSize w:val="1"/>
      <w:tblStyleColBandSize w:val="1"/>
      <w:tblBorders>
        <w:top w:val="single" w:sz="24" w:space="0" w:color="C44A2C" w:themeColor="accent4"/>
        <w:left w:val="single" w:sz="4" w:space="0" w:color="8EA189" w:themeColor="accent3"/>
        <w:bottom w:val="single" w:sz="4" w:space="0" w:color="8EA189" w:themeColor="accent3"/>
        <w:right w:val="single" w:sz="4" w:space="0" w:color="8EA189" w:themeColor="accent3"/>
        <w:insideH w:val="single" w:sz="4" w:space="0" w:color="FFFFFF" w:themeColor="background1"/>
        <w:insideV w:val="single" w:sz="4" w:space="0" w:color="FFFFFF" w:themeColor="background1"/>
      </w:tblBorders>
    </w:tblPr>
    <w:tcPr>
      <w:shd w:val="clear" w:color="auto" w:fill="F3F5F3" w:themeFill="accent3" w:themeFillTint="19"/>
    </w:tcPr>
    <w:tblStylePr w:type="firstRow">
      <w:rPr>
        <w:b/>
        <w:bCs/>
      </w:rPr>
      <w:tblPr/>
      <w:tcPr>
        <w:tcBorders>
          <w:top w:val="nil"/>
          <w:left w:val="nil"/>
          <w:bottom w:val="single" w:sz="24" w:space="0" w:color="C44A2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3634F" w:themeFill="accent3" w:themeFillShade="99"/>
      </w:tcPr>
    </w:tblStylePr>
    <w:tblStylePr w:type="firstCol">
      <w:rPr>
        <w:color w:val="FFFFFF" w:themeColor="background1"/>
      </w:rPr>
      <w:tblPr/>
      <w:tcPr>
        <w:tcBorders>
          <w:top w:val="nil"/>
          <w:left w:val="nil"/>
          <w:bottom w:val="nil"/>
          <w:right w:val="nil"/>
          <w:insideH w:val="single" w:sz="4" w:space="0" w:color="53634F" w:themeColor="accent3" w:themeShade="99"/>
          <w:insideV w:val="nil"/>
        </w:tcBorders>
        <w:shd w:val="clear" w:color="auto" w:fill="53634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3634F" w:themeFill="accent3" w:themeFillShade="99"/>
      </w:tcPr>
    </w:tblStylePr>
    <w:tblStylePr w:type="band1Vert">
      <w:tblPr/>
      <w:tcPr>
        <w:shd w:val="clear" w:color="auto" w:fill="D1D9CF" w:themeFill="accent3" w:themeFillTint="66"/>
      </w:tcPr>
    </w:tblStylePr>
    <w:tblStylePr w:type="band1Horz">
      <w:tblPr/>
      <w:tcPr>
        <w:shd w:val="clear" w:color="auto" w:fill="C6D0C4" w:themeFill="accent3" w:themeFillTint="7F"/>
      </w:tcPr>
    </w:tblStylePr>
  </w:style>
  <w:style w:type="table" w:styleId="ColorfulShading-Accent4">
    <w:name w:val="Colorful Shading Accent 4"/>
    <w:basedOn w:val="TableNormal"/>
    <w:uiPriority w:val="71"/>
    <w:semiHidden/>
    <w:unhideWhenUsed/>
    <w:rsid w:val="002C17A3"/>
    <w:rPr>
      <w:color w:val="000000" w:themeColor="text1"/>
      <w:sz w:val="20"/>
      <w:szCs w:val="20"/>
    </w:rPr>
    <w:tblPr>
      <w:tblStyleRowBandSize w:val="1"/>
      <w:tblStyleColBandSize w:val="1"/>
      <w:tblBorders>
        <w:top w:val="single" w:sz="24" w:space="0" w:color="8EA189" w:themeColor="accent3"/>
        <w:left w:val="single" w:sz="4" w:space="0" w:color="C44A2C" w:themeColor="accent4"/>
        <w:bottom w:val="single" w:sz="4" w:space="0" w:color="C44A2C" w:themeColor="accent4"/>
        <w:right w:val="single" w:sz="4" w:space="0" w:color="C44A2C" w:themeColor="accent4"/>
        <w:insideH w:val="single" w:sz="4" w:space="0" w:color="FFFFFF" w:themeColor="background1"/>
        <w:insideV w:val="single" w:sz="4" w:space="0" w:color="FFFFFF" w:themeColor="background1"/>
      </w:tblBorders>
    </w:tblPr>
    <w:tcPr>
      <w:shd w:val="clear" w:color="auto" w:fill="FAECE9" w:themeFill="accent4" w:themeFillTint="19"/>
    </w:tcPr>
    <w:tblStylePr w:type="firstRow">
      <w:rPr>
        <w:b/>
        <w:bCs/>
      </w:rPr>
      <w:tblPr/>
      <w:tcPr>
        <w:tcBorders>
          <w:top w:val="nil"/>
          <w:left w:val="nil"/>
          <w:bottom w:val="single" w:sz="24" w:space="0" w:color="8EA18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2C1A" w:themeFill="accent4" w:themeFillShade="99"/>
      </w:tcPr>
    </w:tblStylePr>
    <w:tblStylePr w:type="firstCol">
      <w:rPr>
        <w:color w:val="FFFFFF" w:themeColor="background1"/>
      </w:rPr>
      <w:tblPr/>
      <w:tcPr>
        <w:tcBorders>
          <w:top w:val="nil"/>
          <w:left w:val="nil"/>
          <w:bottom w:val="nil"/>
          <w:right w:val="nil"/>
          <w:insideH w:val="single" w:sz="4" w:space="0" w:color="752C1A" w:themeColor="accent4" w:themeShade="99"/>
          <w:insideV w:val="nil"/>
        </w:tcBorders>
        <w:shd w:val="clear" w:color="auto" w:fill="752C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2C1A" w:themeFill="accent4" w:themeFillShade="99"/>
      </w:tcPr>
    </w:tblStylePr>
    <w:tblStylePr w:type="band1Vert">
      <w:tblPr/>
      <w:tcPr>
        <w:shd w:val="clear" w:color="auto" w:fill="EBB4A6" w:themeFill="accent4" w:themeFillTint="66"/>
      </w:tcPr>
    </w:tblStylePr>
    <w:tblStylePr w:type="band1Horz">
      <w:tblPr/>
      <w:tcPr>
        <w:shd w:val="clear" w:color="auto" w:fill="E6A19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C17A3"/>
    <w:rPr>
      <w:color w:val="000000" w:themeColor="text1"/>
      <w:sz w:val="20"/>
      <w:szCs w:val="20"/>
    </w:rPr>
    <w:tblPr>
      <w:tblStyleRowBandSize w:val="1"/>
      <w:tblStyleColBandSize w:val="1"/>
      <w:tblBorders>
        <w:top w:val="single" w:sz="24" w:space="0" w:color="B1B3B3" w:themeColor="accent6"/>
        <w:left w:val="single" w:sz="4" w:space="0" w:color="C3996A" w:themeColor="accent5"/>
        <w:bottom w:val="single" w:sz="4" w:space="0" w:color="C3996A" w:themeColor="accent5"/>
        <w:right w:val="single" w:sz="4" w:space="0" w:color="C3996A" w:themeColor="accent5"/>
        <w:insideH w:val="single" w:sz="4" w:space="0" w:color="FFFFFF" w:themeColor="background1"/>
        <w:insideV w:val="single" w:sz="4" w:space="0" w:color="FFFFFF" w:themeColor="background1"/>
      </w:tblBorders>
    </w:tblPr>
    <w:tcPr>
      <w:shd w:val="clear" w:color="auto" w:fill="F9F4F0" w:themeFill="accent5" w:themeFillTint="19"/>
    </w:tcPr>
    <w:tblStylePr w:type="firstRow">
      <w:rPr>
        <w:b/>
        <w:bCs/>
      </w:rPr>
      <w:tblPr/>
      <w:tcPr>
        <w:tcBorders>
          <w:top w:val="nil"/>
          <w:left w:val="nil"/>
          <w:bottom w:val="single" w:sz="24" w:space="0" w:color="B1B3B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5C33" w:themeFill="accent5" w:themeFillShade="99"/>
      </w:tcPr>
    </w:tblStylePr>
    <w:tblStylePr w:type="firstCol">
      <w:rPr>
        <w:color w:val="FFFFFF" w:themeColor="background1"/>
      </w:rPr>
      <w:tblPr/>
      <w:tcPr>
        <w:tcBorders>
          <w:top w:val="nil"/>
          <w:left w:val="nil"/>
          <w:bottom w:val="nil"/>
          <w:right w:val="nil"/>
          <w:insideH w:val="single" w:sz="4" w:space="0" w:color="805C33" w:themeColor="accent5" w:themeShade="99"/>
          <w:insideV w:val="nil"/>
        </w:tcBorders>
        <w:shd w:val="clear" w:color="auto" w:fill="805C3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5C33" w:themeFill="accent5" w:themeFillShade="99"/>
      </w:tcPr>
    </w:tblStylePr>
    <w:tblStylePr w:type="band1Vert">
      <w:tblPr/>
      <w:tcPr>
        <w:shd w:val="clear" w:color="auto" w:fill="E7D6C3" w:themeFill="accent5" w:themeFillTint="66"/>
      </w:tcPr>
    </w:tblStylePr>
    <w:tblStylePr w:type="band1Horz">
      <w:tblPr/>
      <w:tcPr>
        <w:shd w:val="clear" w:color="auto" w:fill="E1CBB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C17A3"/>
    <w:rPr>
      <w:color w:val="000000" w:themeColor="text1"/>
      <w:sz w:val="20"/>
      <w:szCs w:val="20"/>
    </w:rPr>
    <w:tblPr>
      <w:tblStyleRowBandSize w:val="1"/>
      <w:tblStyleColBandSize w:val="1"/>
      <w:tblBorders>
        <w:top w:val="single" w:sz="24" w:space="0" w:color="C3996A" w:themeColor="accent5"/>
        <w:left w:val="single" w:sz="4" w:space="0" w:color="B1B3B3" w:themeColor="accent6"/>
        <w:bottom w:val="single" w:sz="4" w:space="0" w:color="B1B3B3" w:themeColor="accent6"/>
        <w:right w:val="single" w:sz="4" w:space="0" w:color="B1B3B3" w:themeColor="accent6"/>
        <w:insideH w:val="single" w:sz="4" w:space="0" w:color="FFFFFF" w:themeColor="background1"/>
        <w:insideV w:val="single" w:sz="4" w:space="0" w:color="FFFFFF" w:themeColor="background1"/>
      </w:tblBorders>
    </w:tblPr>
    <w:tcPr>
      <w:shd w:val="clear" w:color="auto" w:fill="F7F7F7" w:themeFill="accent6" w:themeFillTint="19"/>
    </w:tcPr>
    <w:tblStylePr w:type="firstRow">
      <w:rPr>
        <w:b/>
        <w:bCs/>
      </w:rPr>
      <w:tblPr/>
      <w:tcPr>
        <w:tcBorders>
          <w:top w:val="nil"/>
          <w:left w:val="nil"/>
          <w:bottom w:val="single" w:sz="24" w:space="0" w:color="C3996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6B6B" w:themeFill="accent6" w:themeFillShade="99"/>
      </w:tcPr>
    </w:tblStylePr>
    <w:tblStylePr w:type="firstCol">
      <w:rPr>
        <w:color w:val="FFFFFF" w:themeColor="background1"/>
      </w:rPr>
      <w:tblPr/>
      <w:tcPr>
        <w:tcBorders>
          <w:top w:val="nil"/>
          <w:left w:val="nil"/>
          <w:bottom w:val="nil"/>
          <w:right w:val="nil"/>
          <w:insideH w:val="single" w:sz="4" w:space="0" w:color="696B6B" w:themeColor="accent6" w:themeShade="99"/>
          <w:insideV w:val="nil"/>
        </w:tcBorders>
        <w:shd w:val="clear" w:color="auto" w:fill="696B6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96B6B" w:themeFill="accent6" w:themeFillShade="99"/>
      </w:tcPr>
    </w:tblStylePr>
    <w:tblStylePr w:type="band1Vert">
      <w:tblPr/>
      <w:tcPr>
        <w:shd w:val="clear" w:color="auto" w:fill="DFE0E0" w:themeFill="accent6" w:themeFillTint="66"/>
      </w:tcPr>
    </w:tblStylePr>
    <w:tblStylePr w:type="band1Horz">
      <w:tblPr/>
      <w:tcPr>
        <w:shd w:val="clear" w:color="auto" w:fill="D8D9D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C17A3"/>
    <w:rPr>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C17A3"/>
    <w:rPr>
      <w:color w:val="FFFFFF" w:themeColor="background1"/>
      <w:sz w:val="20"/>
      <w:szCs w:val="20"/>
    </w:rPr>
    <w:tblPr>
      <w:tblStyleRowBandSize w:val="1"/>
      <w:tblStyleColBandSize w:val="1"/>
    </w:tblPr>
    <w:tcPr>
      <w:shd w:val="clear" w:color="auto" w:fill="649E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F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977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9777D" w:themeFill="accent1" w:themeFillShade="BF"/>
      </w:tcPr>
    </w:tblStylePr>
    <w:tblStylePr w:type="band1Vert">
      <w:tblPr/>
      <w:tcPr>
        <w:tcBorders>
          <w:top w:val="nil"/>
          <w:left w:val="nil"/>
          <w:bottom w:val="nil"/>
          <w:right w:val="nil"/>
          <w:insideH w:val="nil"/>
          <w:insideV w:val="nil"/>
        </w:tcBorders>
        <w:shd w:val="clear" w:color="auto" w:fill="49777D" w:themeFill="accent1" w:themeFillShade="BF"/>
      </w:tcPr>
    </w:tblStylePr>
    <w:tblStylePr w:type="band1Horz">
      <w:tblPr/>
      <w:tcPr>
        <w:tcBorders>
          <w:top w:val="nil"/>
          <w:left w:val="nil"/>
          <w:bottom w:val="nil"/>
          <w:right w:val="nil"/>
          <w:insideH w:val="nil"/>
          <w:insideV w:val="nil"/>
        </w:tcBorders>
        <w:shd w:val="clear" w:color="auto" w:fill="49777D" w:themeFill="accent1" w:themeFillShade="BF"/>
      </w:tcPr>
    </w:tblStylePr>
  </w:style>
  <w:style w:type="table" w:styleId="DarkList-Accent2">
    <w:name w:val="Dark List Accent 2"/>
    <w:basedOn w:val="TableNormal"/>
    <w:uiPriority w:val="70"/>
    <w:semiHidden/>
    <w:unhideWhenUsed/>
    <w:rsid w:val="002C17A3"/>
    <w:rPr>
      <w:color w:val="FFFFFF" w:themeColor="background1"/>
      <w:sz w:val="20"/>
      <w:szCs w:val="20"/>
    </w:rPr>
    <w:tblPr>
      <w:tblStyleRowBandSize w:val="1"/>
      <w:tblStyleColBandSize w:val="1"/>
    </w:tblPr>
    <w:tcPr>
      <w:shd w:val="clear" w:color="auto" w:fill="4B67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31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84D2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84D2C" w:themeFill="accent2" w:themeFillShade="BF"/>
      </w:tcPr>
    </w:tblStylePr>
    <w:tblStylePr w:type="band1Vert">
      <w:tblPr/>
      <w:tcPr>
        <w:tcBorders>
          <w:top w:val="nil"/>
          <w:left w:val="nil"/>
          <w:bottom w:val="nil"/>
          <w:right w:val="nil"/>
          <w:insideH w:val="nil"/>
          <w:insideV w:val="nil"/>
        </w:tcBorders>
        <w:shd w:val="clear" w:color="auto" w:fill="384D2C" w:themeFill="accent2" w:themeFillShade="BF"/>
      </w:tcPr>
    </w:tblStylePr>
    <w:tblStylePr w:type="band1Horz">
      <w:tblPr/>
      <w:tcPr>
        <w:tcBorders>
          <w:top w:val="nil"/>
          <w:left w:val="nil"/>
          <w:bottom w:val="nil"/>
          <w:right w:val="nil"/>
          <w:insideH w:val="nil"/>
          <w:insideV w:val="nil"/>
        </w:tcBorders>
        <w:shd w:val="clear" w:color="auto" w:fill="384D2C" w:themeFill="accent2" w:themeFillShade="BF"/>
      </w:tcPr>
    </w:tblStylePr>
  </w:style>
  <w:style w:type="table" w:styleId="DarkList-Accent3">
    <w:name w:val="Dark List Accent 3"/>
    <w:basedOn w:val="TableNormal"/>
    <w:uiPriority w:val="70"/>
    <w:semiHidden/>
    <w:unhideWhenUsed/>
    <w:rsid w:val="002C17A3"/>
    <w:rPr>
      <w:color w:val="FFFFFF" w:themeColor="background1"/>
      <w:sz w:val="20"/>
      <w:szCs w:val="20"/>
    </w:rPr>
    <w:tblPr>
      <w:tblStyleRowBandSize w:val="1"/>
      <w:tblStyleColBandSize w:val="1"/>
    </w:tblPr>
    <w:tcPr>
      <w:shd w:val="clear" w:color="auto" w:fill="8EA18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524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87C6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87C63" w:themeFill="accent3" w:themeFillShade="BF"/>
      </w:tcPr>
    </w:tblStylePr>
    <w:tblStylePr w:type="band1Vert">
      <w:tblPr/>
      <w:tcPr>
        <w:tcBorders>
          <w:top w:val="nil"/>
          <w:left w:val="nil"/>
          <w:bottom w:val="nil"/>
          <w:right w:val="nil"/>
          <w:insideH w:val="nil"/>
          <w:insideV w:val="nil"/>
        </w:tcBorders>
        <w:shd w:val="clear" w:color="auto" w:fill="687C63" w:themeFill="accent3" w:themeFillShade="BF"/>
      </w:tcPr>
    </w:tblStylePr>
    <w:tblStylePr w:type="band1Horz">
      <w:tblPr/>
      <w:tcPr>
        <w:tcBorders>
          <w:top w:val="nil"/>
          <w:left w:val="nil"/>
          <w:bottom w:val="nil"/>
          <w:right w:val="nil"/>
          <w:insideH w:val="nil"/>
          <w:insideV w:val="nil"/>
        </w:tcBorders>
        <w:shd w:val="clear" w:color="auto" w:fill="687C63" w:themeFill="accent3" w:themeFillShade="BF"/>
      </w:tcPr>
    </w:tblStylePr>
  </w:style>
  <w:style w:type="table" w:styleId="DarkList-Accent4">
    <w:name w:val="Dark List Accent 4"/>
    <w:basedOn w:val="TableNormal"/>
    <w:uiPriority w:val="70"/>
    <w:semiHidden/>
    <w:unhideWhenUsed/>
    <w:rsid w:val="002C17A3"/>
    <w:rPr>
      <w:color w:val="FFFFFF" w:themeColor="background1"/>
      <w:sz w:val="20"/>
      <w:szCs w:val="20"/>
    </w:rPr>
    <w:tblPr>
      <w:tblStyleRowBandSize w:val="1"/>
      <w:tblStyleColBandSize w:val="1"/>
    </w:tblPr>
    <w:tcPr>
      <w:shd w:val="clear" w:color="auto" w:fill="C44A2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241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372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3721" w:themeFill="accent4" w:themeFillShade="BF"/>
      </w:tcPr>
    </w:tblStylePr>
    <w:tblStylePr w:type="band1Vert">
      <w:tblPr/>
      <w:tcPr>
        <w:tcBorders>
          <w:top w:val="nil"/>
          <w:left w:val="nil"/>
          <w:bottom w:val="nil"/>
          <w:right w:val="nil"/>
          <w:insideH w:val="nil"/>
          <w:insideV w:val="nil"/>
        </w:tcBorders>
        <w:shd w:val="clear" w:color="auto" w:fill="923721" w:themeFill="accent4" w:themeFillShade="BF"/>
      </w:tcPr>
    </w:tblStylePr>
    <w:tblStylePr w:type="band1Horz">
      <w:tblPr/>
      <w:tcPr>
        <w:tcBorders>
          <w:top w:val="nil"/>
          <w:left w:val="nil"/>
          <w:bottom w:val="nil"/>
          <w:right w:val="nil"/>
          <w:insideH w:val="nil"/>
          <w:insideV w:val="nil"/>
        </w:tcBorders>
        <w:shd w:val="clear" w:color="auto" w:fill="923721" w:themeFill="accent4" w:themeFillShade="BF"/>
      </w:tcPr>
    </w:tblStylePr>
  </w:style>
  <w:style w:type="table" w:styleId="DarkList-Accent5">
    <w:name w:val="Dark List Accent 5"/>
    <w:basedOn w:val="TableNormal"/>
    <w:uiPriority w:val="70"/>
    <w:semiHidden/>
    <w:unhideWhenUsed/>
    <w:rsid w:val="002C17A3"/>
    <w:rPr>
      <w:color w:val="FFFFFF" w:themeColor="background1"/>
      <w:sz w:val="20"/>
      <w:szCs w:val="20"/>
    </w:rPr>
    <w:tblPr>
      <w:tblStyleRowBandSize w:val="1"/>
      <w:tblStyleColBandSize w:val="1"/>
    </w:tblPr>
    <w:tcPr>
      <w:shd w:val="clear" w:color="auto" w:fill="C3996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4C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0734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07340" w:themeFill="accent5" w:themeFillShade="BF"/>
      </w:tcPr>
    </w:tblStylePr>
    <w:tblStylePr w:type="band1Vert">
      <w:tblPr/>
      <w:tcPr>
        <w:tcBorders>
          <w:top w:val="nil"/>
          <w:left w:val="nil"/>
          <w:bottom w:val="nil"/>
          <w:right w:val="nil"/>
          <w:insideH w:val="nil"/>
          <w:insideV w:val="nil"/>
        </w:tcBorders>
        <w:shd w:val="clear" w:color="auto" w:fill="A07340" w:themeFill="accent5" w:themeFillShade="BF"/>
      </w:tcPr>
    </w:tblStylePr>
    <w:tblStylePr w:type="band1Horz">
      <w:tblPr/>
      <w:tcPr>
        <w:tcBorders>
          <w:top w:val="nil"/>
          <w:left w:val="nil"/>
          <w:bottom w:val="nil"/>
          <w:right w:val="nil"/>
          <w:insideH w:val="nil"/>
          <w:insideV w:val="nil"/>
        </w:tcBorders>
        <w:shd w:val="clear" w:color="auto" w:fill="A07340" w:themeFill="accent5" w:themeFillShade="BF"/>
      </w:tcPr>
    </w:tblStylePr>
  </w:style>
  <w:style w:type="table" w:styleId="DarkList-Accent6">
    <w:name w:val="Dark List Accent 6"/>
    <w:basedOn w:val="TableNormal"/>
    <w:uiPriority w:val="70"/>
    <w:semiHidden/>
    <w:unhideWhenUsed/>
    <w:rsid w:val="002C17A3"/>
    <w:rPr>
      <w:color w:val="FFFFFF" w:themeColor="background1"/>
      <w:sz w:val="20"/>
      <w:szCs w:val="20"/>
    </w:rPr>
    <w:tblPr>
      <w:tblStyleRowBandSize w:val="1"/>
      <w:tblStyleColBandSize w:val="1"/>
    </w:tblPr>
    <w:tcPr>
      <w:shd w:val="clear" w:color="auto" w:fill="B1B3B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595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3868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38686" w:themeFill="accent6" w:themeFillShade="BF"/>
      </w:tcPr>
    </w:tblStylePr>
    <w:tblStylePr w:type="band1Vert">
      <w:tblPr/>
      <w:tcPr>
        <w:tcBorders>
          <w:top w:val="nil"/>
          <w:left w:val="nil"/>
          <w:bottom w:val="nil"/>
          <w:right w:val="nil"/>
          <w:insideH w:val="nil"/>
          <w:insideV w:val="nil"/>
        </w:tcBorders>
        <w:shd w:val="clear" w:color="auto" w:fill="838686" w:themeFill="accent6" w:themeFillShade="BF"/>
      </w:tcPr>
    </w:tblStylePr>
    <w:tblStylePr w:type="band1Horz">
      <w:tblPr/>
      <w:tcPr>
        <w:tcBorders>
          <w:top w:val="nil"/>
          <w:left w:val="nil"/>
          <w:bottom w:val="nil"/>
          <w:right w:val="nil"/>
          <w:insideH w:val="nil"/>
          <w:insideV w:val="nil"/>
        </w:tcBorders>
        <w:shd w:val="clear" w:color="auto" w:fill="838686" w:themeFill="accent6" w:themeFillShade="BF"/>
      </w:tcPr>
    </w:tblStylePr>
  </w:style>
  <w:style w:type="table" w:styleId="GridTable1Light">
    <w:name w:val="Grid Table 1 Light"/>
    <w:basedOn w:val="TableNormal"/>
    <w:uiPriority w:val="46"/>
    <w:rsid w:val="002C17A3"/>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C17A3"/>
    <w:rPr>
      <w:sz w:val="20"/>
      <w:szCs w:val="20"/>
    </w:rPr>
    <w:tblPr>
      <w:tblStyleRowBandSize w:val="1"/>
      <w:tblStyleColBandSize w:val="1"/>
      <w:tblBorders>
        <w:top w:val="single" w:sz="4" w:space="0" w:color="C1D8DB" w:themeColor="accent1" w:themeTint="66"/>
        <w:left w:val="single" w:sz="4" w:space="0" w:color="C1D8DB" w:themeColor="accent1" w:themeTint="66"/>
        <w:bottom w:val="single" w:sz="4" w:space="0" w:color="C1D8DB" w:themeColor="accent1" w:themeTint="66"/>
        <w:right w:val="single" w:sz="4" w:space="0" w:color="C1D8DB" w:themeColor="accent1" w:themeTint="66"/>
        <w:insideH w:val="single" w:sz="4" w:space="0" w:color="C1D8DB" w:themeColor="accent1" w:themeTint="66"/>
        <w:insideV w:val="single" w:sz="4" w:space="0" w:color="C1D8DB" w:themeColor="accent1" w:themeTint="66"/>
      </w:tblBorders>
    </w:tblPr>
    <w:tblStylePr w:type="firstRow">
      <w:rPr>
        <w:b/>
        <w:bCs/>
      </w:rPr>
      <w:tblPr/>
      <w:tcPr>
        <w:tcBorders>
          <w:bottom w:val="single" w:sz="12" w:space="0" w:color="A2C4C9" w:themeColor="accent1" w:themeTint="99"/>
        </w:tcBorders>
      </w:tcPr>
    </w:tblStylePr>
    <w:tblStylePr w:type="lastRow">
      <w:rPr>
        <w:b/>
        <w:bCs/>
      </w:rPr>
      <w:tblPr/>
      <w:tcPr>
        <w:tcBorders>
          <w:top w:val="double" w:sz="2" w:space="0" w:color="A2C4C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C17A3"/>
    <w:rPr>
      <w:sz w:val="20"/>
      <w:szCs w:val="20"/>
    </w:rPr>
    <w:tblPr>
      <w:tblStyleRowBandSize w:val="1"/>
      <w:tblStyleColBandSize w:val="1"/>
      <w:tblBorders>
        <w:top w:val="single" w:sz="4" w:space="0" w:color="B4CCA6" w:themeColor="accent2" w:themeTint="66"/>
        <w:left w:val="single" w:sz="4" w:space="0" w:color="B4CCA6" w:themeColor="accent2" w:themeTint="66"/>
        <w:bottom w:val="single" w:sz="4" w:space="0" w:color="B4CCA6" w:themeColor="accent2" w:themeTint="66"/>
        <w:right w:val="single" w:sz="4" w:space="0" w:color="B4CCA6" w:themeColor="accent2" w:themeTint="66"/>
        <w:insideH w:val="single" w:sz="4" w:space="0" w:color="B4CCA6" w:themeColor="accent2" w:themeTint="66"/>
        <w:insideV w:val="single" w:sz="4" w:space="0" w:color="B4CCA6" w:themeColor="accent2" w:themeTint="66"/>
      </w:tblBorders>
    </w:tblPr>
    <w:tblStylePr w:type="firstRow">
      <w:rPr>
        <w:b/>
        <w:bCs/>
      </w:rPr>
      <w:tblPr/>
      <w:tcPr>
        <w:tcBorders>
          <w:bottom w:val="single" w:sz="12" w:space="0" w:color="8EB37A" w:themeColor="accent2" w:themeTint="99"/>
        </w:tcBorders>
      </w:tcPr>
    </w:tblStylePr>
    <w:tblStylePr w:type="lastRow">
      <w:rPr>
        <w:b/>
        <w:bCs/>
      </w:rPr>
      <w:tblPr/>
      <w:tcPr>
        <w:tcBorders>
          <w:top w:val="double" w:sz="2" w:space="0" w:color="8EB3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17A3"/>
    <w:rPr>
      <w:sz w:val="20"/>
      <w:szCs w:val="20"/>
    </w:rPr>
    <w:tblPr>
      <w:tblStyleRowBandSize w:val="1"/>
      <w:tblStyleColBandSize w:val="1"/>
      <w:tblBorders>
        <w:top w:val="single" w:sz="4" w:space="0" w:color="D1D9CF" w:themeColor="accent3" w:themeTint="66"/>
        <w:left w:val="single" w:sz="4" w:space="0" w:color="D1D9CF" w:themeColor="accent3" w:themeTint="66"/>
        <w:bottom w:val="single" w:sz="4" w:space="0" w:color="D1D9CF" w:themeColor="accent3" w:themeTint="66"/>
        <w:right w:val="single" w:sz="4" w:space="0" w:color="D1D9CF" w:themeColor="accent3" w:themeTint="66"/>
        <w:insideH w:val="single" w:sz="4" w:space="0" w:color="D1D9CF" w:themeColor="accent3" w:themeTint="66"/>
        <w:insideV w:val="single" w:sz="4" w:space="0" w:color="D1D9CF" w:themeColor="accent3" w:themeTint="66"/>
      </w:tblBorders>
    </w:tblPr>
    <w:tblStylePr w:type="firstRow">
      <w:rPr>
        <w:b/>
        <w:bCs/>
      </w:rPr>
      <w:tblPr/>
      <w:tcPr>
        <w:tcBorders>
          <w:bottom w:val="single" w:sz="12" w:space="0" w:color="BBC6B8" w:themeColor="accent3" w:themeTint="99"/>
        </w:tcBorders>
      </w:tcPr>
    </w:tblStylePr>
    <w:tblStylePr w:type="lastRow">
      <w:rPr>
        <w:b/>
        <w:bCs/>
      </w:rPr>
      <w:tblPr/>
      <w:tcPr>
        <w:tcBorders>
          <w:top w:val="double" w:sz="2" w:space="0" w:color="BBC6B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C17A3"/>
    <w:rPr>
      <w:sz w:val="20"/>
      <w:szCs w:val="20"/>
    </w:rPr>
    <w:tblPr>
      <w:tblStyleRowBandSize w:val="1"/>
      <w:tblStyleColBandSize w:val="1"/>
      <w:tblBorders>
        <w:top w:val="single" w:sz="4" w:space="0" w:color="EBB4A6" w:themeColor="accent4" w:themeTint="66"/>
        <w:left w:val="single" w:sz="4" w:space="0" w:color="EBB4A6" w:themeColor="accent4" w:themeTint="66"/>
        <w:bottom w:val="single" w:sz="4" w:space="0" w:color="EBB4A6" w:themeColor="accent4" w:themeTint="66"/>
        <w:right w:val="single" w:sz="4" w:space="0" w:color="EBB4A6" w:themeColor="accent4" w:themeTint="66"/>
        <w:insideH w:val="single" w:sz="4" w:space="0" w:color="EBB4A6" w:themeColor="accent4" w:themeTint="66"/>
        <w:insideV w:val="single" w:sz="4" w:space="0" w:color="EBB4A6" w:themeColor="accent4" w:themeTint="66"/>
      </w:tblBorders>
    </w:tblPr>
    <w:tblStylePr w:type="firstRow">
      <w:rPr>
        <w:b/>
        <w:bCs/>
      </w:rPr>
      <w:tblPr/>
      <w:tcPr>
        <w:tcBorders>
          <w:bottom w:val="single" w:sz="12" w:space="0" w:color="E18E7A" w:themeColor="accent4" w:themeTint="99"/>
        </w:tcBorders>
      </w:tcPr>
    </w:tblStylePr>
    <w:tblStylePr w:type="lastRow">
      <w:rPr>
        <w:b/>
        <w:bCs/>
      </w:rPr>
      <w:tblPr/>
      <w:tcPr>
        <w:tcBorders>
          <w:top w:val="double" w:sz="2" w:space="0" w:color="E18E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C17A3"/>
    <w:rPr>
      <w:sz w:val="20"/>
      <w:szCs w:val="20"/>
    </w:rPr>
    <w:tblPr>
      <w:tblStyleRowBandSize w:val="1"/>
      <w:tblStyleColBandSize w:val="1"/>
      <w:tblBorders>
        <w:top w:val="single" w:sz="4" w:space="0" w:color="E7D6C3" w:themeColor="accent5" w:themeTint="66"/>
        <w:left w:val="single" w:sz="4" w:space="0" w:color="E7D6C3" w:themeColor="accent5" w:themeTint="66"/>
        <w:bottom w:val="single" w:sz="4" w:space="0" w:color="E7D6C3" w:themeColor="accent5" w:themeTint="66"/>
        <w:right w:val="single" w:sz="4" w:space="0" w:color="E7D6C3" w:themeColor="accent5" w:themeTint="66"/>
        <w:insideH w:val="single" w:sz="4" w:space="0" w:color="E7D6C3" w:themeColor="accent5" w:themeTint="66"/>
        <w:insideV w:val="single" w:sz="4" w:space="0" w:color="E7D6C3" w:themeColor="accent5" w:themeTint="66"/>
      </w:tblBorders>
    </w:tblPr>
    <w:tblStylePr w:type="firstRow">
      <w:rPr>
        <w:b/>
        <w:bCs/>
      </w:rPr>
      <w:tblPr/>
      <w:tcPr>
        <w:tcBorders>
          <w:bottom w:val="single" w:sz="12" w:space="0" w:color="DBC1A5" w:themeColor="accent5" w:themeTint="99"/>
        </w:tcBorders>
      </w:tcPr>
    </w:tblStylePr>
    <w:tblStylePr w:type="lastRow">
      <w:rPr>
        <w:b/>
        <w:bCs/>
      </w:rPr>
      <w:tblPr/>
      <w:tcPr>
        <w:tcBorders>
          <w:top w:val="double" w:sz="2" w:space="0" w:color="DBC1A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C17A3"/>
    <w:rPr>
      <w:sz w:val="20"/>
      <w:szCs w:val="20"/>
    </w:rPr>
    <w:tblPr>
      <w:tblStyleRowBandSize w:val="1"/>
      <w:tblStyleColBandSize w:val="1"/>
      <w:tblBorders>
        <w:top w:val="single" w:sz="4" w:space="0" w:color="DFE0E0" w:themeColor="accent6" w:themeTint="66"/>
        <w:left w:val="single" w:sz="4" w:space="0" w:color="DFE0E0" w:themeColor="accent6" w:themeTint="66"/>
        <w:bottom w:val="single" w:sz="4" w:space="0" w:color="DFE0E0" w:themeColor="accent6" w:themeTint="66"/>
        <w:right w:val="single" w:sz="4" w:space="0" w:color="DFE0E0" w:themeColor="accent6" w:themeTint="66"/>
        <w:insideH w:val="single" w:sz="4" w:space="0" w:color="DFE0E0" w:themeColor="accent6" w:themeTint="66"/>
        <w:insideV w:val="single" w:sz="4" w:space="0" w:color="DFE0E0" w:themeColor="accent6" w:themeTint="66"/>
      </w:tblBorders>
    </w:tblPr>
    <w:tblStylePr w:type="firstRow">
      <w:rPr>
        <w:b/>
        <w:bCs/>
      </w:rPr>
      <w:tblPr/>
      <w:tcPr>
        <w:tcBorders>
          <w:bottom w:val="single" w:sz="12" w:space="0" w:color="D0D1D1" w:themeColor="accent6" w:themeTint="99"/>
        </w:tcBorders>
      </w:tcPr>
    </w:tblStylePr>
    <w:tblStylePr w:type="lastRow">
      <w:rPr>
        <w:b/>
        <w:bCs/>
      </w:rPr>
      <w:tblPr/>
      <w:tcPr>
        <w:tcBorders>
          <w:top w:val="double" w:sz="2" w:space="0" w:color="D0D1D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C17A3"/>
    <w:rPr>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C17A3"/>
    <w:rPr>
      <w:sz w:val="20"/>
      <w:szCs w:val="20"/>
    </w:rPr>
    <w:tblPr>
      <w:tblStyleRowBandSize w:val="1"/>
      <w:tblStyleColBandSize w:val="1"/>
      <w:tblBorders>
        <w:top w:val="single" w:sz="2" w:space="0" w:color="A2C4C9" w:themeColor="accent1" w:themeTint="99"/>
        <w:bottom w:val="single" w:sz="2" w:space="0" w:color="A2C4C9" w:themeColor="accent1" w:themeTint="99"/>
        <w:insideH w:val="single" w:sz="2" w:space="0" w:color="A2C4C9" w:themeColor="accent1" w:themeTint="99"/>
        <w:insideV w:val="single" w:sz="2" w:space="0" w:color="A2C4C9" w:themeColor="accent1" w:themeTint="99"/>
      </w:tblBorders>
    </w:tblPr>
    <w:tblStylePr w:type="firstRow">
      <w:rPr>
        <w:b/>
        <w:bCs/>
      </w:rPr>
      <w:tblPr/>
      <w:tcPr>
        <w:tcBorders>
          <w:top w:val="nil"/>
          <w:bottom w:val="single" w:sz="12" w:space="0" w:color="A2C4C9" w:themeColor="accent1" w:themeTint="99"/>
          <w:insideH w:val="nil"/>
          <w:insideV w:val="nil"/>
        </w:tcBorders>
        <w:shd w:val="clear" w:color="auto" w:fill="FFFFFF" w:themeFill="background1"/>
      </w:tcPr>
    </w:tblStylePr>
    <w:tblStylePr w:type="lastRow">
      <w:rPr>
        <w:b/>
        <w:bCs/>
      </w:rPr>
      <w:tblPr/>
      <w:tcPr>
        <w:tcBorders>
          <w:top w:val="double" w:sz="2" w:space="0" w:color="A2C4C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GridTable2-Accent2">
    <w:name w:val="Grid Table 2 Accent 2"/>
    <w:basedOn w:val="TableNormal"/>
    <w:uiPriority w:val="47"/>
    <w:rsid w:val="002C17A3"/>
    <w:rPr>
      <w:sz w:val="20"/>
      <w:szCs w:val="20"/>
    </w:rPr>
    <w:tblPr>
      <w:tblStyleRowBandSize w:val="1"/>
      <w:tblStyleColBandSize w:val="1"/>
      <w:tblBorders>
        <w:top w:val="single" w:sz="2" w:space="0" w:color="8EB37A" w:themeColor="accent2" w:themeTint="99"/>
        <w:bottom w:val="single" w:sz="2" w:space="0" w:color="8EB37A" w:themeColor="accent2" w:themeTint="99"/>
        <w:insideH w:val="single" w:sz="2" w:space="0" w:color="8EB37A" w:themeColor="accent2" w:themeTint="99"/>
        <w:insideV w:val="single" w:sz="2" w:space="0" w:color="8EB37A" w:themeColor="accent2" w:themeTint="99"/>
      </w:tblBorders>
    </w:tblPr>
    <w:tblStylePr w:type="firstRow">
      <w:rPr>
        <w:b/>
        <w:bCs/>
      </w:rPr>
      <w:tblPr/>
      <w:tcPr>
        <w:tcBorders>
          <w:top w:val="nil"/>
          <w:bottom w:val="single" w:sz="12" w:space="0" w:color="8EB37A" w:themeColor="accent2" w:themeTint="99"/>
          <w:insideH w:val="nil"/>
          <w:insideV w:val="nil"/>
        </w:tcBorders>
        <w:shd w:val="clear" w:color="auto" w:fill="FFFFFF" w:themeFill="background1"/>
      </w:tcPr>
    </w:tblStylePr>
    <w:tblStylePr w:type="lastRow">
      <w:rPr>
        <w:b/>
        <w:bCs/>
      </w:rPr>
      <w:tblPr/>
      <w:tcPr>
        <w:tcBorders>
          <w:top w:val="double" w:sz="2" w:space="0" w:color="8EB3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5D2" w:themeFill="accent2" w:themeFillTint="33"/>
      </w:tcPr>
    </w:tblStylePr>
    <w:tblStylePr w:type="band1Horz">
      <w:tblPr/>
      <w:tcPr>
        <w:shd w:val="clear" w:color="auto" w:fill="D9E5D2" w:themeFill="accent2" w:themeFillTint="33"/>
      </w:tcPr>
    </w:tblStylePr>
  </w:style>
  <w:style w:type="table" w:styleId="GridTable2-Accent3">
    <w:name w:val="Grid Table 2 Accent 3"/>
    <w:basedOn w:val="TableNormal"/>
    <w:uiPriority w:val="47"/>
    <w:rsid w:val="002C17A3"/>
    <w:rPr>
      <w:sz w:val="20"/>
      <w:szCs w:val="20"/>
    </w:rPr>
    <w:tblPr>
      <w:tblStyleRowBandSize w:val="1"/>
      <w:tblStyleColBandSize w:val="1"/>
      <w:tblBorders>
        <w:top w:val="single" w:sz="2" w:space="0" w:color="BBC6B8" w:themeColor="accent3" w:themeTint="99"/>
        <w:bottom w:val="single" w:sz="2" w:space="0" w:color="BBC6B8" w:themeColor="accent3" w:themeTint="99"/>
        <w:insideH w:val="single" w:sz="2" w:space="0" w:color="BBC6B8" w:themeColor="accent3" w:themeTint="99"/>
        <w:insideV w:val="single" w:sz="2" w:space="0" w:color="BBC6B8" w:themeColor="accent3" w:themeTint="99"/>
      </w:tblBorders>
    </w:tblPr>
    <w:tblStylePr w:type="firstRow">
      <w:rPr>
        <w:b/>
        <w:bCs/>
      </w:rPr>
      <w:tblPr/>
      <w:tcPr>
        <w:tcBorders>
          <w:top w:val="nil"/>
          <w:bottom w:val="single" w:sz="12" w:space="0" w:color="BBC6B8" w:themeColor="accent3" w:themeTint="99"/>
          <w:insideH w:val="nil"/>
          <w:insideV w:val="nil"/>
        </w:tcBorders>
        <w:shd w:val="clear" w:color="auto" w:fill="FFFFFF" w:themeFill="background1"/>
      </w:tcPr>
    </w:tblStylePr>
    <w:tblStylePr w:type="lastRow">
      <w:rPr>
        <w:b/>
        <w:bCs/>
      </w:rPr>
      <w:tblPr/>
      <w:tcPr>
        <w:tcBorders>
          <w:top w:val="double" w:sz="2" w:space="0" w:color="BBC6B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CE7" w:themeFill="accent3" w:themeFillTint="33"/>
      </w:tcPr>
    </w:tblStylePr>
    <w:tblStylePr w:type="band1Horz">
      <w:tblPr/>
      <w:tcPr>
        <w:shd w:val="clear" w:color="auto" w:fill="E8ECE7" w:themeFill="accent3" w:themeFillTint="33"/>
      </w:tcPr>
    </w:tblStylePr>
  </w:style>
  <w:style w:type="table" w:styleId="GridTable2-Accent4">
    <w:name w:val="Grid Table 2 Accent 4"/>
    <w:basedOn w:val="TableNormal"/>
    <w:uiPriority w:val="47"/>
    <w:rsid w:val="002C17A3"/>
    <w:rPr>
      <w:sz w:val="20"/>
      <w:szCs w:val="20"/>
    </w:rPr>
    <w:tblPr>
      <w:tblStyleRowBandSize w:val="1"/>
      <w:tblStyleColBandSize w:val="1"/>
      <w:tblBorders>
        <w:top w:val="single" w:sz="2" w:space="0" w:color="E18E7A" w:themeColor="accent4" w:themeTint="99"/>
        <w:bottom w:val="single" w:sz="2" w:space="0" w:color="E18E7A" w:themeColor="accent4" w:themeTint="99"/>
        <w:insideH w:val="single" w:sz="2" w:space="0" w:color="E18E7A" w:themeColor="accent4" w:themeTint="99"/>
        <w:insideV w:val="single" w:sz="2" w:space="0" w:color="E18E7A" w:themeColor="accent4" w:themeTint="99"/>
      </w:tblBorders>
    </w:tblPr>
    <w:tblStylePr w:type="firstRow">
      <w:rPr>
        <w:b/>
        <w:bCs/>
      </w:rPr>
      <w:tblPr/>
      <w:tcPr>
        <w:tcBorders>
          <w:top w:val="nil"/>
          <w:bottom w:val="single" w:sz="12" w:space="0" w:color="E18E7A" w:themeColor="accent4" w:themeTint="99"/>
          <w:insideH w:val="nil"/>
          <w:insideV w:val="nil"/>
        </w:tcBorders>
        <w:shd w:val="clear" w:color="auto" w:fill="FFFFFF" w:themeFill="background1"/>
      </w:tcPr>
    </w:tblStylePr>
    <w:tblStylePr w:type="lastRow">
      <w:rPr>
        <w:b/>
        <w:bCs/>
      </w:rPr>
      <w:tblPr/>
      <w:tcPr>
        <w:tcBorders>
          <w:top w:val="double" w:sz="2" w:space="0" w:color="E18E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D9D2" w:themeFill="accent4" w:themeFillTint="33"/>
      </w:tcPr>
    </w:tblStylePr>
    <w:tblStylePr w:type="band1Horz">
      <w:tblPr/>
      <w:tcPr>
        <w:shd w:val="clear" w:color="auto" w:fill="F5D9D2" w:themeFill="accent4" w:themeFillTint="33"/>
      </w:tcPr>
    </w:tblStylePr>
  </w:style>
  <w:style w:type="table" w:styleId="GridTable2-Accent5">
    <w:name w:val="Grid Table 2 Accent 5"/>
    <w:basedOn w:val="TableNormal"/>
    <w:uiPriority w:val="47"/>
    <w:rsid w:val="002C17A3"/>
    <w:rPr>
      <w:sz w:val="20"/>
      <w:szCs w:val="20"/>
    </w:rPr>
    <w:tblPr>
      <w:tblStyleRowBandSize w:val="1"/>
      <w:tblStyleColBandSize w:val="1"/>
      <w:tblBorders>
        <w:top w:val="single" w:sz="2" w:space="0" w:color="DBC1A5" w:themeColor="accent5" w:themeTint="99"/>
        <w:bottom w:val="single" w:sz="2" w:space="0" w:color="DBC1A5" w:themeColor="accent5" w:themeTint="99"/>
        <w:insideH w:val="single" w:sz="2" w:space="0" w:color="DBC1A5" w:themeColor="accent5" w:themeTint="99"/>
        <w:insideV w:val="single" w:sz="2" w:space="0" w:color="DBC1A5" w:themeColor="accent5" w:themeTint="99"/>
      </w:tblBorders>
    </w:tblPr>
    <w:tblStylePr w:type="firstRow">
      <w:rPr>
        <w:b/>
        <w:bCs/>
      </w:rPr>
      <w:tblPr/>
      <w:tcPr>
        <w:tcBorders>
          <w:top w:val="nil"/>
          <w:bottom w:val="single" w:sz="12" w:space="0" w:color="DBC1A5" w:themeColor="accent5" w:themeTint="99"/>
          <w:insideH w:val="nil"/>
          <w:insideV w:val="nil"/>
        </w:tcBorders>
        <w:shd w:val="clear" w:color="auto" w:fill="FFFFFF" w:themeFill="background1"/>
      </w:tcPr>
    </w:tblStylePr>
    <w:tblStylePr w:type="lastRow">
      <w:rPr>
        <w:b/>
        <w:bCs/>
      </w:rPr>
      <w:tblPr/>
      <w:tcPr>
        <w:tcBorders>
          <w:top w:val="double" w:sz="2" w:space="0" w:color="DBC1A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EAE1" w:themeFill="accent5" w:themeFillTint="33"/>
      </w:tcPr>
    </w:tblStylePr>
    <w:tblStylePr w:type="band1Horz">
      <w:tblPr/>
      <w:tcPr>
        <w:shd w:val="clear" w:color="auto" w:fill="F3EAE1" w:themeFill="accent5" w:themeFillTint="33"/>
      </w:tcPr>
    </w:tblStylePr>
  </w:style>
  <w:style w:type="table" w:styleId="GridTable2-Accent6">
    <w:name w:val="Grid Table 2 Accent 6"/>
    <w:basedOn w:val="TableNormal"/>
    <w:uiPriority w:val="47"/>
    <w:rsid w:val="002C17A3"/>
    <w:rPr>
      <w:sz w:val="20"/>
      <w:szCs w:val="20"/>
    </w:rPr>
    <w:tblPr>
      <w:tblStyleRowBandSize w:val="1"/>
      <w:tblStyleColBandSize w:val="1"/>
      <w:tblBorders>
        <w:top w:val="single" w:sz="2" w:space="0" w:color="D0D1D1" w:themeColor="accent6" w:themeTint="99"/>
        <w:bottom w:val="single" w:sz="2" w:space="0" w:color="D0D1D1" w:themeColor="accent6" w:themeTint="99"/>
        <w:insideH w:val="single" w:sz="2" w:space="0" w:color="D0D1D1" w:themeColor="accent6" w:themeTint="99"/>
        <w:insideV w:val="single" w:sz="2" w:space="0" w:color="D0D1D1" w:themeColor="accent6" w:themeTint="99"/>
      </w:tblBorders>
    </w:tblPr>
    <w:tblStylePr w:type="firstRow">
      <w:rPr>
        <w:b/>
        <w:bCs/>
      </w:rPr>
      <w:tblPr/>
      <w:tcPr>
        <w:tcBorders>
          <w:top w:val="nil"/>
          <w:bottom w:val="single" w:sz="12" w:space="0" w:color="D0D1D1" w:themeColor="accent6" w:themeTint="99"/>
          <w:insideH w:val="nil"/>
          <w:insideV w:val="nil"/>
        </w:tcBorders>
        <w:shd w:val="clear" w:color="auto" w:fill="FFFFFF" w:themeFill="background1"/>
      </w:tcPr>
    </w:tblStylePr>
    <w:tblStylePr w:type="lastRow">
      <w:rPr>
        <w:b/>
        <w:bCs/>
      </w:rPr>
      <w:tblPr/>
      <w:tcPr>
        <w:tcBorders>
          <w:top w:val="double" w:sz="2" w:space="0" w:color="D0D1D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GridTable3">
    <w:name w:val="Grid Table 3"/>
    <w:basedOn w:val="TableNormal"/>
    <w:uiPriority w:val="48"/>
    <w:rsid w:val="002C17A3"/>
    <w:rPr>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C17A3"/>
    <w:rPr>
      <w:sz w:val="20"/>
      <w:szCs w:val="20"/>
    </w:rPr>
    <w:tblPr>
      <w:tblStyleRowBandSize w:val="1"/>
      <w:tblStyleColBandSize w:val="1"/>
      <w:tblBorders>
        <w:top w:val="single" w:sz="4" w:space="0" w:color="A2C4C9" w:themeColor="accent1" w:themeTint="99"/>
        <w:left w:val="single" w:sz="4" w:space="0" w:color="A2C4C9" w:themeColor="accent1" w:themeTint="99"/>
        <w:bottom w:val="single" w:sz="4" w:space="0" w:color="A2C4C9" w:themeColor="accent1" w:themeTint="99"/>
        <w:right w:val="single" w:sz="4" w:space="0" w:color="A2C4C9" w:themeColor="accent1" w:themeTint="99"/>
        <w:insideH w:val="single" w:sz="4" w:space="0" w:color="A2C4C9" w:themeColor="accent1" w:themeTint="99"/>
        <w:insideV w:val="single" w:sz="4" w:space="0" w:color="A2C4C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ED" w:themeFill="accent1" w:themeFillTint="33"/>
      </w:tcPr>
    </w:tblStylePr>
    <w:tblStylePr w:type="band1Horz">
      <w:tblPr/>
      <w:tcPr>
        <w:shd w:val="clear" w:color="auto" w:fill="E0EBED" w:themeFill="accent1" w:themeFillTint="33"/>
      </w:tcPr>
    </w:tblStylePr>
    <w:tblStylePr w:type="neCell">
      <w:tblPr/>
      <w:tcPr>
        <w:tcBorders>
          <w:bottom w:val="single" w:sz="4" w:space="0" w:color="A2C4C9" w:themeColor="accent1" w:themeTint="99"/>
        </w:tcBorders>
      </w:tcPr>
    </w:tblStylePr>
    <w:tblStylePr w:type="nwCell">
      <w:tblPr/>
      <w:tcPr>
        <w:tcBorders>
          <w:bottom w:val="single" w:sz="4" w:space="0" w:color="A2C4C9" w:themeColor="accent1" w:themeTint="99"/>
        </w:tcBorders>
      </w:tcPr>
    </w:tblStylePr>
    <w:tblStylePr w:type="seCell">
      <w:tblPr/>
      <w:tcPr>
        <w:tcBorders>
          <w:top w:val="single" w:sz="4" w:space="0" w:color="A2C4C9" w:themeColor="accent1" w:themeTint="99"/>
        </w:tcBorders>
      </w:tcPr>
    </w:tblStylePr>
    <w:tblStylePr w:type="swCell">
      <w:tblPr/>
      <w:tcPr>
        <w:tcBorders>
          <w:top w:val="single" w:sz="4" w:space="0" w:color="A2C4C9" w:themeColor="accent1" w:themeTint="99"/>
        </w:tcBorders>
      </w:tcPr>
    </w:tblStylePr>
  </w:style>
  <w:style w:type="table" w:styleId="GridTable3-Accent2">
    <w:name w:val="Grid Table 3 Accent 2"/>
    <w:basedOn w:val="TableNormal"/>
    <w:uiPriority w:val="48"/>
    <w:rsid w:val="002C17A3"/>
    <w:rPr>
      <w:sz w:val="20"/>
      <w:szCs w:val="20"/>
    </w:rPr>
    <w:tblPr>
      <w:tblStyleRowBandSize w:val="1"/>
      <w:tblStyleColBandSize w:val="1"/>
      <w:tblBorders>
        <w:top w:val="single" w:sz="4" w:space="0" w:color="8EB37A" w:themeColor="accent2" w:themeTint="99"/>
        <w:left w:val="single" w:sz="4" w:space="0" w:color="8EB37A" w:themeColor="accent2" w:themeTint="99"/>
        <w:bottom w:val="single" w:sz="4" w:space="0" w:color="8EB37A" w:themeColor="accent2" w:themeTint="99"/>
        <w:right w:val="single" w:sz="4" w:space="0" w:color="8EB37A" w:themeColor="accent2" w:themeTint="99"/>
        <w:insideH w:val="single" w:sz="4" w:space="0" w:color="8EB37A" w:themeColor="accent2" w:themeTint="99"/>
        <w:insideV w:val="single" w:sz="4" w:space="0" w:color="8EB3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5D2" w:themeFill="accent2" w:themeFillTint="33"/>
      </w:tcPr>
    </w:tblStylePr>
    <w:tblStylePr w:type="band1Horz">
      <w:tblPr/>
      <w:tcPr>
        <w:shd w:val="clear" w:color="auto" w:fill="D9E5D2" w:themeFill="accent2" w:themeFillTint="33"/>
      </w:tcPr>
    </w:tblStylePr>
    <w:tblStylePr w:type="neCell">
      <w:tblPr/>
      <w:tcPr>
        <w:tcBorders>
          <w:bottom w:val="single" w:sz="4" w:space="0" w:color="8EB37A" w:themeColor="accent2" w:themeTint="99"/>
        </w:tcBorders>
      </w:tcPr>
    </w:tblStylePr>
    <w:tblStylePr w:type="nwCell">
      <w:tblPr/>
      <w:tcPr>
        <w:tcBorders>
          <w:bottom w:val="single" w:sz="4" w:space="0" w:color="8EB37A" w:themeColor="accent2" w:themeTint="99"/>
        </w:tcBorders>
      </w:tcPr>
    </w:tblStylePr>
    <w:tblStylePr w:type="seCell">
      <w:tblPr/>
      <w:tcPr>
        <w:tcBorders>
          <w:top w:val="single" w:sz="4" w:space="0" w:color="8EB37A" w:themeColor="accent2" w:themeTint="99"/>
        </w:tcBorders>
      </w:tcPr>
    </w:tblStylePr>
    <w:tblStylePr w:type="swCell">
      <w:tblPr/>
      <w:tcPr>
        <w:tcBorders>
          <w:top w:val="single" w:sz="4" w:space="0" w:color="8EB37A" w:themeColor="accent2" w:themeTint="99"/>
        </w:tcBorders>
      </w:tcPr>
    </w:tblStylePr>
  </w:style>
  <w:style w:type="table" w:styleId="GridTable3-Accent3">
    <w:name w:val="Grid Table 3 Accent 3"/>
    <w:basedOn w:val="TableNormal"/>
    <w:uiPriority w:val="48"/>
    <w:rsid w:val="002C17A3"/>
    <w:rPr>
      <w:sz w:val="20"/>
      <w:szCs w:val="20"/>
    </w:rPr>
    <w:tblPr>
      <w:tblStyleRowBandSize w:val="1"/>
      <w:tblStyleColBandSize w:val="1"/>
      <w:tblBorders>
        <w:top w:val="single" w:sz="4" w:space="0" w:color="BBC6B8" w:themeColor="accent3" w:themeTint="99"/>
        <w:left w:val="single" w:sz="4" w:space="0" w:color="BBC6B8" w:themeColor="accent3" w:themeTint="99"/>
        <w:bottom w:val="single" w:sz="4" w:space="0" w:color="BBC6B8" w:themeColor="accent3" w:themeTint="99"/>
        <w:right w:val="single" w:sz="4" w:space="0" w:color="BBC6B8" w:themeColor="accent3" w:themeTint="99"/>
        <w:insideH w:val="single" w:sz="4" w:space="0" w:color="BBC6B8" w:themeColor="accent3" w:themeTint="99"/>
        <w:insideV w:val="single" w:sz="4" w:space="0" w:color="BBC6B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CE7" w:themeFill="accent3" w:themeFillTint="33"/>
      </w:tcPr>
    </w:tblStylePr>
    <w:tblStylePr w:type="band1Horz">
      <w:tblPr/>
      <w:tcPr>
        <w:shd w:val="clear" w:color="auto" w:fill="E8ECE7" w:themeFill="accent3" w:themeFillTint="33"/>
      </w:tcPr>
    </w:tblStylePr>
    <w:tblStylePr w:type="neCell">
      <w:tblPr/>
      <w:tcPr>
        <w:tcBorders>
          <w:bottom w:val="single" w:sz="4" w:space="0" w:color="BBC6B8" w:themeColor="accent3" w:themeTint="99"/>
        </w:tcBorders>
      </w:tcPr>
    </w:tblStylePr>
    <w:tblStylePr w:type="nwCell">
      <w:tblPr/>
      <w:tcPr>
        <w:tcBorders>
          <w:bottom w:val="single" w:sz="4" w:space="0" w:color="BBC6B8" w:themeColor="accent3" w:themeTint="99"/>
        </w:tcBorders>
      </w:tcPr>
    </w:tblStylePr>
    <w:tblStylePr w:type="seCell">
      <w:tblPr/>
      <w:tcPr>
        <w:tcBorders>
          <w:top w:val="single" w:sz="4" w:space="0" w:color="BBC6B8" w:themeColor="accent3" w:themeTint="99"/>
        </w:tcBorders>
      </w:tcPr>
    </w:tblStylePr>
    <w:tblStylePr w:type="swCell">
      <w:tblPr/>
      <w:tcPr>
        <w:tcBorders>
          <w:top w:val="single" w:sz="4" w:space="0" w:color="BBC6B8" w:themeColor="accent3" w:themeTint="99"/>
        </w:tcBorders>
      </w:tcPr>
    </w:tblStylePr>
  </w:style>
  <w:style w:type="table" w:styleId="GridTable3-Accent4">
    <w:name w:val="Grid Table 3 Accent 4"/>
    <w:basedOn w:val="TableNormal"/>
    <w:uiPriority w:val="48"/>
    <w:rsid w:val="002C17A3"/>
    <w:rPr>
      <w:sz w:val="20"/>
      <w:szCs w:val="20"/>
    </w:rPr>
    <w:tblPr>
      <w:tblStyleRowBandSize w:val="1"/>
      <w:tblStyleColBandSize w:val="1"/>
      <w:tblBorders>
        <w:top w:val="single" w:sz="4" w:space="0" w:color="E18E7A" w:themeColor="accent4" w:themeTint="99"/>
        <w:left w:val="single" w:sz="4" w:space="0" w:color="E18E7A" w:themeColor="accent4" w:themeTint="99"/>
        <w:bottom w:val="single" w:sz="4" w:space="0" w:color="E18E7A" w:themeColor="accent4" w:themeTint="99"/>
        <w:right w:val="single" w:sz="4" w:space="0" w:color="E18E7A" w:themeColor="accent4" w:themeTint="99"/>
        <w:insideH w:val="single" w:sz="4" w:space="0" w:color="E18E7A" w:themeColor="accent4" w:themeTint="99"/>
        <w:insideV w:val="single" w:sz="4" w:space="0" w:color="E18E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9D2" w:themeFill="accent4" w:themeFillTint="33"/>
      </w:tcPr>
    </w:tblStylePr>
    <w:tblStylePr w:type="band1Horz">
      <w:tblPr/>
      <w:tcPr>
        <w:shd w:val="clear" w:color="auto" w:fill="F5D9D2" w:themeFill="accent4" w:themeFillTint="33"/>
      </w:tcPr>
    </w:tblStylePr>
    <w:tblStylePr w:type="neCell">
      <w:tblPr/>
      <w:tcPr>
        <w:tcBorders>
          <w:bottom w:val="single" w:sz="4" w:space="0" w:color="E18E7A" w:themeColor="accent4" w:themeTint="99"/>
        </w:tcBorders>
      </w:tcPr>
    </w:tblStylePr>
    <w:tblStylePr w:type="nwCell">
      <w:tblPr/>
      <w:tcPr>
        <w:tcBorders>
          <w:bottom w:val="single" w:sz="4" w:space="0" w:color="E18E7A" w:themeColor="accent4" w:themeTint="99"/>
        </w:tcBorders>
      </w:tcPr>
    </w:tblStylePr>
    <w:tblStylePr w:type="seCell">
      <w:tblPr/>
      <w:tcPr>
        <w:tcBorders>
          <w:top w:val="single" w:sz="4" w:space="0" w:color="E18E7A" w:themeColor="accent4" w:themeTint="99"/>
        </w:tcBorders>
      </w:tcPr>
    </w:tblStylePr>
    <w:tblStylePr w:type="swCell">
      <w:tblPr/>
      <w:tcPr>
        <w:tcBorders>
          <w:top w:val="single" w:sz="4" w:space="0" w:color="E18E7A" w:themeColor="accent4" w:themeTint="99"/>
        </w:tcBorders>
      </w:tcPr>
    </w:tblStylePr>
  </w:style>
  <w:style w:type="table" w:styleId="GridTable3-Accent5">
    <w:name w:val="Grid Table 3 Accent 5"/>
    <w:basedOn w:val="TableNormal"/>
    <w:uiPriority w:val="48"/>
    <w:rsid w:val="002C17A3"/>
    <w:rPr>
      <w:sz w:val="20"/>
      <w:szCs w:val="20"/>
    </w:rPr>
    <w:tblPr>
      <w:tblStyleRowBandSize w:val="1"/>
      <w:tblStyleColBandSize w:val="1"/>
      <w:tblBorders>
        <w:top w:val="single" w:sz="4" w:space="0" w:color="DBC1A5" w:themeColor="accent5" w:themeTint="99"/>
        <w:left w:val="single" w:sz="4" w:space="0" w:color="DBC1A5" w:themeColor="accent5" w:themeTint="99"/>
        <w:bottom w:val="single" w:sz="4" w:space="0" w:color="DBC1A5" w:themeColor="accent5" w:themeTint="99"/>
        <w:right w:val="single" w:sz="4" w:space="0" w:color="DBC1A5" w:themeColor="accent5" w:themeTint="99"/>
        <w:insideH w:val="single" w:sz="4" w:space="0" w:color="DBC1A5" w:themeColor="accent5" w:themeTint="99"/>
        <w:insideV w:val="single" w:sz="4" w:space="0" w:color="DBC1A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EAE1" w:themeFill="accent5" w:themeFillTint="33"/>
      </w:tcPr>
    </w:tblStylePr>
    <w:tblStylePr w:type="band1Horz">
      <w:tblPr/>
      <w:tcPr>
        <w:shd w:val="clear" w:color="auto" w:fill="F3EAE1" w:themeFill="accent5" w:themeFillTint="33"/>
      </w:tcPr>
    </w:tblStylePr>
    <w:tblStylePr w:type="neCell">
      <w:tblPr/>
      <w:tcPr>
        <w:tcBorders>
          <w:bottom w:val="single" w:sz="4" w:space="0" w:color="DBC1A5" w:themeColor="accent5" w:themeTint="99"/>
        </w:tcBorders>
      </w:tcPr>
    </w:tblStylePr>
    <w:tblStylePr w:type="nwCell">
      <w:tblPr/>
      <w:tcPr>
        <w:tcBorders>
          <w:bottom w:val="single" w:sz="4" w:space="0" w:color="DBC1A5" w:themeColor="accent5" w:themeTint="99"/>
        </w:tcBorders>
      </w:tcPr>
    </w:tblStylePr>
    <w:tblStylePr w:type="seCell">
      <w:tblPr/>
      <w:tcPr>
        <w:tcBorders>
          <w:top w:val="single" w:sz="4" w:space="0" w:color="DBC1A5" w:themeColor="accent5" w:themeTint="99"/>
        </w:tcBorders>
      </w:tcPr>
    </w:tblStylePr>
    <w:tblStylePr w:type="swCell">
      <w:tblPr/>
      <w:tcPr>
        <w:tcBorders>
          <w:top w:val="single" w:sz="4" w:space="0" w:color="DBC1A5" w:themeColor="accent5" w:themeTint="99"/>
        </w:tcBorders>
      </w:tcPr>
    </w:tblStylePr>
  </w:style>
  <w:style w:type="table" w:styleId="GridTable3-Accent6">
    <w:name w:val="Grid Table 3 Accent 6"/>
    <w:basedOn w:val="TableNormal"/>
    <w:uiPriority w:val="48"/>
    <w:rsid w:val="002C17A3"/>
    <w:rPr>
      <w:sz w:val="20"/>
      <w:szCs w:val="20"/>
    </w:rPr>
    <w:tblPr>
      <w:tblStyleRowBandSize w:val="1"/>
      <w:tblStyleColBandSize w:val="1"/>
      <w:tblBorders>
        <w:top w:val="single" w:sz="4" w:space="0" w:color="D0D1D1" w:themeColor="accent6" w:themeTint="99"/>
        <w:left w:val="single" w:sz="4" w:space="0" w:color="D0D1D1" w:themeColor="accent6" w:themeTint="99"/>
        <w:bottom w:val="single" w:sz="4" w:space="0" w:color="D0D1D1" w:themeColor="accent6" w:themeTint="99"/>
        <w:right w:val="single" w:sz="4" w:space="0" w:color="D0D1D1" w:themeColor="accent6" w:themeTint="99"/>
        <w:insideH w:val="single" w:sz="4" w:space="0" w:color="D0D1D1" w:themeColor="accent6" w:themeTint="99"/>
        <w:insideV w:val="single" w:sz="4" w:space="0" w:color="D0D1D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6" w:themeFillTint="33"/>
      </w:tcPr>
    </w:tblStylePr>
    <w:tblStylePr w:type="band1Horz">
      <w:tblPr/>
      <w:tcPr>
        <w:shd w:val="clear" w:color="auto" w:fill="EFEFEF" w:themeFill="accent6" w:themeFillTint="33"/>
      </w:tcPr>
    </w:tblStylePr>
    <w:tblStylePr w:type="neCell">
      <w:tblPr/>
      <w:tcPr>
        <w:tcBorders>
          <w:bottom w:val="single" w:sz="4" w:space="0" w:color="D0D1D1" w:themeColor="accent6" w:themeTint="99"/>
        </w:tcBorders>
      </w:tcPr>
    </w:tblStylePr>
    <w:tblStylePr w:type="nwCell">
      <w:tblPr/>
      <w:tcPr>
        <w:tcBorders>
          <w:bottom w:val="single" w:sz="4" w:space="0" w:color="D0D1D1" w:themeColor="accent6" w:themeTint="99"/>
        </w:tcBorders>
      </w:tcPr>
    </w:tblStylePr>
    <w:tblStylePr w:type="seCell">
      <w:tblPr/>
      <w:tcPr>
        <w:tcBorders>
          <w:top w:val="single" w:sz="4" w:space="0" w:color="D0D1D1" w:themeColor="accent6" w:themeTint="99"/>
        </w:tcBorders>
      </w:tcPr>
    </w:tblStylePr>
    <w:tblStylePr w:type="swCell">
      <w:tblPr/>
      <w:tcPr>
        <w:tcBorders>
          <w:top w:val="single" w:sz="4" w:space="0" w:color="D0D1D1" w:themeColor="accent6" w:themeTint="99"/>
        </w:tcBorders>
      </w:tcPr>
    </w:tblStylePr>
  </w:style>
  <w:style w:type="table" w:styleId="GridTable4">
    <w:name w:val="Grid Table 4"/>
    <w:basedOn w:val="TableNormal"/>
    <w:uiPriority w:val="49"/>
    <w:rsid w:val="002C17A3"/>
    <w:rPr>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C17A3"/>
    <w:rPr>
      <w:sz w:val="20"/>
      <w:szCs w:val="20"/>
    </w:rPr>
    <w:tblPr>
      <w:tblStyleRowBandSize w:val="1"/>
      <w:tblStyleColBandSize w:val="1"/>
      <w:tblBorders>
        <w:top w:val="single" w:sz="4" w:space="0" w:color="A2C4C9" w:themeColor="accent1" w:themeTint="99"/>
        <w:left w:val="single" w:sz="4" w:space="0" w:color="A2C4C9" w:themeColor="accent1" w:themeTint="99"/>
        <w:bottom w:val="single" w:sz="4" w:space="0" w:color="A2C4C9" w:themeColor="accent1" w:themeTint="99"/>
        <w:right w:val="single" w:sz="4" w:space="0" w:color="A2C4C9" w:themeColor="accent1" w:themeTint="99"/>
        <w:insideH w:val="single" w:sz="4" w:space="0" w:color="A2C4C9" w:themeColor="accent1" w:themeTint="99"/>
        <w:insideV w:val="single" w:sz="4" w:space="0" w:color="A2C4C9" w:themeColor="accent1" w:themeTint="99"/>
      </w:tblBorders>
    </w:tblPr>
    <w:tblStylePr w:type="firstRow">
      <w:rPr>
        <w:b/>
        <w:bCs/>
        <w:color w:val="FFFFFF" w:themeColor="background1"/>
      </w:rPr>
      <w:tblPr/>
      <w:tcPr>
        <w:tcBorders>
          <w:top w:val="single" w:sz="4" w:space="0" w:color="649EA5" w:themeColor="accent1"/>
          <w:left w:val="single" w:sz="4" w:space="0" w:color="649EA5" w:themeColor="accent1"/>
          <w:bottom w:val="single" w:sz="4" w:space="0" w:color="649EA5" w:themeColor="accent1"/>
          <w:right w:val="single" w:sz="4" w:space="0" w:color="649EA5" w:themeColor="accent1"/>
          <w:insideH w:val="nil"/>
          <w:insideV w:val="nil"/>
        </w:tcBorders>
        <w:shd w:val="clear" w:color="auto" w:fill="649EA5" w:themeFill="accent1"/>
      </w:tcPr>
    </w:tblStylePr>
    <w:tblStylePr w:type="lastRow">
      <w:rPr>
        <w:b/>
        <w:bCs/>
      </w:rPr>
      <w:tblPr/>
      <w:tcPr>
        <w:tcBorders>
          <w:top w:val="double" w:sz="4" w:space="0" w:color="649EA5" w:themeColor="accent1"/>
        </w:tcBorders>
      </w:tc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GridTable4-Accent2">
    <w:name w:val="Grid Table 4 Accent 2"/>
    <w:basedOn w:val="TableNormal"/>
    <w:uiPriority w:val="49"/>
    <w:rsid w:val="002C17A3"/>
    <w:rPr>
      <w:sz w:val="20"/>
      <w:szCs w:val="20"/>
    </w:rPr>
    <w:tblPr>
      <w:tblStyleRowBandSize w:val="1"/>
      <w:tblStyleColBandSize w:val="1"/>
      <w:tblBorders>
        <w:top w:val="single" w:sz="4" w:space="0" w:color="8EB37A" w:themeColor="accent2" w:themeTint="99"/>
        <w:left w:val="single" w:sz="4" w:space="0" w:color="8EB37A" w:themeColor="accent2" w:themeTint="99"/>
        <w:bottom w:val="single" w:sz="4" w:space="0" w:color="8EB37A" w:themeColor="accent2" w:themeTint="99"/>
        <w:right w:val="single" w:sz="4" w:space="0" w:color="8EB37A" w:themeColor="accent2" w:themeTint="99"/>
        <w:insideH w:val="single" w:sz="4" w:space="0" w:color="8EB37A" w:themeColor="accent2" w:themeTint="99"/>
        <w:insideV w:val="single" w:sz="4" w:space="0" w:color="8EB37A" w:themeColor="accent2" w:themeTint="99"/>
      </w:tblBorders>
    </w:tblPr>
    <w:tblStylePr w:type="firstRow">
      <w:rPr>
        <w:b/>
        <w:bCs/>
        <w:color w:val="FFFFFF" w:themeColor="background1"/>
      </w:rPr>
      <w:tblPr/>
      <w:tcPr>
        <w:tcBorders>
          <w:top w:val="single" w:sz="4" w:space="0" w:color="4B673B" w:themeColor="accent2"/>
          <w:left w:val="single" w:sz="4" w:space="0" w:color="4B673B" w:themeColor="accent2"/>
          <w:bottom w:val="single" w:sz="4" w:space="0" w:color="4B673B" w:themeColor="accent2"/>
          <w:right w:val="single" w:sz="4" w:space="0" w:color="4B673B" w:themeColor="accent2"/>
          <w:insideH w:val="nil"/>
          <w:insideV w:val="nil"/>
        </w:tcBorders>
        <w:shd w:val="clear" w:color="auto" w:fill="4B673B" w:themeFill="accent2"/>
      </w:tcPr>
    </w:tblStylePr>
    <w:tblStylePr w:type="lastRow">
      <w:rPr>
        <w:b/>
        <w:bCs/>
      </w:rPr>
      <w:tblPr/>
      <w:tcPr>
        <w:tcBorders>
          <w:top w:val="double" w:sz="4" w:space="0" w:color="4B673B" w:themeColor="accent2"/>
        </w:tcBorders>
      </w:tcPr>
    </w:tblStylePr>
    <w:tblStylePr w:type="firstCol">
      <w:rPr>
        <w:b/>
        <w:bCs/>
      </w:rPr>
    </w:tblStylePr>
    <w:tblStylePr w:type="lastCol">
      <w:rPr>
        <w:b/>
        <w:bCs/>
      </w:rPr>
    </w:tblStylePr>
    <w:tblStylePr w:type="band1Vert">
      <w:tblPr/>
      <w:tcPr>
        <w:shd w:val="clear" w:color="auto" w:fill="D9E5D2" w:themeFill="accent2" w:themeFillTint="33"/>
      </w:tcPr>
    </w:tblStylePr>
    <w:tblStylePr w:type="band1Horz">
      <w:tblPr/>
      <w:tcPr>
        <w:shd w:val="clear" w:color="auto" w:fill="D9E5D2" w:themeFill="accent2" w:themeFillTint="33"/>
      </w:tcPr>
    </w:tblStylePr>
  </w:style>
  <w:style w:type="table" w:styleId="GridTable4-Accent3">
    <w:name w:val="Grid Table 4 Accent 3"/>
    <w:basedOn w:val="TableNormal"/>
    <w:uiPriority w:val="49"/>
    <w:rsid w:val="002C17A3"/>
    <w:rPr>
      <w:sz w:val="20"/>
      <w:szCs w:val="20"/>
    </w:rPr>
    <w:tblPr>
      <w:tblStyleRowBandSize w:val="1"/>
      <w:tblStyleColBandSize w:val="1"/>
      <w:tblBorders>
        <w:top w:val="single" w:sz="4" w:space="0" w:color="BBC6B8" w:themeColor="accent3" w:themeTint="99"/>
        <w:left w:val="single" w:sz="4" w:space="0" w:color="BBC6B8" w:themeColor="accent3" w:themeTint="99"/>
        <w:bottom w:val="single" w:sz="4" w:space="0" w:color="BBC6B8" w:themeColor="accent3" w:themeTint="99"/>
        <w:right w:val="single" w:sz="4" w:space="0" w:color="BBC6B8" w:themeColor="accent3" w:themeTint="99"/>
        <w:insideH w:val="single" w:sz="4" w:space="0" w:color="BBC6B8" w:themeColor="accent3" w:themeTint="99"/>
        <w:insideV w:val="single" w:sz="4" w:space="0" w:color="BBC6B8" w:themeColor="accent3" w:themeTint="99"/>
      </w:tblBorders>
    </w:tblPr>
    <w:tblStylePr w:type="firstRow">
      <w:rPr>
        <w:b/>
        <w:bCs/>
        <w:color w:val="FFFFFF" w:themeColor="background1"/>
      </w:rPr>
      <w:tblPr/>
      <w:tcPr>
        <w:tcBorders>
          <w:top w:val="single" w:sz="4" w:space="0" w:color="8EA189" w:themeColor="accent3"/>
          <w:left w:val="single" w:sz="4" w:space="0" w:color="8EA189" w:themeColor="accent3"/>
          <w:bottom w:val="single" w:sz="4" w:space="0" w:color="8EA189" w:themeColor="accent3"/>
          <w:right w:val="single" w:sz="4" w:space="0" w:color="8EA189" w:themeColor="accent3"/>
          <w:insideH w:val="nil"/>
          <w:insideV w:val="nil"/>
        </w:tcBorders>
        <w:shd w:val="clear" w:color="auto" w:fill="8EA189" w:themeFill="accent3"/>
      </w:tcPr>
    </w:tblStylePr>
    <w:tblStylePr w:type="lastRow">
      <w:rPr>
        <w:b/>
        <w:bCs/>
      </w:rPr>
      <w:tblPr/>
      <w:tcPr>
        <w:tcBorders>
          <w:top w:val="double" w:sz="4" w:space="0" w:color="8EA189" w:themeColor="accent3"/>
        </w:tcBorders>
      </w:tcPr>
    </w:tblStylePr>
    <w:tblStylePr w:type="firstCol">
      <w:rPr>
        <w:b/>
        <w:bCs/>
      </w:rPr>
    </w:tblStylePr>
    <w:tblStylePr w:type="lastCol">
      <w:rPr>
        <w:b/>
        <w:bCs/>
      </w:rPr>
    </w:tblStylePr>
    <w:tblStylePr w:type="band1Vert">
      <w:tblPr/>
      <w:tcPr>
        <w:shd w:val="clear" w:color="auto" w:fill="E8ECE7" w:themeFill="accent3" w:themeFillTint="33"/>
      </w:tcPr>
    </w:tblStylePr>
    <w:tblStylePr w:type="band1Horz">
      <w:tblPr/>
      <w:tcPr>
        <w:shd w:val="clear" w:color="auto" w:fill="E8ECE7" w:themeFill="accent3" w:themeFillTint="33"/>
      </w:tcPr>
    </w:tblStylePr>
  </w:style>
  <w:style w:type="table" w:styleId="GridTable4-Accent4">
    <w:name w:val="Grid Table 4 Accent 4"/>
    <w:basedOn w:val="TableNormal"/>
    <w:uiPriority w:val="49"/>
    <w:rsid w:val="002C17A3"/>
    <w:rPr>
      <w:sz w:val="20"/>
      <w:szCs w:val="20"/>
    </w:rPr>
    <w:tblPr>
      <w:tblStyleRowBandSize w:val="1"/>
      <w:tblStyleColBandSize w:val="1"/>
      <w:tblBorders>
        <w:top w:val="single" w:sz="4" w:space="0" w:color="E18E7A" w:themeColor="accent4" w:themeTint="99"/>
        <w:left w:val="single" w:sz="4" w:space="0" w:color="E18E7A" w:themeColor="accent4" w:themeTint="99"/>
        <w:bottom w:val="single" w:sz="4" w:space="0" w:color="E18E7A" w:themeColor="accent4" w:themeTint="99"/>
        <w:right w:val="single" w:sz="4" w:space="0" w:color="E18E7A" w:themeColor="accent4" w:themeTint="99"/>
        <w:insideH w:val="single" w:sz="4" w:space="0" w:color="E18E7A" w:themeColor="accent4" w:themeTint="99"/>
        <w:insideV w:val="single" w:sz="4" w:space="0" w:color="E18E7A" w:themeColor="accent4" w:themeTint="99"/>
      </w:tblBorders>
    </w:tblPr>
    <w:tblStylePr w:type="firstRow">
      <w:rPr>
        <w:b/>
        <w:bCs/>
        <w:color w:val="FFFFFF" w:themeColor="background1"/>
      </w:rPr>
      <w:tblPr/>
      <w:tcPr>
        <w:tcBorders>
          <w:top w:val="single" w:sz="4" w:space="0" w:color="C44A2C" w:themeColor="accent4"/>
          <w:left w:val="single" w:sz="4" w:space="0" w:color="C44A2C" w:themeColor="accent4"/>
          <w:bottom w:val="single" w:sz="4" w:space="0" w:color="C44A2C" w:themeColor="accent4"/>
          <w:right w:val="single" w:sz="4" w:space="0" w:color="C44A2C" w:themeColor="accent4"/>
          <w:insideH w:val="nil"/>
          <w:insideV w:val="nil"/>
        </w:tcBorders>
        <w:shd w:val="clear" w:color="auto" w:fill="C44A2C" w:themeFill="accent4"/>
      </w:tcPr>
    </w:tblStylePr>
    <w:tblStylePr w:type="lastRow">
      <w:rPr>
        <w:b/>
        <w:bCs/>
      </w:rPr>
      <w:tblPr/>
      <w:tcPr>
        <w:tcBorders>
          <w:top w:val="double" w:sz="4" w:space="0" w:color="C44A2C" w:themeColor="accent4"/>
        </w:tcBorders>
      </w:tcPr>
    </w:tblStylePr>
    <w:tblStylePr w:type="firstCol">
      <w:rPr>
        <w:b/>
        <w:bCs/>
      </w:rPr>
    </w:tblStylePr>
    <w:tblStylePr w:type="lastCol">
      <w:rPr>
        <w:b/>
        <w:bCs/>
      </w:rPr>
    </w:tblStylePr>
    <w:tblStylePr w:type="band1Vert">
      <w:tblPr/>
      <w:tcPr>
        <w:shd w:val="clear" w:color="auto" w:fill="F5D9D2" w:themeFill="accent4" w:themeFillTint="33"/>
      </w:tcPr>
    </w:tblStylePr>
    <w:tblStylePr w:type="band1Horz">
      <w:tblPr/>
      <w:tcPr>
        <w:shd w:val="clear" w:color="auto" w:fill="F5D9D2" w:themeFill="accent4" w:themeFillTint="33"/>
      </w:tcPr>
    </w:tblStylePr>
  </w:style>
  <w:style w:type="table" w:styleId="GridTable4-Accent5">
    <w:name w:val="Grid Table 4 Accent 5"/>
    <w:basedOn w:val="TableNormal"/>
    <w:uiPriority w:val="49"/>
    <w:rsid w:val="002C17A3"/>
    <w:rPr>
      <w:sz w:val="20"/>
      <w:szCs w:val="20"/>
    </w:rPr>
    <w:tblPr>
      <w:tblStyleRowBandSize w:val="1"/>
      <w:tblStyleColBandSize w:val="1"/>
      <w:tblBorders>
        <w:top w:val="single" w:sz="4" w:space="0" w:color="DBC1A5" w:themeColor="accent5" w:themeTint="99"/>
        <w:left w:val="single" w:sz="4" w:space="0" w:color="DBC1A5" w:themeColor="accent5" w:themeTint="99"/>
        <w:bottom w:val="single" w:sz="4" w:space="0" w:color="DBC1A5" w:themeColor="accent5" w:themeTint="99"/>
        <w:right w:val="single" w:sz="4" w:space="0" w:color="DBC1A5" w:themeColor="accent5" w:themeTint="99"/>
        <w:insideH w:val="single" w:sz="4" w:space="0" w:color="DBC1A5" w:themeColor="accent5" w:themeTint="99"/>
        <w:insideV w:val="single" w:sz="4" w:space="0" w:color="DBC1A5" w:themeColor="accent5" w:themeTint="99"/>
      </w:tblBorders>
    </w:tblPr>
    <w:tblStylePr w:type="firstRow">
      <w:rPr>
        <w:b/>
        <w:bCs/>
        <w:color w:val="FFFFFF" w:themeColor="background1"/>
      </w:rPr>
      <w:tblPr/>
      <w:tcPr>
        <w:tcBorders>
          <w:top w:val="single" w:sz="4" w:space="0" w:color="C3996A" w:themeColor="accent5"/>
          <w:left w:val="single" w:sz="4" w:space="0" w:color="C3996A" w:themeColor="accent5"/>
          <w:bottom w:val="single" w:sz="4" w:space="0" w:color="C3996A" w:themeColor="accent5"/>
          <w:right w:val="single" w:sz="4" w:space="0" w:color="C3996A" w:themeColor="accent5"/>
          <w:insideH w:val="nil"/>
          <w:insideV w:val="nil"/>
        </w:tcBorders>
        <w:shd w:val="clear" w:color="auto" w:fill="C3996A" w:themeFill="accent5"/>
      </w:tcPr>
    </w:tblStylePr>
    <w:tblStylePr w:type="lastRow">
      <w:rPr>
        <w:b/>
        <w:bCs/>
      </w:rPr>
      <w:tblPr/>
      <w:tcPr>
        <w:tcBorders>
          <w:top w:val="double" w:sz="4" w:space="0" w:color="C3996A" w:themeColor="accent5"/>
        </w:tcBorders>
      </w:tcPr>
    </w:tblStylePr>
    <w:tblStylePr w:type="firstCol">
      <w:rPr>
        <w:b/>
        <w:bCs/>
      </w:rPr>
    </w:tblStylePr>
    <w:tblStylePr w:type="lastCol">
      <w:rPr>
        <w:b/>
        <w:bCs/>
      </w:rPr>
    </w:tblStylePr>
    <w:tblStylePr w:type="band1Vert">
      <w:tblPr/>
      <w:tcPr>
        <w:shd w:val="clear" w:color="auto" w:fill="F3EAE1" w:themeFill="accent5" w:themeFillTint="33"/>
      </w:tcPr>
    </w:tblStylePr>
    <w:tblStylePr w:type="band1Horz">
      <w:tblPr/>
      <w:tcPr>
        <w:shd w:val="clear" w:color="auto" w:fill="F3EAE1" w:themeFill="accent5" w:themeFillTint="33"/>
      </w:tcPr>
    </w:tblStylePr>
  </w:style>
  <w:style w:type="table" w:styleId="GridTable4-Accent6">
    <w:name w:val="Grid Table 4 Accent 6"/>
    <w:basedOn w:val="TableNormal"/>
    <w:uiPriority w:val="49"/>
    <w:rsid w:val="002C17A3"/>
    <w:rPr>
      <w:sz w:val="20"/>
      <w:szCs w:val="20"/>
    </w:rPr>
    <w:tblPr>
      <w:tblStyleRowBandSize w:val="1"/>
      <w:tblStyleColBandSize w:val="1"/>
      <w:tblBorders>
        <w:top w:val="single" w:sz="4" w:space="0" w:color="D0D1D1" w:themeColor="accent6" w:themeTint="99"/>
        <w:left w:val="single" w:sz="4" w:space="0" w:color="D0D1D1" w:themeColor="accent6" w:themeTint="99"/>
        <w:bottom w:val="single" w:sz="4" w:space="0" w:color="D0D1D1" w:themeColor="accent6" w:themeTint="99"/>
        <w:right w:val="single" w:sz="4" w:space="0" w:color="D0D1D1" w:themeColor="accent6" w:themeTint="99"/>
        <w:insideH w:val="single" w:sz="4" w:space="0" w:color="D0D1D1" w:themeColor="accent6" w:themeTint="99"/>
        <w:insideV w:val="single" w:sz="4" w:space="0" w:color="D0D1D1" w:themeColor="accent6" w:themeTint="99"/>
      </w:tblBorders>
    </w:tblPr>
    <w:tblStylePr w:type="firstRow">
      <w:rPr>
        <w:b/>
        <w:bCs/>
        <w:color w:val="FFFFFF" w:themeColor="background1"/>
      </w:rPr>
      <w:tblPr/>
      <w:tcPr>
        <w:tcBorders>
          <w:top w:val="single" w:sz="4" w:space="0" w:color="B1B3B3" w:themeColor="accent6"/>
          <w:left w:val="single" w:sz="4" w:space="0" w:color="B1B3B3" w:themeColor="accent6"/>
          <w:bottom w:val="single" w:sz="4" w:space="0" w:color="B1B3B3" w:themeColor="accent6"/>
          <w:right w:val="single" w:sz="4" w:space="0" w:color="B1B3B3" w:themeColor="accent6"/>
          <w:insideH w:val="nil"/>
          <w:insideV w:val="nil"/>
        </w:tcBorders>
        <w:shd w:val="clear" w:color="auto" w:fill="B1B3B3" w:themeFill="accent6"/>
      </w:tcPr>
    </w:tblStylePr>
    <w:tblStylePr w:type="lastRow">
      <w:rPr>
        <w:b/>
        <w:bCs/>
      </w:rPr>
      <w:tblPr/>
      <w:tcPr>
        <w:tcBorders>
          <w:top w:val="double" w:sz="4" w:space="0" w:color="B1B3B3" w:themeColor="accent6"/>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GridTable5Dark">
    <w:name w:val="Grid Table 5 Dark"/>
    <w:basedOn w:val="TableNormal"/>
    <w:uiPriority w:val="50"/>
    <w:rsid w:val="002C17A3"/>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C17A3"/>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B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49E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49E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49E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49EA5" w:themeFill="accent1"/>
      </w:tcPr>
    </w:tblStylePr>
    <w:tblStylePr w:type="band1Vert">
      <w:tblPr/>
      <w:tcPr>
        <w:shd w:val="clear" w:color="auto" w:fill="C1D8DB" w:themeFill="accent1" w:themeFillTint="66"/>
      </w:tcPr>
    </w:tblStylePr>
    <w:tblStylePr w:type="band1Horz">
      <w:tblPr/>
      <w:tcPr>
        <w:shd w:val="clear" w:color="auto" w:fill="C1D8DB" w:themeFill="accent1" w:themeFillTint="66"/>
      </w:tcPr>
    </w:tblStylePr>
  </w:style>
  <w:style w:type="table" w:styleId="GridTable5Dark-Accent2">
    <w:name w:val="Grid Table 5 Dark Accent 2"/>
    <w:basedOn w:val="TableNormal"/>
    <w:uiPriority w:val="50"/>
    <w:rsid w:val="002C17A3"/>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5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7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7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7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73B" w:themeFill="accent2"/>
      </w:tcPr>
    </w:tblStylePr>
    <w:tblStylePr w:type="band1Vert">
      <w:tblPr/>
      <w:tcPr>
        <w:shd w:val="clear" w:color="auto" w:fill="B4CCA6" w:themeFill="accent2" w:themeFillTint="66"/>
      </w:tcPr>
    </w:tblStylePr>
    <w:tblStylePr w:type="band1Horz">
      <w:tblPr/>
      <w:tcPr>
        <w:shd w:val="clear" w:color="auto" w:fill="B4CCA6" w:themeFill="accent2" w:themeFillTint="66"/>
      </w:tcPr>
    </w:tblStylePr>
  </w:style>
  <w:style w:type="table" w:styleId="GridTable5Dark-Accent3">
    <w:name w:val="Grid Table 5 Dark Accent 3"/>
    <w:basedOn w:val="TableNormal"/>
    <w:uiPriority w:val="50"/>
    <w:rsid w:val="002C17A3"/>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CE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A1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A1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A1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A189" w:themeFill="accent3"/>
      </w:tcPr>
    </w:tblStylePr>
    <w:tblStylePr w:type="band1Vert">
      <w:tblPr/>
      <w:tcPr>
        <w:shd w:val="clear" w:color="auto" w:fill="D1D9CF" w:themeFill="accent3" w:themeFillTint="66"/>
      </w:tcPr>
    </w:tblStylePr>
    <w:tblStylePr w:type="band1Horz">
      <w:tblPr/>
      <w:tcPr>
        <w:shd w:val="clear" w:color="auto" w:fill="D1D9CF" w:themeFill="accent3" w:themeFillTint="66"/>
      </w:tcPr>
    </w:tblStylePr>
  </w:style>
  <w:style w:type="table" w:styleId="GridTable5Dark-Accent4">
    <w:name w:val="Grid Table 5 Dark Accent 4"/>
    <w:basedOn w:val="TableNormal"/>
    <w:uiPriority w:val="50"/>
    <w:rsid w:val="002C17A3"/>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D9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44A2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44A2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44A2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44A2C" w:themeFill="accent4"/>
      </w:tcPr>
    </w:tblStylePr>
    <w:tblStylePr w:type="band1Vert">
      <w:tblPr/>
      <w:tcPr>
        <w:shd w:val="clear" w:color="auto" w:fill="EBB4A6" w:themeFill="accent4" w:themeFillTint="66"/>
      </w:tcPr>
    </w:tblStylePr>
    <w:tblStylePr w:type="band1Horz">
      <w:tblPr/>
      <w:tcPr>
        <w:shd w:val="clear" w:color="auto" w:fill="EBB4A6" w:themeFill="accent4" w:themeFillTint="66"/>
      </w:tcPr>
    </w:tblStylePr>
  </w:style>
  <w:style w:type="table" w:styleId="GridTable5Dark-Accent5">
    <w:name w:val="Grid Table 5 Dark Accent 5"/>
    <w:basedOn w:val="TableNormal"/>
    <w:uiPriority w:val="50"/>
    <w:rsid w:val="002C17A3"/>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EAE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996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996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996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996A" w:themeFill="accent5"/>
      </w:tcPr>
    </w:tblStylePr>
    <w:tblStylePr w:type="band1Vert">
      <w:tblPr/>
      <w:tcPr>
        <w:shd w:val="clear" w:color="auto" w:fill="E7D6C3" w:themeFill="accent5" w:themeFillTint="66"/>
      </w:tcPr>
    </w:tblStylePr>
    <w:tblStylePr w:type="band1Horz">
      <w:tblPr/>
      <w:tcPr>
        <w:shd w:val="clear" w:color="auto" w:fill="E7D6C3" w:themeFill="accent5" w:themeFillTint="66"/>
      </w:tcPr>
    </w:tblStylePr>
  </w:style>
  <w:style w:type="table" w:styleId="GridTable5Dark-Accent6">
    <w:name w:val="Grid Table 5 Dark Accent 6"/>
    <w:basedOn w:val="TableNormal"/>
    <w:uiPriority w:val="50"/>
    <w:rsid w:val="002C17A3"/>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3B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3B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3B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3B3" w:themeFill="accent6"/>
      </w:tcPr>
    </w:tblStylePr>
    <w:tblStylePr w:type="band1Vert">
      <w:tblPr/>
      <w:tcPr>
        <w:shd w:val="clear" w:color="auto" w:fill="DFE0E0" w:themeFill="accent6" w:themeFillTint="66"/>
      </w:tcPr>
    </w:tblStylePr>
    <w:tblStylePr w:type="band1Horz">
      <w:tblPr/>
      <w:tcPr>
        <w:shd w:val="clear" w:color="auto" w:fill="DFE0E0" w:themeFill="accent6" w:themeFillTint="66"/>
      </w:tcPr>
    </w:tblStylePr>
  </w:style>
  <w:style w:type="table" w:styleId="GridTable6Colorful">
    <w:name w:val="Grid Table 6 Colorful"/>
    <w:basedOn w:val="TableNormal"/>
    <w:uiPriority w:val="51"/>
    <w:rsid w:val="002C17A3"/>
    <w:rPr>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C17A3"/>
    <w:rPr>
      <w:color w:val="49777D" w:themeColor="accent1" w:themeShade="BF"/>
      <w:sz w:val="20"/>
      <w:szCs w:val="20"/>
    </w:rPr>
    <w:tblPr>
      <w:tblStyleRowBandSize w:val="1"/>
      <w:tblStyleColBandSize w:val="1"/>
      <w:tblBorders>
        <w:top w:val="single" w:sz="4" w:space="0" w:color="A2C4C9" w:themeColor="accent1" w:themeTint="99"/>
        <w:left w:val="single" w:sz="4" w:space="0" w:color="A2C4C9" w:themeColor="accent1" w:themeTint="99"/>
        <w:bottom w:val="single" w:sz="4" w:space="0" w:color="A2C4C9" w:themeColor="accent1" w:themeTint="99"/>
        <w:right w:val="single" w:sz="4" w:space="0" w:color="A2C4C9" w:themeColor="accent1" w:themeTint="99"/>
        <w:insideH w:val="single" w:sz="4" w:space="0" w:color="A2C4C9" w:themeColor="accent1" w:themeTint="99"/>
        <w:insideV w:val="single" w:sz="4" w:space="0" w:color="A2C4C9" w:themeColor="accent1" w:themeTint="99"/>
      </w:tblBorders>
    </w:tblPr>
    <w:tblStylePr w:type="firstRow">
      <w:rPr>
        <w:b/>
        <w:bCs/>
      </w:rPr>
      <w:tblPr/>
      <w:tcPr>
        <w:tcBorders>
          <w:bottom w:val="single" w:sz="12" w:space="0" w:color="A2C4C9" w:themeColor="accent1" w:themeTint="99"/>
        </w:tcBorders>
      </w:tcPr>
    </w:tblStylePr>
    <w:tblStylePr w:type="lastRow">
      <w:rPr>
        <w:b/>
        <w:bCs/>
      </w:rPr>
      <w:tblPr/>
      <w:tcPr>
        <w:tcBorders>
          <w:top w:val="double" w:sz="4" w:space="0" w:color="A2C4C9" w:themeColor="accent1" w:themeTint="99"/>
        </w:tcBorders>
      </w:tc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GridTable6Colorful-Accent2">
    <w:name w:val="Grid Table 6 Colorful Accent 2"/>
    <w:basedOn w:val="TableNormal"/>
    <w:uiPriority w:val="51"/>
    <w:rsid w:val="002C17A3"/>
    <w:rPr>
      <w:color w:val="384D2C" w:themeColor="accent2" w:themeShade="BF"/>
      <w:sz w:val="20"/>
      <w:szCs w:val="20"/>
    </w:rPr>
    <w:tblPr>
      <w:tblStyleRowBandSize w:val="1"/>
      <w:tblStyleColBandSize w:val="1"/>
      <w:tblBorders>
        <w:top w:val="single" w:sz="4" w:space="0" w:color="8EB37A" w:themeColor="accent2" w:themeTint="99"/>
        <w:left w:val="single" w:sz="4" w:space="0" w:color="8EB37A" w:themeColor="accent2" w:themeTint="99"/>
        <w:bottom w:val="single" w:sz="4" w:space="0" w:color="8EB37A" w:themeColor="accent2" w:themeTint="99"/>
        <w:right w:val="single" w:sz="4" w:space="0" w:color="8EB37A" w:themeColor="accent2" w:themeTint="99"/>
        <w:insideH w:val="single" w:sz="4" w:space="0" w:color="8EB37A" w:themeColor="accent2" w:themeTint="99"/>
        <w:insideV w:val="single" w:sz="4" w:space="0" w:color="8EB37A" w:themeColor="accent2" w:themeTint="99"/>
      </w:tblBorders>
    </w:tblPr>
    <w:tblStylePr w:type="firstRow">
      <w:rPr>
        <w:b/>
        <w:bCs/>
      </w:rPr>
      <w:tblPr/>
      <w:tcPr>
        <w:tcBorders>
          <w:bottom w:val="single" w:sz="12" w:space="0" w:color="8EB37A" w:themeColor="accent2" w:themeTint="99"/>
        </w:tcBorders>
      </w:tcPr>
    </w:tblStylePr>
    <w:tblStylePr w:type="lastRow">
      <w:rPr>
        <w:b/>
        <w:bCs/>
      </w:rPr>
      <w:tblPr/>
      <w:tcPr>
        <w:tcBorders>
          <w:top w:val="double" w:sz="4" w:space="0" w:color="8EB37A" w:themeColor="accent2" w:themeTint="99"/>
        </w:tcBorders>
      </w:tcPr>
    </w:tblStylePr>
    <w:tblStylePr w:type="firstCol">
      <w:rPr>
        <w:b/>
        <w:bCs/>
      </w:rPr>
    </w:tblStylePr>
    <w:tblStylePr w:type="lastCol">
      <w:rPr>
        <w:b/>
        <w:bCs/>
      </w:rPr>
    </w:tblStylePr>
    <w:tblStylePr w:type="band1Vert">
      <w:tblPr/>
      <w:tcPr>
        <w:shd w:val="clear" w:color="auto" w:fill="D9E5D2" w:themeFill="accent2" w:themeFillTint="33"/>
      </w:tcPr>
    </w:tblStylePr>
    <w:tblStylePr w:type="band1Horz">
      <w:tblPr/>
      <w:tcPr>
        <w:shd w:val="clear" w:color="auto" w:fill="D9E5D2" w:themeFill="accent2" w:themeFillTint="33"/>
      </w:tcPr>
    </w:tblStylePr>
  </w:style>
  <w:style w:type="table" w:styleId="GridTable6Colorful-Accent3">
    <w:name w:val="Grid Table 6 Colorful Accent 3"/>
    <w:basedOn w:val="TableNormal"/>
    <w:uiPriority w:val="51"/>
    <w:rsid w:val="002C17A3"/>
    <w:rPr>
      <w:color w:val="687C63" w:themeColor="accent3" w:themeShade="BF"/>
      <w:sz w:val="20"/>
      <w:szCs w:val="20"/>
    </w:rPr>
    <w:tblPr>
      <w:tblStyleRowBandSize w:val="1"/>
      <w:tblStyleColBandSize w:val="1"/>
      <w:tblBorders>
        <w:top w:val="single" w:sz="4" w:space="0" w:color="BBC6B8" w:themeColor="accent3" w:themeTint="99"/>
        <w:left w:val="single" w:sz="4" w:space="0" w:color="BBC6B8" w:themeColor="accent3" w:themeTint="99"/>
        <w:bottom w:val="single" w:sz="4" w:space="0" w:color="BBC6B8" w:themeColor="accent3" w:themeTint="99"/>
        <w:right w:val="single" w:sz="4" w:space="0" w:color="BBC6B8" w:themeColor="accent3" w:themeTint="99"/>
        <w:insideH w:val="single" w:sz="4" w:space="0" w:color="BBC6B8" w:themeColor="accent3" w:themeTint="99"/>
        <w:insideV w:val="single" w:sz="4" w:space="0" w:color="BBC6B8" w:themeColor="accent3" w:themeTint="99"/>
      </w:tblBorders>
    </w:tblPr>
    <w:tblStylePr w:type="firstRow">
      <w:rPr>
        <w:b/>
        <w:bCs/>
      </w:rPr>
      <w:tblPr/>
      <w:tcPr>
        <w:tcBorders>
          <w:bottom w:val="single" w:sz="12" w:space="0" w:color="BBC6B8" w:themeColor="accent3" w:themeTint="99"/>
        </w:tcBorders>
      </w:tcPr>
    </w:tblStylePr>
    <w:tblStylePr w:type="lastRow">
      <w:rPr>
        <w:b/>
        <w:bCs/>
      </w:rPr>
      <w:tblPr/>
      <w:tcPr>
        <w:tcBorders>
          <w:top w:val="double" w:sz="4" w:space="0" w:color="BBC6B8" w:themeColor="accent3" w:themeTint="99"/>
        </w:tcBorders>
      </w:tcPr>
    </w:tblStylePr>
    <w:tblStylePr w:type="firstCol">
      <w:rPr>
        <w:b/>
        <w:bCs/>
      </w:rPr>
    </w:tblStylePr>
    <w:tblStylePr w:type="lastCol">
      <w:rPr>
        <w:b/>
        <w:bCs/>
      </w:rPr>
    </w:tblStylePr>
    <w:tblStylePr w:type="band1Vert">
      <w:tblPr/>
      <w:tcPr>
        <w:shd w:val="clear" w:color="auto" w:fill="E8ECE7" w:themeFill="accent3" w:themeFillTint="33"/>
      </w:tcPr>
    </w:tblStylePr>
    <w:tblStylePr w:type="band1Horz">
      <w:tblPr/>
      <w:tcPr>
        <w:shd w:val="clear" w:color="auto" w:fill="E8ECE7" w:themeFill="accent3" w:themeFillTint="33"/>
      </w:tcPr>
    </w:tblStylePr>
  </w:style>
  <w:style w:type="table" w:styleId="GridTable6Colorful-Accent4">
    <w:name w:val="Grid Table 6 Colorful Accent 4"/>
    <w:basedOn w:val="TableNormal"/>
    <w:uiPriority w:val="51"/>
    <w:rsid w:val="002C17A3"/>
    <w:rPr>
      <w:color w:val="923721" w:themeColor="accent4" w:themeShade="BF"/>
      <w:sz w:val="20"/>
      <w:szCs w:val="20"/>
    </w:rPr>
    <w:tblPr>
      <w:tblStyleRowBandSize w:val="1"/>
      <w:tblStyleColBandSize w:val="1"/>
      <w:tblBorders>
        <w:top w:val="single" w:sz="4" w:space="0" w:color="E18E7A" w:themeColor="accent4" w:themeTint="99"/>
        <w:left w:val="single" w:sz="4" w:space="0" w:color="E18E7A" w:themeColor="accent4" w:themeTint="99"/>
        <w:bottom w:val="single" w:sz="4" w:space="0" w:color="E18E7A" w:themeColor="accent4" w:themeTint="99"/>
        <w:right w:val="single" w:sz="4" w:space="0" w:color="E18E7A" w:themeColor="accent4" w:themeTint="99"/>
        <w:insideH w:val="single" w:sz="4" w:space="0" w:color="E18E7A" w:themeColor="accent4" w:themeTint="99"/>
        <w:insideV w:val="single" w:sz="4" w:space="0" w:color="E18E7A" w:themeColor="accent4" w:themeTint="99"/>
      </w:tblBorders>
    </w:tblPr>
    <w:tblStylePr w:type="firstRow">
      <w:rPr>
        <w:b/>
        <w:bCs/>
      </w:rPr>
      <w:tblPr/>
      <w:tcPr>
        <w:tcBorders>
          <w:bottom w:val="single" w:sz="12" w:space="0" w:color="E18E7A" w:themeColor="accent4" w:themeTint="99"/>
        </w:tcBorders>
      </w:tcPr>
    </w:tblStylePr>
    <w:tblStylePr w:type="lastRow">
      <w:rPr>
        <w:b/>
        <w:bCs/>
      </w:rPr>
      <w:tblPr/>
      <w:tcPr>
        <w:tcBorders>
          <w:top w:val="double" w:sz="4" w:space="0" w:color="E18E7A" w:themeColor="accent4" w:themeTint="99"/>
        </w:tcBorders>
      </w:tcPr>
    </w:tblStylePr>
    <w:tblStylePr w:type="firstCol">
      <w:rPr>
        <w:b/>
        <w:bCs/>
      </w:rPr>
    </w:tblStylePr>
    <w:tblStylePr w:type="lastCol">
      <w:rPr>
        <w:b/>
        <w:bCs/>
      </w:rPr>
    </w:tblStylePr>
    <w:tblStylePr w:type="band1Vert">
      <w:tblPr/>
      <w:tcPr>
        <w:shd w:val="clear" w:color="auto" w:fill="F5D9D2" w:themeFill="accent4" w:themeFillTint="33"/>
      </w:tcPr>
    </w:tblStylePr>
    <w:tblStylePr w:type="band1Horz">
      <w:tblPr/>
      <w:tcPr>
        <w:shd w:val="clear" w:color="auto" w:fill="F5D9D2" w:themeFill="accent4" w:themeFillTint="33"/>
      </w:tcPr>
    </w:tblStylePr>
  </w:style>
  <w:style w:type="table" w:styleId="GridTable6Colorful-Accent5">
    <w:name w:val="Grid Table 6 Colorful Accent 5"/>
    <w:basedOn w:val="TableNormal"/>
    <w:uiPriority w:val="51"/>
    <w:rsid w:val="002C17A3"/>
    <w:rPr>
      <w:color w:val="A07340" w:themeColor="accent5" w:themeShade="BF"/>
      <w:sz w:val="20"/>
      <w:szCs w:val="20"/>
    </w:rPr>
    <w:tblPr>
      <w:tblStyleRowBandSize w:val="1"/>
      <w:tblStyleColBandSize w:val="1"/>
      <w:tblBorders>
        <w:top w:val="single" w:sz="4" w:space="0" w:color="DBC1A5" w:themeColor="accent5" w:themeTint="99"/>
        <w:left w:val="single" w:sz="4" w:space="0" w:color="DBC1A5" w:themeColor="accent5" w:themeTint="99"/>
        <w:bottom w:val="single" w:sz="4" w:space="0" w:color="DBC1A5" w:themeColor="accent5" w:themeTint="99"/>
        <w:right w:val="single" w:sz="4" w:space="0" w:color="DBC1A5" w:themeColor="accent5" w:themeTint="99"/>
        <w:insideH w:val="single" w:sz="4" w:space="0" w:color="DBC1A5" w:themeColor="accent5" w:themeTint="99"/>
        <w:insideV w:val="single" w:sz="4" w:space="0" w:color="DBC1A5" w:themeColor="accent5" w:themeTint="99"/>
      </w:tblBorders>
    </w:tblPr>
    <w:tblStylePr w:type="firstRow">
      <w:rPr>
        <w:b/>
        <w:bCs/>
      </w:rPr>
      <w:tblPr/>
      <w:tcPr>
        <w:tcBorders>
          <w:bottom w:val="single" w:sz="12" w:space="0" w:color="DBC1A5" w:themeColor="accent5" w:themeTint="99"/>
        </w:tcBorders>
      </w:tcPr>
    </w:tblStylePr>
    <w:tblStylePr w:type="lastRow">
      <w:rPr>
        <w:b/>
        <w:bCs/>
      </w:rPr>
      <w:tblPr/>
      <w:tcPr>
        <w:tcBorders>
          <w:top w:val="double" w:sz="4" w:space="0" w:color="DBC1A5" w:themeColor="accent5" w:themeTint="99"/>
        </w:tcBorders>
      </w:tcPr>
    </w:tblStylePr>
    <w:tblStylePr w:type="firstCol">
      <w:rPr>
        <w:b/>
        <w:bCs/>
      </w:rPr>
    </w:tblStylePr>
    <w:tblStylePr w:type="lastCol">
      <w:rPr>
        <w:b/>
        <w:bCs/>
      </w:rPr>
    </w:tblStylePr>
    <w:tblStylePr w:type="band1Vert">
      <w:tblPr/>
      <w:tcPr>
        <w:shd w:val="clear" w:color="auto" w:fill="F3EAE1" w:themeFill="accent5" w:themeFillTint="33"/>
      </w:tcPr>
    </w:tblStylePr>
    <w:tblStylePr w:type="band1Horz">
      <w:tblPr/>
      <w:tcPr>
        <w:shd w:val="clear" w:color="auto" w:fill="F3EAE1" w:themeFill="accent5" w:themeFillTint="33"/>
      </w:tcPr>
    </w:tblStylePr>
  </w:style>
  <w:style w:type="table" w:styleId="GridTable6Colorful-Accent6">
    <w:name w:val="Grid Table 6 Colorful Accent 6"/>
    <w:basedOn w:val="TableNormal"/>
    <w:uiPriority w:val="51"/>
    <w:rsid w:val="002C17A3"/>
    <w:rPr>
      <w:color w:val="838686" w:themeColor="accent6" w:themeShade="BF"/>
      <w:sz w:val="20"/>
      <w:szCs w:val="20"/>
    </w:rPr>
    <w:tblPr>
      <w:tblStyleRowBandSize w:val="1"/>
      <w:tblStyleColBandSize w:val="1"/>
      <w:tblBorders>
        <w:top w:val="single" w:sz="4" w:space="0" w:color="D0D1D1" w:themeColor="accent6" w:themeTint="99"/>
        <w:left w:val="single" w:sz="4" w:space="0" w:color="D0D1D1" w:themeColor="accent6" w:themeTint="99"/>
        <w:bottom w:val="single" w:sz="4" w:space="0" w:color="D0D1D1" w:themeColor="accent6" w:themeTint="99"/>
        <w:right w:val="single" w:sz="4" w:space="0" w:color="D0D1D1" w:themeColor="accent6" w:themeTint="99"/>
        <w:insideH w:val="single" w:sz="4" w:space="0" w:color="D0D1D1" w:themeColor="accent6" w:themeTint="99"/>
        <w:insideV w:val="single" w:sz="4" w:space="0" w:color="D0D1D1" w:themeColor="accent6" w:themeTint="99"/>
      </w:tblBorders>
    </w:tblPr>
    <w:tblStylePr w:type="firstRow">
      <w:rPr>
        <w:b/>
        <w:bCs/>
      </w:rPr>
      <w:tblPr/>
      <w:tcPr>
        <w:tcBorders>
          <w:bottom w:val="single" w:sz="12" w:space="0" w:color="D0D1D1" w:themeColor="accent6" w:themeTint="99"/>
        </w:tcBorders>
      </w:tcPr>
    </w:tblStylePr>
    <w:tblStylePr w:type="lastRow">
      <w:rPr>
        <w:b/>
        <w:bCs/>
      </w:rPr>
      <w:tblPr/>
      <w:tcPr>
        <w:tcBorders>
          <w:top w:val="double" w:sz="4" w:space="0" w:color="D0D1D1" w:themeColor="accent6" w:themeTint="99"/>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GridTable7Colorful">
    <w:name w:val="Grid Table 7 Colorful"/>
    <w:basedOn w:val="TableNormal"/>
    <w:uiPriority w:val="52"/>
    <w:rsid w:val="002C17A3"/>
    <w:rPr>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C17A3"/>
    <w:rPr>
      <w:color w:val="49777D" w:themeColor="accent1" w:themeShade="BF"/>
      <w:sz w:val="20"/>
      <w:szCs w:val="20"/>
    </w:rPr>
    <w:tblPr>
      <w:tblStyleRowBandSize w:val="1"/>
      <w:tblStyleColBandSize w:val="1"/>
      <w:tblBorders>
        <w:top w:val="single" w:sz="4" w:space="0" w:color="A2C4C9" w:themeColor="accent1" w:themeTint="99"/>
        <w:left w:val="single" w:sz="4" w:space="0" w:color="A2C4C9" w:themeColor="accent1" w:themeTint="99"/>
        <w:bottom w:val="single" w:sz="4" w:space="0" w:color="A2C4C9" w:themeColor="accent1" w:themeTint="99"/>
        <w:right w:val="single" w:sz="4" w:space="0" w:color="A2C4C9" w:themeColor="accent1" w:themeTint="99"/>
        <w:insideH w:val="single" w:sz="4" w:space="0" w:color="A2C4C9" w:themeColor="accent1" w:themeTint="99"/>
        <w:insideV w:val="single" w:sz="4" w:space="0" w:color="A2C4C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ED" w:themeFill="accent1" w:themeFillTint="33"/>
      </w:tcPr>
    </w:tblStylePr>
    <w:tblStylePr w:type="band1Horz">
      <w:tblPr/>
      <w:tcPr>
        <w:shd w:val="clear" w:color="auto" w:fill="E0EBED" w:themeFill="accent1" w:themeFillTint="33"/>
      </w:tcPr>
    </w:tblStylePr>
    <w:tblStylePr w:type="neCell">
      <w:tblPr/>
      <w:tcPr>
        <w:tcBorders>
          <w:bottom w:val="single" w:sz="4" w:space="0" w:color="A2C4C9" w:themeColor="accent1" w:themeTint="99"/>
        </w:tcBorders>
      </w:tcPr>
    </w:tblStylePr>
    <w:tblStylePr w:type="nwCell">
      <w:tblPr/>
      <w:tcPr>
        <w:tcBorders>
          <w:bottom w:val="single" w:sz="4" w:space="0" w:color="A2C4C9" w:themeColor="accent1" w:themeTint="99"/>
        </w:tcBorders>
      </w:tcPr>
    </w:tblStylePr>
    <w:tblStylePr w:type="seCell">
      <w:tblPr/>
      <w:tcPr>
        <w:tcBorders>
          <w:top w:val="single" w:sz="4" w:space="0" w:color="A2C4C9" w:themeColor="accent1" w:themeTint="99"/>
        </w:tcBorders>
      </w:tcPr>
    </w:tblStylePr>
    <w:tblStylePr w:type="swCell">
      <w:tblPr/>
      <w:tcPr>
        <w:tcBorders>
          <w:top w:val="single" w:sz="4" w:space="0" w:color="A2C4C9" w:themeColor="accent1" w:themeTint="99"/>
        </w:tcBorders>
      </w:tcPr>
    </w:tblStylePr>
  </w:style>
  <w:style w:type="table" w:styleId="GridTable7Colorful-Accent2">
    <w:name w:val="Grid Table 7 Colorful Accent 2"/>
    <w:basedOn w:val="TableNormal"/>
    <w:uiPriority w:val="52"/>
    <w:rsid w:val="002C17A3"/>
    <w:rPr>
      <w:color w:val="384D2C" w:themeColor="accent2" w:themeShade="BF"/>
      <w:sz w:val="20"/>
      <w:szCs w:val="20"/>
    </w:rPr>
    <w:tblPr>
      <w:tblStyleRowBandSize w:val="1"/>
      <w:tblStyleColBandSize w:val="1"/>
      <w:tblBorders>
        <w:top w:val="single" w:sz="4" w:space="0" w:color="8EB37A" w:themeColor="accent2" w:themeTint="99"/>
        <w:left w:val="single" w:sz="4" w:space="0" w:color="8EB37A" w:themeColor="accent2" w:themeTint="99"/>
        <w:bottom w:val="single" w:sz="4" w:space="0" w:color="8EB37A" w:themeColor="accent2" w:themeTint="99"/>
        <w:right w:val="single" w:sz="4" w:space="0" w:color="8EB37A" w:themeColor="accent2" w:themeTint="99"/>
        <w:insideH w:val="single" w:sz="4" w:space="0" w:color="8EB37A" w:themeColor="accent2" w:themeTint="99"/>
        <w:insideV w:val="single" w:sz="4" w:space="0" w:color="8EB3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5D2" w:themeFill="accent2" w:themeFillTint="33"/>
      </w:tcPr>
    </w:tblStylePr>
    <w:tblStylePr w:type="band1Horz">
      <w:tblPr/>
      <w:tcPr>
        <w:shd w:val="clear" w:color="auto" w:fill="D9E5D2" w:themeFill="accent2" w:themeFillTint="33"/>
      </w:tcPr>
    </w:tblStylePr>
    <w:tblStylePr w:type="neCell">
      <w:tblPr/>
      <w:tcPr>
        <w:tcBorders>
          <w:bottom w:val="single" w:sz="4" w:space="0" w:color="8EB37A" w:themeColor="accent2" w:themeTint="99"/>
        </w:tcBorders>
      </w:tcPr>
    </w:tblStylePr>
    <w:tblStylePr w:type="nwCell">
      <w:tblPr/>
      <w:tcPr>
        <w:tcBorders>
          <w:bottom w:val="single" w:sz="4" w:space="0" w:color="8EB37A" w:themeColor="accent2" w:themeTint="99"/>
        </w:tcBorders>
      </w:tcPr>
    </w:tblStylePr>
    <w:tblStylePr w:type="seCell">
      <w:tblPr/>
      <w:tcPr>
        <w:tcBorders>
          <w:top w:val="single" w:sz="4" w:space="0" w:color="8EB37A" w:themeColor="accent2" w:themeTint="99"/>
        </w:tcBorders>
      </w:tcPr>
    </w:tblStylePr>
    <w:tblStylePr w:type="swCell">
      <w:tblPr/>
      <w:tcPr>
        <w:tcBorders>
          <w:top w:val="single" w:sz="4" w:space="0" w:color="8EB37A" w:themeColor="accent2" w:themeTint="99"/>
        </w:tcBorders>
      </w:tcPr>
    </w:tblStylePr>
  </w:style>
  <w:style w:type="table" w:styleId="GridTable7Colorful-Accent3">
    <w:name w:val="Grid Table 7 Colorful Accent 3"/>
    <w:basedOn w:val="TableNormal"/>
    <w:uiPriority w:val="52"/>
    <w:rsid w:val="002C17A3"/>
    <w:rPr>
      <w:color w:val="687C63" w:themeColor="accent3" w:themeShade="BF"/>
      <w:sz w:val="20"/>
      <w:szCs w:val="20"/>
    </w:rPr>
    <w:tblPr>
      <w:tblStyleRowBandSize w:val="1"/>
      <w:tblStyleColBandSize w:val="1"/>
      <w:tblBorders>
        <w:top w:val="single" w:sz="4" w:space="0" w:color="BBC6B8" w:themeColor="accent3" w:themeTint="99"/>
        <w:left w:val="single" w:sz="4" w:space="0" w:color="BBC6B8" w:themeColor="accent3" w:themeTint="99"/>
        <w:bottom w:val="single" w:sz="4" w:space="0" w:color="BBC6B8" w:themeColor="accent3" w:themeTint="99"/>
        <w:right w:val="single" w:sz="4" w:space="0" w:color="BBC6B8" w:themeColor="accent3" w:themeTint="99"/>
        <w:insideH w:val="single" w:sz="4" w:space="0" w:color="BBC6B8" w:themeColor="accent3" w:themeTint="99"/>
        <w:insideV w:val="single" w:sz="4" w:space="0" w:color="BBC6B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CE7" w:themeFill="accent3" w:themeFillTint="33"/>
      </w:tcPr>
    </w:tblStylePr>
    <w:tblStylePr w:type="band1Horz">
      <w:tblPr/>
      <w:tcPr>
        <w:shd w:val="clear" w:color="auto" w:fill="E8ECE7" w:themeFill="accent3" w:themeFillTint="33"/>
      </w:tcPr>
    </w:tblStylePr>
    <w:tblStylePr w:type="neCell">
      <w:tblPr/>
      <w:tcPr>
        <w:tcBorders>
          <w:bottom w:val="single" w:sz="4" w:space="0" w:color="BBC6B8" w:themeColor="accent3" w:themeTint="99"/>
        </w:tcBorders>
      </w:tcPr>
    </w:tblStylePr>
    <w:tblStylePr w:type="nwCell">
      <w:tblPr/>
      <w:tcPr>
        <w:tcBorders>
          <w:bottom w:val="single" w:sz="4" w:space="0" w:color="BBC6B8" w:themeColor="accent3" w:themeTint="99"/>
        </w:tcBorders>
      </w:tcPr>
    </w:tblStylePr>
    <w:tblStylePr w:type="seCell">
      <w:tblPr/>
      <w:tcPr>
        <w:tcBorders>
          <w:top w:val="single" w:sz="4" w:space="0" w:color="BBC6B8" w:themeColor="accent3" w:themeTint="99"/>
        </w:tcBorders>
      </w:tcPr>
    </w:tblStylePr>
    <w:tblStylePr w:type="swCell">
      <w:tblPr/>
      <w:tcPr>
        <w:tcBorders>
          <w:top w:val="single" w:sz="4" w:space="0" w:color="BBC6B8" w:themeColor="accent3" w:themeTint="99"/>
        </w:tcBorders>
      </w:tcPr>
    </w:tblStylePr>
  </w:style>
  <w:style w:type="table" w:styleId="GridTable7Colorful-Accent4">
    <w:name w:val="Grid Table 7 Colorful Accent 4"/>
    <w:basedOn w:val="TableNormal"/>
    <w:uiPriority w:val="52"/>
    <w:rsid w:val="002C17A3"/>
    <w:rPr>
      <w:color w:val="923721" w:themeColor="accent4" w:themeShade="BF"/>
      <w:sz w:val="20"/>
      <w:szCs w:val="20"/>
    </w:rPr>
    <w:tblPr>
      <w:tblStyleRowBandSize w:val="1"/>
      <w:tblStyleColBandSize w:val="1"/>
      <w:tblBorders>
        <w:top w:val="single" w:sz="4" w:space="0" w:color="E18E7A" w:themeColor="accent4" w:themeTint="99"/>
        <w:left w:val="single" w:sz="4" w:space="0" w:color="E18E7A" w:themeColor="accent4" w:themeTint="99"/>
        <w:bottom w:val="single" w:sz="4" w:space="0" w:color="E18E7A" w:themeColor="accent4" w:themeTint="99"/>
        <w:right w:val="single" w:sz="4" w:space="0" w:color="E18E7A" w:themeColor="accent4" w:themeTint="99"/>
        <w:insideH w:val="single" w:sz="4" w:space="0" w:color="E18E7A" w:themeColor="accent4" w:themeTint="99"/>
        <w:insideV w:val="single" w:sz="4" w:space="0" w:color="E18E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9D2" w:themeFill="accent4" w:themeFillTint="33"/>
      </w:tcPr>
    </w:tblStylePr>
    <w:tblStylePr w:type="band1Horz">
      <w:tblPr/>
      <w:tcPr>
        <w:shd w:val="clear" w:color="auto" w:fill="F5D9D2" w:themeFill="accent4" w:themeFillTint="33"/>
      </w:tcPr>
    </w:tblStylePr>
    <w:tblStylePr w:type="neCell">
      <w:tblPr/>
      <w:tcPr>
        <w:tcBorders>
          <w:bottom w:val="single" w:sz="4" w:space="0" w:color="E18E7A" w:themeColor="accent4" w:themeTint="99"/>
        </w:tcBorders>
      </w:tcPr>
    </w:tblStylePr>
    <w:tblStylePr w:type="nwCell">
      <w:tblPr/>
      <w:tcPr>
        <w:tcBorders>
          <w:bottom w:val="single" w:sz="4" w:space="0" w:color="E18E7A" w:themeColor="accent4" w:themeTint="99"/>
        </w:tcBorders>
      </w:tcPr>
    </w:tblStylePr>
    <w:tblStylePr w:type="seCell">
      <w:tblPr/>
      <w:tcPr>
        <w:tcBorders>
          <w:top w:val="single" w:sz="4" w:space="0" w:color="E18E7A" w:themeColor="accent4" w:themeTint="99"/>
        </w:tcBorders>
      </w:tcPr>
    </w:tblStylePr>
    <w:tblStylePr w:type="swCell">
      <w:tblPr/>
      <w:tcPr>
        <w:tcBorders>
          <w:top w:val="single" w:sz="4" w:space="0" w:color="E18E7A" w:themeColor="accent4" w:themeTint="99"/>
        </w:tcBorders>
      </w:tcPr>
    </w:tblStylePr>
  </w:style>
  <w:style w:type="table" w:styleId="GridTable7Colorful-Accent5">
    <w:name w:val="Grid Table 7 Colorful Accent 5"/>
    <w:basedOn w:val="TableNormal"/>
    <w:uiPriority w:val="52"/>
    <w:rsid w:val="002C17A3"/>
    <w:rPr>
      <w:color w:val="A07340" w:themeColor="accent5" w:themeShade="BF"/>
      <w:sz w:val="20"/>
      <w:szCs w:val="20"/>
    </w:rPr>
    <w:tblPr>
      <w:tblStyleRowBandSize w:val="1"/>
      <w:tblStyleColBandSize w:val="1"/>
      <w:tblBorders>
        <w:top w:val="single" w:sz="4" w:space="0" w:color="DBC1A5" w:themeColor="accent5" w:themeTint="99"/>
        <w:left w:val="single" w:sz="4" w:space="0" w:color="DBC1A5" w:themeColor="accent5" w:themeTint="99"/>
        <w:bottom w:val="single" w:sz="4" w:space="0" w:color="DBC1A5" w:themeColor="accent5" w:themeTint="99"/>
        <w:right w:val="single" w:sz="4" w:space="0" w:color="DBC1A5" w:themeColor="accent5" w:themeTint="99"/>
        <w:insideH w:val="single" w:sz="4" w:space="0" w:color="DBC1A5" w:themeColor="accent5" w:themeTint="99"/>
        <w:insideV w:val="single" w:sz="4" w:space="0" w:color="DBC1A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EAE1" w:themeFill="accent5" w:themeFillTint="33"/>
      </w:tcPr>
    </w:tblStylePr>
    <w:tblStylePr w:type="band1Horz">
      <w:tblPr/>
      <w:tcPr>
        <w:shd w:val="clear" w:color="auto" w:fill="F3EAE1" w:themeFill="accent5" w:themeFillTint="33"/>
      </w:tcPr>
    </w:tblStylePr>
    <w:tblStylePr w:type="neCell">
      <w:tblPr/>
      <w:tcPr>
        <w:tcBorders>
          <w:bottom w:val="single" w:sz="4" w:space="0" w:color="DBC1A5" w:themeColor="accent5" w:themeTint="99"/>
        </w:tcBorders>
      </w:tcPr>
    </w:tblStylePr>
    <w:tblStylePr w:type="nwCell">
      <w:tblPr/>
      <w:tcPr>
        <w:tcBorders>
          <w:bottom w:val="single" w:sz="4" w:space="0" w:color="DBC1A5" w:themeColor="accent5" w:themeTint="99"/>
        </w:tcBorders>
      </w:tcPr>
    </w:tblStylePr>
    <w:tblStylePr w:type="seCell">
      <w:tblPr/>
      <w:tcPr>
        <w:tcBorders>
          <w:top w:val="single" w:sz="4" w:space="0" w:color="DBC1A5" w:themeColor="accent5" w:themeTint="99"/>
        </w:tcBorders>
      </w:tcPr>
    </w:tblStylePr>
    <w:tblStylePr w:type="swCell">
      <w:tblPr/>
      <w:tcPr>
        <w:tcBorders>
          <w:top w:val="single" w:sz="4" w:space="0" w:color="DBC1A5" w:themeColor="accent5" w:themeTint="99"/>
        </w:tcBorders>
      </w:tcPr>
    </w:tblStylePr>
  </w:style>
  <w:style w:type="table" w:styleId="GridTable7Colorful-Accent6">
    <w:name w:val="Grid Table 7 Colorful Accent 6"/>
    <w:basedOn w:val="TableNormal"/>
    <w:uiPriority w:val="52"/>
    <w:rsid w:val="002C17A3"/>
    <w:rPr>
      <w:color w:val="838686" w:themeColor="accent6" w:themeShade="BF"/>
      <w:sz w:val="20"/>
      <w:szCs w:val="20"/>
    </w:rPr>
    <w:tblPr>
      <w:tblStyleRowBandSize w:val="1"/>
      <w:tblStyleColBandSize w:val="1"/>
      <w:tblBorders>
        <w:top w:val="single" w:sz="4" w:space="0" w:color="D0D1D1" w:themeColor="accent6" w:themeTint="99"/>
        <w:left w:val="single" w:sz="4" w:space="0" w:color="D0D1D1" w:themeColor="accent6" w:themeTint="99"/>
        <w:bottom w:val="single" w:sz="4" w:space="0" w:color="D0D1D1" w:themeColor="accent6" w:themeTint="99"/>
        <w:right w:val="single" w:sz="4" w:space="0" w:color="D0D1D1" w:themeColor="accent6" w:themeTint="99"/>
        <w:insideH w:val="single" w:sz="4" w:space="0" w:color="D0D1D1" w:themeColor="accent6" w:themeTint="99"/>
        <w:insideV w:val="single" w:sz="4" w:space="0" w:color="D0D1D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6" w:themeFillTint="33"/>
      </w:tcPr>
    </w:tblStylePr>
    <w:tblStylePr w:type="band1Horz">
      <w:tblPr/>
      <w:tcPr>
        <w:shd w:val="clear" w:color="auto" w:fill="EFEFEF" w:themeFill="accent6" w:themeFillTint="33"/>
      </w:tcPr>
    </w:tblStylePr>
    <w:tblStylePr w:type="neCell">
      <w:tblPr/>
      <w:tcPr>
        <w:tcBorders>
          <w:bottom w:val="single" w:sz="4" w:space="0" w:color="D0D1D1" w:themeColor="accent6" w:themeTint="99"/>
        </w:tcBorders>
      </w:tcPr>
    </w:tblStylePr>
    <w:tblStylePr w:type="nwCell">
      <w:tblPr/>
      <w:tcPr>
        <w:tcBorders>
          <w:bottom w:val="single" w:sz="4" w:space="0" w:color="D0D1D1" w:themeColor="accent6" w:themeTint="99"/>
        </w:tcBorders>
      </w:tcPr>
    </w:tblStylePr>
    <w:tblStylePr w:type="seCell">
      <w:tblPr/>
      <w:tcPr>
        <w:tcBorders>
          <w:top w:val="single" w:sz="4" w:space="0" w:color="D0D1D1" w:themeColor="accent6" w:themeTint="99"/>
        </w:tcBorders>
      </w:tcPr>
    </w:tblStylePr>
    <w:tblStylePr w:type="swCell">
      <w:tblPr/>
      <w:tcPr>
        <w:tcBorders>
          <w:top w:val="single" w:sz="4" w:space="0" w:color="D0D1D1" w:themeColor="accent6" w:themeTint="99"/>
        </w:tcBorders>
      </w:tcPr>
    </w:tblStylePr>
  </w:style>
  <w:style w:type="table" w:styleId="LightGrid">
    <w:name w:val="Light Grid"/>
    <w:basedOn w:val="TableNormal"/>
    <w:uiPriority w:val="62"/>
    <w:semiHidden/>
    <w:unhideWhenUsed/>
    <w:rsid w:val="002C17A3"/>
    <w:rPr>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C17A3"/>
    <w:rPr>
      <w:sz w:val="20"/>
      <w:szCs w:val="20"/>
    </w:rPr>
    <w:tblPr>
      <w:tblStyleRowBandSize w:val="1"/>
      <w:tblStyleColBandSize w:val="1"/>
      <w:tblBorders>
        <w:top w:val="single" w:sz="8" w:space="0" w:color="649EA5" w:themeColor="accent1"/>
        <w:left w:val="single" w:sz="8" w:space="0" w:color="649EA5" w:themeColor="accent1"/>
        <w:bottom w:val="single" w:sz="8" w:space="0" w:color="649EA5" w:themeColor="accent1"/>
        <w:right w:val="single" w:sz="8" w:space="0" w:color="649EA5" w:themeColor="accent1"/>
        <w:insideH w:val="single" w:sz="8" w:space="0" w:color="649EA5" w:themeColor="accent1"/>
        <w:insideV w:val="single" w:sz="8" w:space="0" w:color="649E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9EA5" w:themeColor="accent1"/>
          <w:left w:val="single" w:sz="8" w:space="0" w:color="649EA5" w:themeColor="accent1"/>
          <w:bottom w:val="single" w:sz="18" w:space="0" w:color="649EA5" w:themeColor="accent1"/>
          <w:right w:val="single" w:sz="8" w:space="0" w:color="649EA5" w:themeColor="accent1"/>
          <w:insideH w:val="nil"/>
          <w:insideV w:val="single" w:sz="8" w:space="0" w:color="649E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9EA5" w:themeColor="accent1"/>
          <w:left w:val="single" w:sz="8" w:space="0" w:color="649EA5" w:themeColor="accent1"/>
          <w:bottom w:val="single" w:sz="8" w:space="0" w:color="649EA5" w:themeColor="accent1"/>
          <w:right w:val="single" w:sz="8" w:space="0" w:color="649EA5" w:themeColor="accent1"/>
          <w:insideH w:val="nil"/>
          <w:insideV w:val="single" w:sz="8" w:space="0" w:color="649E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9EA5" w:themeColor="accent1"/>
          <w:left w:val="single" w:sz="8" w:space="0" w:color="649EA5" w:themeColor="accent1"/>
          <w:bottom w:val="single" w:sz="8" w:space="0" w:color="649EA5" w:themeColor="accent1"/>
          <w:right w:val="single" w:sz="8" w:space="0" w:color="649EA5" w:themeColor="accent1"/>
        </w:tcBorders>
      </w:tcPr>
    </w:tblStylePr>
    <w:tblStylePr w:type="band1Vert">
      <w:tblPr/>
      <w:tcPr>
        <w:tcBorders>
          <w:top w:val="single" w:sz="8" w:space="0" w:color="649EA5" w:themeColor="accent1"/>
          <w:left w:val="single" w:sz="8" w:space="0" w:color="649EA5" w:themeColor="accent1"/>
          <w:bottom w:val="single" w:sz="8" w:space="0" w:color="649EA5" w:themeColor="accent1"/>
          <w:right w:val="single" w:sz="8" w:space="0" w:color="649EA5" w:themeColor="accent1"/>
        </w:tcBorders>
        <w:shd w:val="clear" w:color="auto" w:fill="D8E7E8" w:themeFill="accent1" w:themeFillTint="3F"/>
      </w:tcPr>
    </w:tblStylePr>
    <w:tblStylePr w:type="band1Horz">
      <w:tblPr/>
      <w:tcPr>
        <w:tcBorders>
          <w:top w:val="single" w:sz="8" w:space="0" w:color="649EA5" w:themeColor="accent1"/>
          <w:left w:val="single" w:sz="8" w:space="0" w:color="649EA5" w:themeColor="accent1"/>
          <w:bottom w:val="single" w:sz="8" w:space="0" w:color="649EA5" w:themeColor="accent1"/>
          <w:right w:val="single" w:sz="8" w:space="0" w:color="649EA5" w:themeColor="accent1"/>
          <w:insideV w:val="single" w:sz="8" w:space="0" w:color="649EA5" w:themeColor="accent1"/>
        </w:tcBorders>
        <w:shd w:val="clear" w:color="auto" w:fill="D8E7E8" w:themeFill="accent1" w:themeFillTint="3F"/>
      </w:tcPr>
    </w:tblStylePr>
    <w:tblStylePr w:type="band2Horz">
      <w:tblPr/>
      <w:tcPr>
        <w:tcBorders>
          <w:top w:val="single" w:sz="8" w:space="0" w:color="649EA5" w:themeColor="accent1"/>
          <w:left w:val="single" w:sz="8" w:space="0" w:color="649EA5" w:themeColor="accent1"/>
          <w:bottom w:val="single" w:sz="8" w:space="0" w:color="649EA5" w:themeColor="accent1"/>
          <w:right w:val="single" w:sz="8" w:space="0" w:color="649EA5" w:themeColor="accent1"/>
          <w:insideV w:val="single" w:sz="8" w:space="0" w:color="649EA5" w:themeColor="accent1"/>
        </w:tcBorders>
      </w:tcPr>
    </w:tblStylePr>
  </w:style>
  <w:style w:type="table" w:styleId="LightGrid-Accent2">
    <w:name w:val="Light Grid Accent 2"/>
    <w:basedOn w:val="TableNormal"/>
    <w:uiPriority w:val="62"/>
    <w:semiHidden/>
    <w:unhideWhenUsed/>
    <w:rsid w:val="002C17A3"/>
    <w:rPr>
      <w:sz w:val="20"/>
      <w:szCs w:val="20"/>
    </w:rPr>
    <w:tblPr>
      <w:tblStyleRowBandSize w:val="1"/>
      <w:tblStyleColBandSize w:val="1"/>
      <w:tblBorders>
        <w:top w:val="single" w:sz="8" w:space="0" w:color="4B673B" w:themeColor="accent2"/>
        <w:left w:val="single" w:sz="8" w:space="0" w:color="4B673B" w:themeColor="accent2"/>
        <w:bottom w:val="single" w:sz="8" w:space="0" w:color="4B673B" w:themeColor="accent2"/>
        <w:right w:val="single" w:sz="8" w:space="0" w:color="4B673B" w:themeColor="accent2"/>
        <w:insideH w:val="single" w:sz="8" w:space="0" w:color="4B673B" w:themeColor="accent2"/>
        <w:insideV w:val="single" w:sz="8" w:space="0" w:color="4B67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73B" w:themeColor="accent2"/>
          <w:left w:val="single" w:sz="8" w:space="0" w:color="4B673B" w:themeColor="accent2"/>
          <w:bottom w:val="single" w:sz="18" w:space="0" w:color="4B673B" w:themeColor="accent2"/>
          <w:right w:val="single" w:sz="8" w:space="0" w:color="4B673B" w:themeColor="accent2"/>
          <w:insideH w:val="nil"/>
          <w:insideV w:val="single" w:sz="8" w:space="0" w:color="4B67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73B" w:themeColor="accent2"/>
          <w:left w:val="single" w:sz="8" w:space="0" w:color="4B673B" w:themeColor="accent2"/>
          <w:bottom w:val="single" w:sz="8" w:space="0" w:color="4B673B" w:themeColor="accent2"/>
          <w:right w:val="single" w:sz="8" w:space="0" w:color="4B673B" w:themeColor="accent2"/>
          <w:insideH w:val="nil"/>
          <w:insideV w:val="single" w:sz="8" w:space="0" w:color="4B67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73B" w:themeColor="accent2"/>
          <w:left w:val="single" w:sz="8" w:space="0" w:color="4B673B" w:themeColor="accent2"/>
          <w:bottom w:val="single" w:sz="8" w:space="0" w:color="4B673B" w:themeColor="accent2"/>
          <w:right w:val="single" w:sz="8" w:space="0" w:color="4B673B" w:themeColor="accent2"/>
        </w:tcBorders>
      </w:tcPr>
    </w:tblStylePr>
    <w:tblStylePr w:type="band1Vert">
      <w:tblPr/>
      <w:tcPr>
        <w:tcBorders>
          <w:top w:val="single" w:sz="8" w:space="0" w:color="4B673B" w:themeColor="accent2"/>
          <w:left w:val="single" w:sz="8" w:space="0" w:color="4B673B" w:themeColor="accent2"/>
          <w:bottom w:val="single" w:sz="8" w:space="0" w:color="4B673B" w:themeColor="accent2"/>
          <w:right w:val="single" w:sz="8" w:space="0" w:color="4B673B" w:themeColor="accent2"/>
        </w:tcBorders>
        <w:shd w:val="clear" w:color="auto" w:fill="D0DFC8" w:themeFill="accent2" w:themeFillTint="3F"/>
      </w:tcPr>
    </w:tblStylePr>
    <w:tblStylePr w:type="band1Horz">
      <w:tblPr/>
      <w:tcPr>
        <w:tcBorders>
          <w:top w:val="single" w:sz="8" w:space="0" w:color="4B673B" w:themeColor="accent2"/>
          <w:left w:val="single" w:sz="8" w:space="0" w:color="4B673B" w:themeColor="accent2"/>
          <w:bottom w:val="single" w:sz="8" w:space="0" w:color="4B673B" w:themeColor="accent2"/>
          <w:right w:val="single" w:sz="8" w:space="0" w:color="4B673B" w:themeColor="accent2"/>
          <w:insideV w:val="single" w:sz="8" w:space="0" w:color="4B673B" w:themeColor="accent2"/>
        </w:tcBorders>
        <w:shd w:val="clear" w:color="auto" w:fill="D0DFC8" w:themeFill="accent2" w:themeFillTint="3F"/>
      </w:tcPr>
    </w:tblStylePr>
    <w:tblStylePr w:type="band2Horz">
      <w:tblPr/>
      <w:tcPr>
        <w:tcBorders>
          <w:top w:val="single" w:sz="8" w:space="0" w:color="4B673B" w:themeColor="accent2"/>
          <w:left w:val="single" w:sz="8" w:space="0" w:color="4B673B" w:themeColor="accent2"/>
          <w:bottom w:val="single" w:sz="8" w:space="0" w:color="4B673B" w:themeColor="accent2"/>
          <w:right w:val="single" w:sz="8" w:space="0" w:color="4B673B" w:themeColor="accent2"/>
          <w:insideV w:val="single" w:sz="8" w:space="0" w:color="4B673B" w:themeColor="accent2"/>
        </w:tcBorders>
      </w:tcPr>
    </w:tblStylePr>
  </w:style>
  <w:style w:type="table" w:styleId="LightGrid-Accent3">
    <w:name w:val="Light Grid Accent 3"/>
    <w:basedOn w:val="TableNormal"/>
    <w:uiPriority w:val="62"/>
    <w:semiHidden/>
    <w:unhideWhenUsed/>
    <w:rsid w:val="002C17A3"/>
    <w:rPr>
      <w:sz w:val="20"/>
      <w:szCs w:val="20"/>
    </w:rPr>
    <w:tblPr>
      <w:tblStyleRowBandSize w:val="1"/>
      <w:tblStyleColBandSize w:val="1"/>
      <w:tblBorders>
        <w:top w:val="single" w:sz="8" w:space="0" w:color="8EA189" w:themeColor="accent3"/>
        <w:left w:val="single" w:sz="8" w:space="0" w:color="8EA189" w:themeColor="accent3"/>
        <w:bottom w:val="single" w:sz="8" w:space="0" w:color="8EA189" w:themeColor="accent3"/>
        <w:right w:val="single" w:sz="8" w:space="0" w:color="8EA189" w:themeColor="accent3"/>
        <w:insideH w:val="single" w:sz="8" w:space="0" w:color="8EA189" w:themeColor="accent3"/>
        <w:insideV w:val="single" w:sz="8" w:space="0" w:color="8EA18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A189" w:themeColor="accent3"/>
          <w:left w:val="single" w:sz="8" w:space="0" w:color="8EA189" w:themeColor="accent3"/>
          <w:bottom w:val="single" w:sz="18" w:space="0" w:color="8EA189" w:themeColor="accent3"/>
          <w:right w:val="single" w:sz="8" w:space="0" w:color="8EA189" w:themeColor="accent3"/>
          <w:insideH w:val="nil"/>
          <w:insideV w:val="single" w:sz="8" w:space="0" w:color="8EA18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A189" w:themeColor="accent3"/>
          <w:left w:val="single" w:sz="8" w:space="0" w:color="8EA189" w:themeColor="accent3"/>
          <w:bottom w:val="single" w:sz="8" w:space="0" w:color="8EA189" w:themeColor="accent3"/>
          <w:right w:val="single" w:sz="8" w:space="0" w:color="8EA189" w:themeColor="accent3"/>
          <w:insideH w:val="nil"/>
          <w:insideV w:val="single" w:sz="8" w:space="0" w:color="8EA18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A189" w:themeColor="accent3"/>
          <w:left w:val="single" w:sz="8" w:space="0" w:color="8EA189" w:themeColor="accent3"/>
          <w:bottom w:val="single" w:sz="8" w:space="0" w:color="8EA189" w:themeColor="accent3"/>
          <w:right w:val="single" w:sz="8" w:space="0" w:color="8EA189" w:themeColor="accent3"/>
        </w:tcBorders>
      </w:tcPr>
    </w:tblStylePr>
    <w:tblStylePr w:type="band1Vert">
      <w:tblPr/>
      <w:tcPr>
        <w:tcBorders>
          <w:top w:val="single" w:sz="8" w:space="0" w:color="8EA189" w:themeColor="accent3"/>
          <w:left w:val="single" w:sz="8" w:space="0" w:color="8EA189" w:themeColor="accent3"/>
          <w:bottom w:val="single" w:sz="8" w:space="0" w:color="8EA189" w:themeColor="accent3"/>
          <w:right w:val="single" w:sz="8" w:space="0" w:color="8EA189" w:themeColor="accent3"/>
        </w:tcBorders>
        <w:shd w:val="clear" w:color="auto" w:fill="E2E7E1" w:themeFill="accent3" w:themeFillTint="3F"/>
      </w:tcPr>
    </w:tblStylePr>
    <w:tblStylePr w:type="band1Horz">
      <w:tblPr/>
      <w:tcPr>
        <w:tcBorders>
          <w:top w:val="single" w:sz="8" w:space="0" w:color="8EA189" w:themeColor="accent3"/>
          <w:left w:val="single" w:sz="8" w:space="0" w:color="8EA189" w:themeColor="accent3"/>
          <w:bottom w:val="single" w:sz="8" w:space="0" w:color="8EA189" w:themeColor="accent3"/>
          <w:right w:val="single" w:sz="8" w:space="0" w:color="8EA189" w:themeColor="accent3"/>
          <w:insideV w:val="single" w:sz="8" w:space="0" w:color="8EA189" w:themeColor="accent3"/>
        </w:tcBorders>
        <w:shd w:val="clear" w:color="auto" w:fill="E2E7E1" w:themeFill="accent3" w:themeFillTint="3F"/>
      </w:tcPr>
    </w:tblStylePr>
    <w:tblStylePr w:type="band2Horz">
      <w:tblPr/>
      <w:tcPr>
        <w:tcBorders>
          <w:top w:val="single" w:sz="8" w:space="0" w:color="8EA189" w:themeColor="accent3"/>
          <w:left w:val="single" w:sz="8" w:space="0" w:color="8EA189" w:themeColor="accent3"/>
          <w:bottom w:val="single" w:sz="8" w:space="0" w:color="8EA189" w:themeColor="accent3"/>
          <w:right w:val="single" w:sz="8" w:space="0" w:color="8EA189" w:themeColor="accent3"/>
          <w:insideV w:val="single" w:sz="8" w:space="0" w:color="8EA189" w:themeColor="accent3"/>
        </w:tcBorders>
      </w:tcPr>
    </w:tblStylePr>
  </w:style>
  <w:style w:type="table" w:styleId="LightGrid-Accent4">
    <w:name w:val="Light Grid Accent 4"/>
    <w:basedOn w:val="TableNormal"/>
    <w:uiPriority w:val="62"/>
    <w:semiHidden/>
    <w:unhideWhenUsed/>
    <w:rsid w:val="002C17A3"/>
    <w:rPr>
      <w:sz w:val="20"/>
      <w:szCs w:val="20"/>
    </w:rPr>
    <w:tblPr>
      <w:tblStyleRowBandSize w:val="1"/>
      <w:tblStyleColBandSize w:val="1"/>
      <w:tblBorders>
        <w:top w:val="single" w:sz="8" w:space="0" w:color="C44A2C" w:themeColor="accent4"/>
        <w:left w:val="single" w:sz="8" w:space="0" w:color="C44A2C" w:themeColor="accent4"/>
        <w:bottom w:val="single" w:sz="8" w:space="0" w:color="C44A2C" w:themeColor="accent4"/>
        <w:right w:val="single" w:sz="8" w:space="0" w:color="C44A2C" w:themeColor="accent4"/>
        <w:insideH w:val="single" w:sz="8" w:space="0" w:color="C44A2C" w:themeColor="accent4"/>
        <w:insideV w:val="single" w:sz="8" w:space="0" w:color="C44A2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44A2C" w:themeColor="accent4"/>
          <w:left w:val="single" w:sz="8" w:space="0" w:color="C44A2C" w:themeColor="accent4"/>
          <w:bottom w:val="single" w:sz="18" w:space="0" w:color="C44A2C" w:themeColor="accent4"/>
          <w:right w:val="single" w:sz="8" w:space="0" w:color="C44A2C" w:themeColor="accent4"/>
          <w:insideH w:val="nil"/>
          <w:insideV w:val="single" w:sz="8" w:space="0" w:color="C44A2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44A2C" w:themeColor="accent4"/>
          <w:left w:val="single" w:sz="8" w:space="0" w:color="C44A2C" w:themeColor="accent4"/>
          <w:bottom w:val="single" w:sz="8" w:space="0" w:color="C44A2C" w:themeColor="accent4"/>
          <w:right w:val="single" w:sz="8" w:space="0" w:color="C44A2C" w:themeColor="accent4"/>
          <w:insideH w:val="nil"/>
          <w:insideV w:val="single" w:sz="8" w:space="0" w:color="C44A2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44A2C" w:themeColor="accent4"/>
          <w:left w:val="single" w:sz="8" w:space="0" w:color="C44A2C" w:themeColor="accent4"/>
          <w:bottom w:val="single" w:sz="8" w:space="0" w:color="C44A2C" w:themeColor="accent4"/>
          <w:right w:val="single" w:sz="8" w:space="0" w:color="C44A2C" w:themeColor="accent4"/>
        </w:tcBorders>
      </w:tcPr>
    </w:tblStylePr>
    <w:tblStylePr w:type="band1Vert">
      <w:tblPr/>
      <w:tcPr>
        <w:tcBorders>
          <w:top w:val="single" w:sz="8" w:space="0" w:color="C44A2C" w:themeColor="accent4"/>
          <w:left w:val="single" w:sz="8" w:space="0" w:color="C44A2C" w:themeColor="accent4"/>
          <w:bottom w:val="single" w:sz="8" w:space="0" w:color="C44A2C" w:themeColor="accent4"/>
          <w:right w:val="single" w:sz="8" w:space="0" w:color="C44A2C" w:themeColor="accent4"/>
        </w:tcBorders>
        <w:shd w:val="clear" w:color="auto" w:fill="F2D0C8" w:themeFill="accent4" w:themeFillTint="3F"/>
      </w:tcPr>
    </w:tblStylePr>
    <w:tblStylePr w:type="band1Horz">
      <w:tblPr/>
      <w:tcPr>
        <w:tcBorders>
          <w:top w:val="single" w:sz="8" w:space="0" w:color="C44A2C" w:themeColor="accent4"/>
          <w:left w:val="single" w:sz="8" w:space="0" w:color="C44A2C" w:themeColor="accent4"/>
          <w:bottom w:val="single" w:sz="8" w:space="0" w:color="C44A2C" w:themeColor="accent4"/>
          <w:right w:val="single" w:sz="8" w:space="0" w:color="C44A2C" w:themeColor="accent4"/>
          <w:insideV w:val="single" w:sz="8" w:space="0" w:color="C44A2C" w:themeColor="accent4"/>
        </w:tcBorders>
        <w:shd w:val="clear" w:color="auto" w:fill="F2D0C8" w:themeFill="accent4" w:themeFillTint="3F"/>
      </w:tcPr>
    </w:tblStylePr>
    <w:tblStylePr w:type="band2Horz">
      <w:tblPr/>
      <w:tcPr>
        <w:tcBorders>
          <w:top w:val="single" w:sz="8" w:space="0" w:color="C44A2C" w:themeColor="accent4"/>
          <w:left w:val="single" w:sz="8" w:space="0" w:color="C44A2C" w:themeColor="accent4"/>
          <w:bottom w:val="single" w:sz="8" w:space="0" w:color="C44A2C" w:themeColor="accent4"/>
          <w:right w:val="single" w:sz="8" w:space="0" w:color="C44A2C" w:themeColor="accent4"/>
          <w:insideV w:val="single" w:sz="8" w:space="0" w:color="C44A2C" w:themeColor="accent4"/>
        </w:tcBorders>
      </w:tcPr>
    </w:tblStylePr>
  </w:style>
  <w:style w:type="table" w:styleId="LightGrid-Accent5">
    <w:name w:val="Light Grid Accent 5"/>
    <w:basedOn w:val="TableNormal"/>
    <w:uiPriority w:val="62"/>
    <w:semiHidden/>
    <w:unhideWhenUsed/>
    <w:rsid w:val="002C17A3"/>
    <w:rPr>
      <w:sz w:val="20"/>
      <w:szCs w:val="20"/>
    </w:rPr>
    <w:tblPr>
      <w:tblStyleRowBandSize w:val="1"/>
      <w:tblStyleColBandSize w:val="1"/>
      <w:tblBorders>
        <w:top w:val="single" w:sz="8" w:space="0" w:color="C3996A" w:themeColor="accent5"/>
        <w:left w:val="single" w:sz="8" w:space="0" w:color="C3996A" w:themeColor="accent5"/>
        <w:bottom w:val="single" w:sz="8" w:space="0" w:color="C3996A" w:themeColor="accent5"/>
        <w:right w:val="single" w:sz="8" w:space="0" w:color="C3996A" w:themeColor="accent5"/>
        <w:insideH w:val="single" w:sz="8" w:space="0" w:color="C3996A" w:themeColor="accent5"/>
        <w:insideV w:val="single" w:sz="8" w:space="0" w:color="C3996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996A" w:themeColor="accent5"/>
          <w:left w:val="single" w:sz="8" w:space="0" w:color="C3996A" w:themeColor="accent5"/>
          <w:bottom w:val="single" w:sz="18" w:space="0" w:color="C3996A" w:themeColor="accent5"/>
          <w:right w:val="single" w:sz="8" w:space="0" w:color="C3996A" w:themeColor="accent5"/>
          <w:insideH w:val="nil"/>
          <w:insideV w:val="single" w:sz="8" w:space="0" w:color="C3996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996A" w:themeColor="accent5"/>
          <w:left w:val="single" w:sz="8" w:space="0" w:color="C3996A" w:themeColor="accent5"/>
          <w:bottom w:val="single" w:sz="8" w:space="0" w:color="C3996A" w:themeColor="accent5"/>
          <w:right w:val="single" w:sz="8" w:space="0" w:color="C3996A" w:themeColor="accent5"/>
          <w:insideH w:val="nil"/>
          <w:insideV w:val="single" w:sz="8" w:space="0" w:color="C3996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996A" w:themeColor="accent5"/>
          <w:left w:val="single" w:sz="8" w:space="0" w:color="C3996A" w:themeColor="accent5"/>
          <w:bottom w:val="single" w:sz="8" w:space="0" w:color="C3996A" w:themeColor="accent5"/>
          <w:right w:val="single" w:sz="8" w:space="0" w:color="C3996A" w:themeColor="accent5"/>
        </w:tcBorders>
      </w:tcPr>
    </w:tblStylePr>
    <w:tblStylePr w:type="band1Vert">
      <w:tblPr/>
      <w:tcPr>
        <w:tcBorders>
          <w:top w:val="single" w:sz="8" w:space="0" w:color="C3996A" w:themeColor="accent5"/>
          <w:left w:val="single" w:sz="8" w:space="0" w:color="C3996A" w:themeColor="accent5"/>
          <w:bottom w:val="single" w:sz="8" w:space="0" w:color="C3996A" w:themeColor="accent5"/>
          <w:right w:val="single" w:sz="8" w:space="0" w:color="C3996A" w:themeColor="accent5"/>
        </w:tcBorders>
        <w:shd w:val="clear" w:color="auto" w:fill="F0E5DA" w:themeFill="accent5" w:themeFillTint="3F"/>
      </w:tcPr>
    </w:tblStylePr>
    <w:tblStylePr w:type="band1Horz">
      <w:tblPr/>
      <w:tcPr>
        <w:tcBorders>
          <w:top w:val="single" w:sz="8" w:space="0" w:color="C3996A" w:themeColor="accent5"/>
          <w:left w:val="single" w:sz="8" w:space="0" w:color="C3996A" w:themeColor="accent5"/>
          <w:bottom w:val="single" w:sz="8" w:space="0" w:color="C3996A" w:themeColor="accent5"/>
          <w:right w:val="single" w:sz="8" w:space="0" w:color="C3996A" w:themeColor="accent5"/>
          <w:insideV w:val="single" w:sz="8" w:space="0" w:color="C3996A" w:themeColor="accent5"/>
        </w:tcBorders>
        <w:shd w:val="clear" w:color="auto" w:fill="F0E5DA" w:themeFill="accent5" w:themeFillTint="3F"/>
      </w:tcPr>
    </w:tblStylePr>
    <w:tblStylePr w:type="band2Horz">
      <w:tblPr/>
      <w:tcPr>
        <w:tcBorders>
          <w:top w:val="single" w:sz="8" w:space="0" w:color="C3996A" w:themeColor="accent5"/>
          <w:left w:val="single" w:sz="8" w:space="0" w:color="C3996A" w:themeColor="accent5"/>
          <w:bottom w:val="single" w:sz="8" w:space="0" w:color="C3996A" w:themeColor="accent5"/>
          <w:right w:val="single" w:sz="8" w:space="0" w:color="C3996A" w:themeColor="accent5"/>
          <w:insideV w:val="single" w:sz="8" w:space="0" w:color="C3996A" w:themeColor="accent5"/>
        </w:tcBorders>
      </w:tcPr>
    </w:tblStylePr>
  </w:style>
  <w:style w:type="table" w:styleId="LightGrid-Accent6">
    <w:name w:val="Light Grid Accent 6"/>
    <w:basedOn w:val="TableNormal"/>
    <w:uiPriority w:val="62"/>
    <w:semiHidden/>
    <w:unhideWhenUsed/>
    <w:rsid w:val="002C17A3"/>
    <w:rPr>
      <w:sz w:val="20"/>
      <w:szCs w:val="20"/>
    </w:rPr>
    <w:tblPr>
      <w:tblStyleRowBandSize w:val="1"/>
      <w:tblStyleColBandSize w:val="1"/>
      <w:tblBorders>
        <w:top w:val="single" w:sz="8" w:space="0" w:color="B1B3B3" w:themeColor="accent6"/>
        <w:left w:val="single" w:sz="8" w:space="0" w:color="B1B3B3" w:themeColor="accent6"/>
        <w:bottom w:val="single" w:sz="8" w:space="0" w:color="B1B3B3" w:themeColor="accent6"/>
        <w:right w:val="single" w:sz="8" w:space="0" w:color="B1B3B3" w:themeColor="accent6"/>
        <w:insideH w:val="single" w:sz="8" w:space="0" w:color="B1B3B3" w:themeColor="accent6"/>
        <w:insideV w:val="single" w:sz="8" w:space="0" w:color="B1B3B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3B3" w:themeColor="accent6"/>
          <w:left w:val="single" w:sz="8" w:space="0" w:color="B1B3B3" w:themeColor="accent6"/>
          <w:bottom w:val="single" w:sz="18" w:space="0" w:color="B1B3B3" w:themeColor="accent6"/>
          <w:right w:val="single" w:sz="8" w:space="0" w:color="B1B3B3" w:themeColor="accent6"/>
          <w:insideH w:val="nil"/>
          <w:insideV w:val="single" w:sz="8" w:space="0" w:color="B1B3B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3B3" w:themeColor="accent6"/>
          <w:left w:val="single" w:sz="8" w:space="0" w:color="B1B3B3" w:themeColor="accent6"/>
          <w:bottom w:val="single" w:sz="8" w:space="0" w:color="B1B3B3" w:themeColor="accent6"/>
          <w:right w:val="single" w:sz="8" w:space="0" w:color="B1B3B3" w:themeColor="accent6"/>
          <w:insideH w:val="nil"/>
          <w:insideV w:val="single" w:sz="8" w:space="0" w:color="B1B3B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3B3" w:themeColor="accent6"/>
          <w:left w:val="single" w:sz="8" w:space="0" w:color="B1B3B3" w:themeColor="accent6"/>
          <w:bottom w:val="single" w:sz="8" w:space="0" w:color="B1B3B3" w:themeColor="accent6"/>
          <w:right w:val="single" w:sz="8" w:space="0" w:color="B1B3B3" w:themeColor="accent6"/>
        </w:tcBorders>
      </w:tcPr>
    </w:tblStylePr>
    <w:tblStylePr w:type="band1Vert">
      <w:tblPr/>
      <w:tcPr>
        <w:tcBorders>
          <w:top w:val="single" w:sz="8" w:space="0" w:color="B1B3B3" w:themeColor="accent6"/>
          <w:left w:val="single" w:sz="8" w:space="0" w:color="B1B3B3" w:themeColor="accent6"/>
          <w:bottom w:val="single" w:sz="8" w:space="0" w:color="B1B3B3" w:themeColor="accent6"/>
          <w:right w:val="single" w:sz="8" w:space="0" w:color="B1B3B3" w:themeColor="accent6"/>
        </w:tcBorders>
        <w:shd w:val="clear" w:color="auto" w:fill="EBECEC" w:themeFill="accent6" w:themeFillTint="3F"/>
      </w:tcPr>
    </w:tblStylePr>
    <w:tblStylePr w:type="band1Horz">
      <w:tblPr/>
      <w:tcPr>
        <w:tcBorders>
          <w:top w:val="single" w:sz="8" w:space="0" w:color="B1B3B3" w:themeColor="accent6"/>
          <w:left w:val="single" w:sz="8" w:space="0" w:color="B1B3B3" w:themeColor="accent6"/>
          <w:bottom w:val="single" w:sz="8" w:space="0" w:color="B1B3B3" w:themeColor="accent6"/>
          <w:right w:val="single" w:sz="8" w:space="0" w:color="B1B3B3" w:themeColor="accent6"/>
          <w:insideV w:val="single" w:sz="8" w:space="0" w:color="B1B3B3" w:themeColor="accent6"/>
        </w:tcBorders>
        <w:shd w:val="clear" w:color="auto" w:fill="EBECEC" w:themeFill="accent6" w:themeFillTint="3F"/>
      </w:tcPr>
    </w:tblStylePr>
    <w:tblStylePr w:type="band2Horz">
      <w:tblPr/>
      <w:tcPr>
        <w:tcBorders>
          <w:top w:val="single" w:sz="8" w:space="0" w:color="B1B3B3" w:themeColor="accent6"/>
          <w:left w:val="single" w:sz="8" w:space="0" w:color="B1B3B3" w:themeColor="accent6"/>
          <w:bottom w:val="single" w:sz="8" w:space="0" w:color="B1B3B3" w:themeColor="accent6"/>
          <w:right w:val="single" w:sz="8" w:space="0" w:color="B1B3B3" w:themeColor="accent6"/>
          <w:insideV w:val="single" w:sz="8" w:space="0" w:color="B1B3B3" w:themeColor="accent6"/>
        </w:tcBorders>
      </w:tcPr>
    </w:tblStylePr>
  </w:style>
  <w:style w:type="table" w:styleId="LightList">
    <w:name w:val="Light List"/>
    <w:basedOn w:val="TableNormal"/>
    <w:uiPriority w:val="61"/>
    <w:semiHidden/>
    <w:unhideWhenUsed/>
    <w:rsid w:val="002C17A3"/>
    <w:rPr>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C17A3"/>
    <w:rPr>
      <w:sz w:val="20"/>
      <w:szCs w:val="20"/>
    </w:rPr>
    <w:tblPr>
      <w:tblStyleRowBandSize w:val="1"/>
      <w:tblStyleColBandSize w:val="1"/>
      <w:tblBorders>
        <w:top w:val="single" w:sz="8" w:space="0" w:color="649EA5" w:themeColor="accent1"/>
        <w:left w:val="single" w:sz="8" w:space="0" w:color="649EA5" w:themeColor="accent1"/>
        <w:bottom w:val="single" w:sz="8" w:space="0" w:color="649EA5" w:themeColor="accent1"/>
        <w:right w:val="single" w:sz="8" w:space="0" w:color="649EA5" w:themeColor="accent1"/>
      </w:tblBorders>
    </w:tblPr>
    <w:tblStylePr w:type="firstRow">
      <w:pPr>
        <w:spacing w:before="0" w:after="0" w:line="240" w:lineRule="auto"/>
      </w:pPr>
      <w:rPr>
        <w:b/>
        <w:bCs/>
        <w:color w:val="FFFFFF" w:themeColor="background1"/>
      </w:rPr>
      <w:tblPr/>
      <w:tcPr>
        <w:shd w:val="clear" w:color="auto" w:fill="649EA5" w:themeFill="accent1"/>
      </w:tcPr>
    </w:tblStylePr>
    <w:tblStylePr w:type="lastRow">
      <w:pPr>
        <w:spacing w:before="0" w:after="0" w:line="240" w:lineRule="auto"/>
      </w:pPr>
      <w:rPr>
        <w:b/>
        <w:bCs/>
      </w:rPr>
      <w:tblPr/>
      <w:tcPr>
        <w:tcBorders>
          <w:top w:val="double" w:sz="6" w:space="0" w:color="649EA5" w:themeColor="accent1"/>
          <w:left w:val="single" w:sz="8" w:space="0" w:color="649EA5" w:themeColor="accent1"/>
          <w:bottom w:val="single" w:sz="8" w:space="0" w:color="649EA5" w:themeColor="accent1"/>
          <w:right w:val="single" w:sz="8" w:space="0" w:color="649EA5" w:themeColor="accent1"/>
        </w:tcBorders>
      </w:tcPr>
    </w:tblStylePr>
    <w:tblStylePr w:type="firstCol">
      <w:rPr>
        <w:b/>
        <w:bCs/>
      </w:rPr>
    </w:tblStylePr>
    <w:tblStylePr w:type="lastCol">
      <w:rPr>
        <w:b/>
        <w:bCs/>
      </w:rPr>
    </w:tblStylePr>
    <w:tblStylePr w:type="band1Vert">
      <w:tblPr/>
      <w:tcPr>
        <w:tcBorders>
          <w:top w:val="single" w:sz="8" w:space="0" w:color="649EA5" w:themeColor="accent1"/>
          <w:left w:val="single" w:sz="8" w:space="0" w:color="649EA5" w:themeColor="accent1"/>
          <w:bottom w:val="single" w:sz="8" w:space="0" w:color="649EA5" w:themeColor="accent1"/>
          <w:right w:val="single" w:sz="8" w:space="0" w:color="649EA5" w:themeColor="accent1"/>
        </w:tcBorders>
      </w:tcPr>
    </w:tblStylePr>
    <w:tblStylePr w:type="band1Horz">
      <w:tblPr/>
      <w:tcPr>
        <w:tcBorders>
          <w:top w:val="single" w:sz="8" w:space="0" w:color="649EA5" w:themeColor="accent1"/>
          <w:left w:val="single" w:sz="8" w:space="0" w:color="649EA5" w:themeColor="accent1"/>
          <w:bottom w:val="single" w:sz="8" w:space="0" w:color="649EA5" w:themeColor="accent1"/>
          <w:right w:val="single" w:sz="8" w:space="0" w:color="649EA5" w:themeColor="accent1"/>
        </w:tcBorders>
      </w:tcPr>
    </w:tblStylePr>
  </w:style>
  <w:style w:type="table" w:styleId="LightList-Accent2">
    <w:name w:val="Light List Accent 2"/>
    <w:basedOn w:val="TableNormal"/>
    <w:uiPriority w:val="61"/>
    <w:semiHidden/>
    <w:unhideWhenUsed/>
    <w:rsid w:val="002C17A3"/>
    <w:rPr>
      <w:sz w:val="20"/>
      <w:szCs w:val="20"/>
    </w:rPr>
    <w:tblPr>
      <w:tblStyleRowBandSize w:val="1"/>
      <w:tblStyleColBandSize w:val="1"/>
      <w:tblBorders>
        <w:top w:val="single" w:sz="8" w:space="0" w:color="4B673B" w:themeColor="accent2"/>
        <w:left w:val="single" w:sz="8" w:space="0" w:color="4B673B" w:themeColor="accent2"/>
        <w:bottom w:val="single" w:sz="8" w:space="0" w:color="4B673B" w:themeColor="accent2"/>
        <w:right w:val="single" w:sz="8" w:space="0" w:color="4B673B" w:themeColor="accent2"/>
      </w:tblBorders>
    </w:tblPr>
    <w:tblStylePr w:type="firstRow">
      <w:pPr>
        <w:spacing w:before="0" w:after="0" w:line="240" w:lineRule="auto"/>
      </w:pPr>
      <w:rPr>
        <w:b/>
        <w:bCs/>
        <w:color w:val="FFFFFF" w:themeColor="background1"/>
      </w:rPr>
      <w:tblPr/>
      <w:tcPr>
        <w:shd w:val="clear" w:color="auto" w:fill="4B673B" w:themeFill="accent2"/>
      </w:tcPr>
    </w:tblStylePr>
    <w:tblStylePr w:type="lastRow">
      <w:pPr>
        <w:spacing w:before="0" w:after="0" w:line="240" w:lineRule="auto"/>
      </w:pPr>
      <w:rPr>
        <w:b/>
        <w:bCs/>
      </w:rPr>
      <w:tblPr/>
      <w:tcPr>
        <w:tcBorders>
          <w:top w:val="double" w:sz="6" w:space="0" w:color="4B673B" w:themeColor="accent2"/>
          <w:left w:val="single" w:sz="8" w:space="0" w:color="4B673B" w:themeColor="accent2"/>
          <w:bottom w:val="single" w:sz="8" w:space="0" w:color="4B673B" w:themeColor="accent2"/>
          <w:right w:val="single" w:sz="8" w:space="0" w:color="4B673B" w:themeColor="accent2"/>
        </w:tcBorders>
      </w:tcPr>
    </w:tblStylePr>
    <w:tblStylePr w:type="firstCol">
      <w:rPr>
        <w:b/>
        <w:bCs/>
      </w:rPr>
    </w:tblStylePr>
    <w:tblStylePr w:type="lastCol">
      <w:rPr>
        <w:b/>
        <w:bCs/>
      </w:rPr>
    </w:tblStylePr>
    <w:tblStylePr w:type="band1Vert">
      <w:tblPr/>
      <w:tcPr>
        <w:tcBorders>
          <w:top w:val="single" w:sz="8" w:space="0" w:color="4B673B" w:themeColor="accent2"/>
          <w:left w:val="single" w:sz="8" w:space="0" w:color="4B673B" w:themeColor="accent2"/>
          <w:bottom w:val="single" w:sz="8" w:space="0" w:color="4B673B" w:themeColor="accent2"/>
          <w:right w:val="single" w:sz="8" w:space="0" w:color="4B673B" w:themeColor="accent2"/>
        </w:tcBorders>
      </w:tcPr>
    </w:tblStylePr>
    <w:tblStylePr w:type="band1Horz">
      <w:tblPr/>
      <w:tcPr>
        <w:tcBorders>
          <w:top w:val="single" w:sz="8" w:space="0" w:color="4B673B" w:themeColor="accent2"/>
          <w:left w:val="single" w:sz="8" w:space="0" w:color="4B673B" w:themeColor="accent2"/>
          <w:bottom w:val="single" w:sz="8" w:space="0" w:color="4B673B" w:themeColor="accent2"/>
          <w:right w:val="single" w:sz="8" w:space="0" w:color="4B673B" w:themeColor="accent2"/>
        </w:tcBorders>
      </w:tcPr>
    </w:tblStylePr>
  </w:style>
  <w:style w:type="table" w:styleId="LightList-Accent3">
    <w:name w:val="Light List Accent 3"/>
    <w:basedOn w:val="TableNormal"/>
    <w:uiPriority w:val="61"/>
    <w:semiHidden/>
    <w:unhideWhenUsed/>
    <w:rsid w:val="002C17A3"/>
    <w:rPr>
      <w:sz w:val="20"/>
      <w:szCs w:val="20"/>
    </w:rPr>
    <w:tblPr>
      <w:tblStyleRowBandSize w:val="1"/>
      <w:tblStyleColBandSize w:val="1"/>
      <w:tblBorders>
        <w:top w:val="single" w:sz="8" w:space="0" w:color="8EA189" w:themeColor="accent3"/>
        <w:left w:val="single" w:sz="8" w:space="0" w:color="8EA189" w:themeColor="accent3"/>
        <w:bottom w:val="single" w:sz="8" w:space="0" w:color="8EA189" w:themeColor="accent3"/>
        <w:right w:val="single" w:sz="8" w:space="0" w:color="8EA189" w:themeColor="accent3"/>
      </w:tblBorders>
    </w:tblPr>
    <w:tblStylePr w:type="firstRow">
      <w:pPr>
        <w:spacing w:before="0" w:after="0" w:line="240" w:lineRule="auto"/>
      </w:pPr>
      <w:rPr>
        <w:b/>
        <w:bCs/>
        <w:color w:val="FFFFFF" w:themeColor="background1"/>
      </w:rPr>
      <w:tblPr/>
      <w:tcPr>
        <w:shd w:val="clear" w:color="auto" w:fill="8EA189" w:themeFill="accent3"/>
      </w:tcPr>
    </w:tblStylePr>
    <w:tblStylePr w:type="lastRow">
      <w:pPr>
        <w:spacing w:before="0" w:after="0" w:line="240" w:lineRule="auto"/>
      </w:pPr>
      <w:rPr>
        <w:b/>
        <w:bCs/>
      </w:rPr>
      <w:tblPr/>
      <w:tcPr>
        <w:tcBorders>
          <w:top w:val="double" w:sz="6" w:space="0" w:color="8EA189" w:themeColor="accent3"/>
          <w:left w:val="single" w:sz="8" w:space="0" w:color="8EA189" w:themeColor="accent3"/>
          <w:bottom w:val="single" w:sz="8" w:space="0" w:color="8EA189" w:themeColor="accent3"/>
          <w:right w:val="single" w:sz="8" w:space="0" w:color="8EA189" w:themeColor="accent3"/>
        </w:tcBorders>
      </w:tcPr>
    </w:tblStylePr>
    <w:tblStylePr w:type="firstCol">
      <w:rPr>
        <w:b/>
        <w:bCs/>
      </w:rPr>
    </w:tblStylePr>
    <w:tblStylePr w:type="lastCol">
      <w:rPr>
        <w:b/>
        <w:bCs/>
      </w:rPr>
    </w:tblStylePr>
    <w:tblStylePr w:type="band1Vert">
      <w:tblPr/>
      <w:tcPr>
        <w:tcBorders>
          <w:top w:val="single" w:sz="8" w:space="0" w:color="8EA189" w:themeColor="accent3"/>
          <w:left w:val="single" w:sz="8" w:space="0" w:color="8EA189" w:themeColor="accent3"/>
          <w:bottom w:val="single" w:sz="8" w:space="0" w:color="8EA189" w:themeColor="accent3"/>
          <w:right w:val="single" w:sz="8" w:space="0" w:color="8EA189" w:themeColor="accent3"/>
        </w:tcBorders>
      </w:tcPr>
    </w:tblStylePr>
    <w:tblStylePr w:type="band1Horz">
      <w:tblPr/>
      <w:tcPr>
        <w:tcBorders>
          <w:top w:val="single" w:sz="8" w:space="0" w:color="8EA189" w:themeColor="accent3"/>
          <w:left w:val="single" w:sz="8" w:space="0" w:color="8EA189" w:themeColor="accent3"/>
          <w:bottom w:val="single" w:sz="8" w:space="0" w:color="8EA189" w:themeColor="accent3"/>
          <w:right w:val="single" w:sz="8" w:space="0" w:color="8EA189" w:themeColor="accent3"/>
        </w:tcBorders>
      </w:tcPr>
    </w:tblStylePr>
  </w:style>
  <w:style w:type="table" w:styleId="LightList-Accent4">
    <w:name w:val="Light List Accent 4"/>
    <w:basedOn w:val="TableNormal"/>
    <w:uiPriority w:val="61"/>
    <w:semiHidden/>
    <w:unhideWhenUsed/>
    <w:rsid w:val="002C17A3"/>
    <w:rPr>
      <w:sz w:val="20"/>
      <w:szCs w:val="20"/>
    </w:rPr>
    <w:tblPr>
      <w:tblStyleRowBandSize w:val="1"/>
      <w:tblStyleColBandSize w:val="1"/>
      <w:tblBorders>
        <w:top w:val="single" w:sz="8" w:space="0" w:color="C44A2C" w:themeColor="accent4"/>
        <w:left w:val="single" w:sz="8" w:space="0" w:color="C44A2C" w:themeColor="accent4"/>
        <w:bottom w:val="single" w:sz="8" w:space="0" w:color="C44A2C" w:themeColor="accent4"/>
        <w:right w:val="single" w:sz="8" w:space="0" w:color="C44A2C" w:themeColor="accent4"/>
      </w:tblBorders>
    </w:tblPr>
    <w:tblStylePr w:type="firstRow">
      <w:pPr>
        <w:spacing w:before="0" w:after="0" w:line="240" w:lineRule="auto"/>
      </w:pPr>
      <w:rPr>
        <w:b/>
        <w:bCs/>
        <w:color w:val="FFFFFF" w:themeColor="background1"/>
      </w:rPr>
      <w:tblPr/>
      <w:tcPr>
        <w:shd w:val="clear" w:color="auto" w:fill="C44A2C" w:themeFill="accent4"/>
      </w:tcPr>
    </w:tblStylePr>
    <w:tblStylePr w:type="lastRow">
      <w:pPr>
        <w:spacing w:before="0" w:after="0" w:line="240" w:lineRule="auto"/>
      </w:pPr>
      <w:rPr>
        <w:b/>
        <w:bCs/>
      </w:rPr>
      <w:tblPr/>
      <w:tcPr>
        <w:tcBorders>
          <w:top w:val="double" w:sz="6" w:space="0" w:color="C44A2C" w:themeColor="accent4"/>
          <w:left w:val="single" w:sz="8" w:space="0" w:color="C44A2C" w:themeColor="accent4"/>
          <w:bottom w:val="single" w:sz="8" w:space="0" w:color="C44A2C" w:themeColor="accent4"/>
          <w:right w:val="single" w:sz="8" w:space="0" w:color="C44A2C" w:themeColor="accent4"/>
        </w:tcBorders>
      </w:tcPr>
    </w:tblStylePr>
    <w:tblStylePr w:type="firstCol">
      <w:rPr>
        <w:b/>
        <w:bCs/>
      </w:rPr>
    </w:tblStylePr>
    <w:tblStylePr w:type="lastCol">
      <w:rPr>
        <w:b/>
        <w:bCs/>
      </w:rPr>
    </w:tblStylePr>
    <w:tblStylePr w:type="band1Vert">
      <w:tblPr/>
      <w:tcPr>
        <w:tcBorders>
          <w:top w:val="single" w:sz="8" w:space="0" w:color="C44A2C" w:themeColor="accent4"/>
          <w:left w:val="single" w:sz="8" w:space="0" w:color="C44A2C" w:themeColor="accent4"/>
          <w:bottom w:val="single" w:sz="8" w:space="0" w:color="C44A2C" w:themeColor="accent4"/>
          <w:right w:val="single" w:sz="8" w:space="0" w:color="C44A2C" w:themeColor="accent4"/>
        </w:tcBorders>
      </w:tcPr>
    </w:tblStylePr>
    <w:tblStylePr w:type="band1Horz">
      <w:tblPr/>
      <w:tcPr>
        <w:tcBorders>
          <w:top w:val="single" w:sz="8" w:space="0" w:color="C44A2C" w:themeColor="accent4"/>
          <w:left w:val="single" w:sz="8" w:space="0" w:color="C44A2C" w:themeColor="accent4"/>
          <w:bottom w:val="single" w:sz="8" w:space="0" w:color="C44A2C" w:themeColor="accent4"/>
          <w:right w:val="single" w:sz="8" w:space="0" w:color="C44A2C" w:themeColor="accent4"/>
        </w:tcBorders>
      </w:tcPr>
    </w:tblStylePr>
  </w:style>
  <w:style w:type="table" w:styleId="LightList-Accent5">
    <w:name w:val="Light List Accent 5"/>
    <w:basedOn w:val="TableNormal"/>
    <w:uiPriority w:val="61"/>
    <w:semiHidden/>
    <w:unhideWhenUsed/>
    <w:rsid w:val="002C17A3"/>
    <w:rPr>
      <w:sz w:val="20"/>
      <w:szCs w:val="20"/>
    </w:rPr>
    <w:tblPr>
      <w:tblStyleRowBandSize w:val="1"/>
      <w:tblStyleColBandSize w:val="1"/>
      <w:tblBorders>
        <w:top w:val="single" w:sz="8" w:space="0" w:color="C3996A" w:themeColor="accent5"/>
        <w:left w:val="single" w:sz="8" w:space="0" w:color="C3996A" w:themeColor="accent5"/>
        <w:bottom w:val="single" w:sz="8" w:space="0" w:color="C3996A" w:themeColor="accent5"/>
        <w:right w:val="single" w:sz="8" w:space="0" w:color="C3996A" w:themeColor="accent5"/>
      </w:tblBorders>
    </w:tblPr>
    <w:tblStylePr w:type="firstRow">
      <w:pPr>
        <w:spacing w:before="0" w:after="0" w:line="240" w:lineRule="auto"/>
      </w:pPr>
      <w:rPr>
        <w:b/>
        <w:bCs/>
        <w:color w:val="FFFFFF" w:themeColor="background1"/>
      </w:rPr>
      <w:tblPr/>
      <w:tcPr>
        <w:shd w:val="clear" w:color="auto" w:fill="C3996A" w:themeFill="accent5"/>
      </w:tcPr>
    </w:tblStylePr>
    <w:tblStylePr w:type="lastRow">
      <w:pPr>
        <w:spacing w:before="0" w:after="0" w:line="240" w:lineRule="auto"/>
      </w:pPr>
      <w:rPr>
        <w:b/>
        <w:bCs/>
      </w:rPr>
      <w:tblPr/>
      <w:tcPr>
        <w:tcBorders>
          <w:top w:val="double" w:sz="6" w:space="0" w:color="C3996A" w:themeColor="accent5"/>
          <w:left w:val="single" w:sz="8" w:space="0" w:color="C3996A" w:themeColor="accent5"/>
          <w:bottom w:val="single" w:sz="8" w:space="0" w:color="C3996A" w:themeColor="accent5"/>
          <w:right w:val="single" w:sz="8" w:space="0" w:color="C3996A" w:themeColor="accent5"/>
        </w:tcBorders>
      </w:tcPr>
    </w:tblStylePr>
    <w:tblStylePr w:type="firstCol">
      <w:rPr>
        <w:b/>
        <w:bCs/>
      </w:rPr>
    </w:tblStylePr>
    <w:tblStylePr w:type="lastCol">
      <w:rPr>
        <w:b/>
        <w:bCs/>
      </w:rPr>
    </w:tblStylePr>
    <w:tblStylePr w:type="band1Vert">
      <w:tblPr/>
      <w:tcPr>
        <w:tcBorders>
          <w:top w:val="single" w:sz="8" w:space="0" w:color="C3996A" w:themeColor="accent5"/>
          <w:left w:val="single" w:sz="8" w:space="0" w:color="C3996A" w:themeColor="accent5"/>
          <w:bottom w:val="single" w:sz="8" w:space="0" w:color="C3996A" w:themeColor="accent5"/>
          <w:right w:val="single" w:sz="8" w:space="0" w:color="C3996A" w:themeColor="accent5"/>
        </w:tcBorders>
      </w:tcPr>
    </w:tblStylePr>
    <w:tblStylePr w:type="band1Horz">
      <w:tblPr/>
      <w:tcPr>
        <w:tcBorders>
          <w:top w:val="single" w:sz="8" w:space="0" w:color="C3996A" w:themeColor="accent5"/>
          <w:left w:val="single" w:sz="8" w:space="0" w:color="C3996A" w:themeColor="accent5"/>
          <w:bottom w:val="single" w:sz="8" w:space="0" w:color="C3996A" w:themeColor="accent5"/>
          <w:right w:val="single" w:sz="8" w:space="0" w:color="C3996A" w:themeColor="accent5"/>
        </w:tcBorders>
      </w:tcPr>
    </w:tblStylePr>
  </w:style>
  <w:style w:type="table" w:styleId="LightList-Accent6">
    <w:name w:val="Light List Accent 6"/>
    <w:basedOn w:val="TableNormal"/>
    <w:uiPriority w:val="61"/>
    <w:semiHidden/>
    <w:unhideWhenUsed/>
    <w:rsid w:val="002C17A3"/>
    <w:rPr>
      <w:sz w:val="20"/>
      <w:szCs w:val="20"/>
    </w:rPr>
    <w:tblPr>
      <w:tblStyleRowBandSize w:val="1"/>
      <w:tblStyleColBandSize w:val="1"/>
      <w:tblBorders>
        <w:top w:val="single" w:sz="8" w:space="0" w:color="B1B3B3" w:themeColor="accent6"/>
        <w:left w:val="single" w:sz="8" w:space="0" w:color="B1B3B3" w:themeColor="accent6"/>
        <w:bottom w:val="single" w:sz="8" w:space="0" w:color="B1B3B3" w:themeColor="accent6"/>
        <w:right w:val="single" w:sz="8" w:space="0" w:color="B1B3B3" w:themeColor="accent6"/>
      </w:tblBorders>
    </w:tblPr>
    <w:tblStylePr w:type="firstRow">
      <w:pPr>
        <w:spacing w:before="0" w:after="0" w:line="240" w:lineRule="auto"/>
      </w:pPr>
      <w:rPr>
        <w:b/>
        <w:bCs/>
        <w:color w:val="FFFFFF" w:themeColor="background1"/>
      </w:rPr>
      <w:tblPr/>
      <w:tcPr>
        <w:shd w:val="clear" w:color="auto" w:fill="B1B3B3" w:themeFill="accent6"/>
      </w:tcPr>
    </w:tblStylePr>
    <w:tblStylePr w:type="lastRow">
      <w:pPr>
        <w:spacing w:before="0" w:after="0" w:line="240" w:lineRule="auto"/>
      </w:pPr>
      <w:rPr>
        <w:b/>
        <w:bCs/>
      </w:rPr>
      <w:tblPr/>
      <w:tcPr>
        <w:tcBorders>
          <w:top w:val="double" w:sz="6" w:space="0" w:color="B1B3B3" w:themeColor="accent6"/>
          <w:left w:val="single" w:sz="8" w:space="0" w:color="B1B3B3" w:themeColor="accent6"/>
          <w:bottom w:val="single" w:sz="8" w:space="0" w:color="B1B3B3" w:themeColor="accent6"/>
          <w:right w:val="single" w:sz="8" w:space="0" w:color="B1B3B3" w:themeColor="accent6"/>
        </w:tcBorders>
      </w:tcPr>
    </w:tblStylePr>
    <w:tblStylePr w:type="firstCol">
      <w:rPr>
        <w:b/>
        <w:bCs/>
      </w:rPr>
    </w:tblStylePr>
    <w:tblStylePr w:type="lastCol">
      <w:rPr>
        <w:b/>
        <w:bCs/>
      </w:rPr>
    </w:tblStylePr>
    <w:tblStylePr w:type="band1Vert">
      <w:tblPr/>
      <w:tcPr>
        <w:tcBorders>
          <w:top w:val="single" w:sz="8" w:space="0" w:color="B1B3B3" w:themeColor="accent6"/>
          <w:left w:val="single" w:sz="8" w:space="0" w:color="B1B3B3" w:themeColor="accent6"/>
          <w:bottom w:val="single" w:sz="8" w:space="0" w:color="B1B3B3" w:themeColor="accent6"/>
          <w:right w:val="single" w:sz="8" w:space="0" w:color="B1B3B3" w:themeColor="accent6"/>
        </w:tcBorders>
      </w:tcPr>
    </w:tblStylePr>
    <w:tblStylePr w:type="band1Horz">
      <w:tblPr/>
      <w:tcPr>
        <w:tcBorders>
          <w:top w:val="single" w:sz="8" w:space="0" w:color="B1B3B3" w:themeColor="accent6"/>
          <w:left w:val="single" w:sz="8" w:space="0" w:color="B1B3B3" w:themeColor="accent6"/>
          <w:bottom w:val="single" w:sz="8" w:space="0" w:color="B1B3B3" w:themeColor="accent6"/>
          <w:right w:val="single" w:sz="8" w:space="0" w:color="B1B3B3" w:themeColor="accent6"/>
        </w:tcBorders>
      </w:tcPr>
    </w:tblStylePr>
  </w:style>
  <w:style w:type="table" w:styleId="LightShading">
    <w:name w:val="Light Shading"/>
    <w:basedOn w:val="TableNormal"/>
    <w:uiPriority w:val="60"/>
    <w:semiHidden/>
    <w:unhideWhenUsed/>
    <w:rsid w:val="002C17A3"/>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C17A3"/>
    <w:rPr>
      <w:color w:val="49777D" w:themeColor="accent1" w:themeShade="BF"/>
      <w:sz w:val="20"/>
      <w:szCs w:val="20"/>
    </w:rPr>
    <w:tblPr>
      <w:tblStyleRowBandSize w:val="1"/>
      <w:tblStyleColBandSize w:val="1"/>
      <w:tblBorders>
        <w:top w:val="single" w:sz="8" w:space="0" w:color="649EA5" w:themeColor="accent1"/>
        <w:bottom w:val="single" w:sz="8" w:space="0" w:color="649EA5" w:themeColor="accent1"/>
      </w:tblBorders>
    </w:tblPr>
    <w:tblStylePr w:type="firstRow">
      <w:pPr>
        <w:spacing w:before="0" w:after="0" w:line="240" w:lineRule="auto"/>
      </w:pPr>
      <w:rPr>
        <w:b/>
        <w:bCs/>
      </w:rPr>
      <w:tblPr/>
      <w:tcPr>
        <w:tcBorders>
          <w:top w:val="single" w:sz="8" w:space="0" w:color="649EA5" w:themeColor="accent1"/>
          <w:left w:val="nil"/>
          <w:bottom w:val="single" w:sz="8" w:space="0" w:color="649EA5" w:themeColor="accent1"/>
          <w:right w:val="nil"/>
          <w:insideH w:val="nil"/>
          <w:insideV w:val="nil"/>
        </w:tcBorders>
      </w:tcPr>
    </w:tblStylePr>
    <w:tblStylePr w:type="lastRow">
      <w:pPr>
        <w:spacing w:before="0" w:after="0" w:line="240" w:lineRule="auto"/>
      </w:pPr>
      <w:rPr>
        <w:b/>
        <w:bCs/>
      </w:rPr>
      <w:tblPr/>
      <w:tcPr>
        <w:tcBorders>
          <w:top w:val="single" w:sz="8" w:space="0" w:color="649EA5" w:themeColor="accent1"/>
          <w:left w:val="nil"/>
          <w:bottom w:val="single" w:sz="8" w:space="0" w:color="649E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7E8" w:themeFill="accent1" w:themeFillTint="3F"/>
      </w:tcPr>
    </w:tblStylePr>
    <w:tblStylePr w:type="band1Horz">
      <w:tblPr/>
      <w:tcPr>
        <w:tcBorders>
          <w:left w:val="nil"/>
          <w:right w:val="nil"/>
          <w:insideH w:val="nil"/>
          <w:insideV w:val="nil"/>
        </w:tcBorders>
        <w:shd w:val="clear" w:color="auto" w:fill="D8E7E8" w:themeFill="accent1" w:themeFillTint="3F"/>
      </w:tcPr>
    </w:tblStylePr>
  </w:style>
  <w:style w:type="table" w:styleId="LightShading-Accent2">
    <w:name w:val="Light Shading Accent 2"/>
    <w:basedOn w:val="TableNormal"/>
    <w:uiPriority w:val="60"/>
    <w:semiHidden/>
    <w:unhideWhenUsed/>
    <w:rsid w:val="002C17A3"/>
    <w:rPr>
      <w:color w:val="384D2C" w:themeColor="accent2" w:themeShade="BF"/>
      <w:sz w:val="20"/>
      <w:szCs w:val="20"/>
    </w:rPr>
    <w:tblPr>
      <w:tblStyleRowBandSize w:val="1"/>
      <w:tblStyleColBandSize w:val="1"/>
      <w:tblBorders>
        <w:top w:val="single" w:sz="8" w:space="0" w:color="4B673B" w:themeColor="accent2"/>
        <w:bottom w:val="single" w:sz="8" w:space="0" w:color="4B673B" w:themeColor="accent2"/>
      </w:tblBorders>
    </w:tblPr>
    <w:tblStylePr w:type="firstRow">
      <w:pPr>
        <w:spacing w:before="0" w:after="0" w:line="240" w:lineRule="auto"/>
      </w:pPr>
      <w:rPr>
        <w:b/>
        <w:bCs/>
      </w:rPr>
      <w:tblPr/>
      <w:tcPr>
        <w:tcBorders>
          <w:top w:val="single" w:sz="8" w:space="0" w:color="4B673B" w:themeColor="accent2"/>
          <w:left w:val="nil"/>
          <w:bottom w:val="single" w:sz="8" w:space="0" w:color="4B673B" w:themeColor="accent2"/>
          <w:right w:val="nil"/>
          <w:insideH w:val="nil"/>
          <w:insideV w:val="nil"/>
        </w:tcBorders>
      </w:tcPr>
    </w:tblStylePr>
    <w:tblStylePr w:type="lastRow">
      <w:pPr>
        <w:spacing w:before="0" w:after="0" w:line="240" w:lineRule="auto"/>
      </w:pPr>
      <w:rPr>
        <w:b/>
        <w:bCs/>
      </w:rPr>
      <w:tblPr/>
      <w:tcPr>
        <w:tcBorders>
          <w:top w:val="single" w:sz="8" w:space="0" w:color="4B673B" w:themeColor="accent2"/>
          <w:left w:val="nil"/>
          <w:bottom w:val="single" w:sz="8" w:space="0" w:color="4B67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FC8" w:themeFill="accent2" w:themeFillTint="3F"/>
      </w:tcPr>
    </w:tblStylePr>
    <w:tblStylePr w:type="band1Horz">
      <w:tblPr/>
      <w:tcPr>
        <w:tcBorders>
          <w:left w:val="nil"/>
          <w:right w:val="nil"/>
          <w:insideH w:val="nil"/>
          <w:insideV w:val="nil"/>
        </w:tcBorders>
        <w:shd w:val="clear" w:color="auto" w:fill="D0DFC8" w:themeFill="accent2" w:themeFillTint="3F"/>
      </w:tcPr>
    </w:tblStylePr>
  </w:style>
  <w:style w:type="table" w:styleId="LightShading-Accent3">
    <w:name w:val="Light Shading Accent 3"/>
    <w:basedOn w:val="TableNormal"/>
    <w:uiPriority w:val="60"/>
    <w:semiHidden/>
    <w:unhideWhenUsed/>
    <w:rsid w:val="002C17A3"/>
    <w:rPr>
      <w:color w:val="687C63" w:themeColor="accent3" w:themeShade="BF"/>
      <w:sz w:val="20"/>
      <w:szCs w:val="20"/>
    </w:rPr>
    <w:tblPr>
      <w:tblStyleRowBandSize w:val="1"/>
      <w:tblStyleColBandSize w:val="1"/>
      <w:tblBorders>
        <w:top w:val="single" w:sz="8" w:space="0" w:color="8EA189" w:themeColor="accent3"/>
        <w:bottom w:val="single" w:sz="8" w:space="0" w:color="8EA189" w:themeColor="accent3"/>
      </w:tblBorders>
    </w:tblPr>
    <w:tblStylePr w:type="firstRow">
      <w:pPr>
        <w:spacing w:before="0" w:after="0" w:line="240" w:lineRule="auto"/>
      </w:pPr>
      <w:rPr>
        <w:b/>
        <w:bCs/>
      </w:rPr>
      <w:tblPr/>
      <w:tcPr>
        <w:tcBorders>
          <w:top w:val="single" w:sz="8" w:space="0" w:color="8EA189" w:themeColor="accent3"/>
          <w:left w:val="nil"/>
          <w:bottom w:val="single" w:sz="8" w:space="0" w:color="8EA189" w:themeColor="accent3"/>
          <w:right w:val="nil"/>
          <w:insideH w:val="nil"/>
          <w:insideV w:val="nil"/>
        </w:tcBorders>
      </w:tcPr>
    </w:tblStylePr>
    <w:tblStylePr w:type="lastRow">
      <w:pPr>
        <w:spacing w:before="0" w:after="0" w:line="240" w:lineRule="auto"/>
      </w:pPr>
      <w:rPr>
        <w:b/>
        <w:bCs/>
      </w:rPr>
      <w:tblPr/>
      <w:tcPr>
        <w:tcBorders>
          <w:top w:val="single" w:sz="8" w:space="0" w:color="8EA189" w:themeColor="accent3"/>
          <w:left w:val="nil"/>
          <w:bottom w:val="single" w:sz="8" w:space="0" w:color="8EA18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7E1" w:themeFill="accent3" w:themeFillTint="3F"/>
      </w:tcPr>
    </w:tblStylePr>
    <w:tblStylePr w:type="band1Horz">
      <w:tblPr/>
      <w:tcPr>
        <w:tcBorders>
          <w:left w:val="nil"/>
          <w:right w:val="nil"/>
          <w:insideH w:val="nil"/>
          <w:insideV w:val="nil"/>
        </w:tcBorders>
        <w:shd w:val="clear" w:color="auto" w:fill="E2E7E1" w:themeFill="accent3" w:themeFillTint="3F"/>
      </w:tcPr>
    </w:tblStylePr>
  </w:style>
  <w:style w:type="table" w:styleId="LightShading-Accent4">
    <w:name w:val="Light Shading Accent 4"/>
    <w:basedOn w:val="TableNormal"/>
    <w:uiPriority w:val="60"/>
    <w:semiHidden/>
    <w:unhideWhenUsed/>
    <w:rsid w:val="002C17A3"/>
    <w:rPr>
      <w:color w:val="923721" w:themeColor="accent4" w:themeShade="BF"/>
      <w:sz w:val="20"/>
      <w:szCs w:val="20"/>
    </w:rPr>
    <w:tblPr>
      <w:tblStyleRowBandSize w:val="1"/>
      <w:tblStyleColBandSize w:val="1"/>
      <w:tblBorders>
        <w:top w:val="single" w:sz="8" w:space="0" w:color="C44A2C" w:themeColor="accent4"/>
        <w:bottom w:val="single" w:sz="8" w:space="0" w:color="C44A2C" w:themeColor="accent4"/>
      </w:tblBorders>
    </w:tblPr>
    <w:tblStylePr w:type="firstRow">
      <w:pPr>
        <w:spacing w:before="0" w:after="0" w:line="240" w:lineRule="auto"/>
      </w:pPr>
      <w:rPr>
        <w:b/>
        <w:bCs/>
      </w:rPr>
      <w:tblPr/>
      <w:tcPr>
        <w:tcBorders>
          <w:top w:val="single" w:sz="8" w:space="0" w:color="C44A2C" w:themeColor="accent4"/>
          <w:left w:val="nil"/>
          <w:bottom w:val="single" w:sz="8" w:space="0" w:color="C44A2C" w:themeColor="accent4"/>
          <w:right w:val="nil"/>
          <w:insideH w:val="nil"/>
          <w:insideV w:val="nil"/>
        </w:tcBorders>
      </w:tcPr>
    </w:tblStylePr>
    <w:tblStylePr w:type="lastRow">
      <w:pPr>
        <w:spacing w:before="0" w:after="0" w:line="240" w:lineRule="auto"/>
      </w:pPr>
      <w:rPr>
        <w:b/>
        <w:bCs/>
      </w:rPr>
      <w:tblPr/>
      <w:tcPr>
        <w:tcBorders>
          <w:top w:val="single" w:sz="8" w:space="0" w:color="C44A2C" w:themeColor="accent4"/>
          <w:left w:val="nil"/>
          <w:bottom w:val="single" w:sz="8" w:space="0" w:color="C44A2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0C8" w:themeFill="accent4" w:themeFillTint="3F"/>
      </w:tcPr>
    </w:tblStylePr>
    <w:tblStylePr w:type="band1Horz">
      <w:tblPr/>
      <w:tcPr>
        <w:tcBorders>
          <w:left w:val="nil"/>
          <w:right w:val="nil"/>
          <w:insideH w:val="nil"/>
          <w:insideV w:val="nil"/>
        </w:tcBorders>
        <w:shd w:val="clear" w:color="auto" w:fill="F2D0C8" w:themeFill="accent4" w:themeFillTint="3F"/>
      </w:tcPr>
    </w:tblStylePr>
  </w:style>
  <w:style w:type="table" w:styleId="LightShading-Accent5">
    <w:name w:val="Light Shading Accent 5"/>
    <w:basedOn w:val="TableNormal"/>
    <w:uiPriority w:val="60"/>
    <w:semiHidden/>
    <w:unhideWhenUsed/>
    <w:rsid w:val="002C17A3"/>
    <w:rPr>
      <w:color w:val="A07340" w:themeColor="accent5" w:themeShade="BF"/>
      <w:sz w:val="20"/>
      <w:szCs w:val="20"/>
    </w:rPr>
    <w:tblPr>
      <w:tblStyleRowBandSize w:val="1"/>
      <w:tblStyleColBandSize w:val="1"/>
      <w:tblBorders>
        <w:top w:val="single" w:sz="8" w:space="0" w:color="C3996A" w:themeColor="accent5"/>
        <w:bottom w:val="single" w:sz="8" w:space="0" w:color="C3996A" w:themeColor="accent5"/>
      </w:tblBorders>
    </w:tblPr>
    <w:tblStylePr w:type="firstRow">
      <w:pPr>
        <w:spacing w:before="0" w:after="0" w:line="240" w:lineRule="auto"/>
      </w:pPr>
      <w:rPr>
        <w:b/>
        <w:bCs/>
      </w:rPr>
      <w:tblPr/>
      <w:tcPr>
        <w:tcBorders>
          <w:top w:val="single" w:sz="8" w:space="0" w:color="C3996A" w:themeColor="accent5"/>
          <w:left w:val="nil"/>
          <w:bottom w:val="single" w:sz="8" w:space="0" w:color="C3996A" w:themeColor="accent5"/>
          <w:right w:val="nil"/>
          <w:insideH w:val="nil"/>
          <w:insideV w:val="nil"/>
        </w:tcBorders>
      </w:tcPr>
    </w:tblStylePr>
    <w:tblStylePr w:type="lastRow">
      <w:pPr>
        <w:spacing w:before="0" w:after="0" w:line="240" w:lineRule="auto"/>
      </w:pPr>
      <w:rPr>
        <w:b/>
        <w:bCs/>
      </w:rPr>
      <w:tblPr/>
      <w:tcPr>
        <w:tcBorders>
          <w:top w:val="single" w:sz="8" w:space="0" w:color="C3996A" w:themeColor="accent5"/>
          <w:left w:val="nil"/>
          <w:bottom w:val="single" w:sz="8" w:space="0" w:color="C3996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E5DA" w:themeFill="accent5" w:themeFillTint="3F"/>
      </w:tcPr>
    </w:tblStylePr>
    <w:tblStylePr w:type="band1Horz">
      <w:tblPr/>
      <w:tcPr>
        <w:tcBorders>
          <w:left w:val="nil"/>
          <w:right w:val="nil"/>
          <w:insideH w:val="nil"/>
          <w:insideV w:val="nil"/>
        </w:tcBorders>
        <w:shd w:val="clear" w:color="auto" w:fill="F0E5DA" w:themeFill="accent5" w:themeFillTint="3F"/>
      </w:tcPr>
    </w:tblStylePr>
  </w:style>
  <w:style w:type="table" w:styleId="LightShading-Accent6">
    <w:name w:val="Light Shading Accent 6"/>
    <w:basedOn w:val="TableNormal"/>
    <w:uiPriority w:val="60"/>
    <w:semiHidden/>
    <w:unhideWhenUsed/>
    <w:rsid w:val="002C17A3"/>
    <w:rPr>
      <w:color w:val="838686" w:themeColor="accent6" w:themeShade="BF"/>
      <w:sz w:val="20"/>
      <w:szCs w:val="20"/>
    </w:rPr>
    <w:tblPr>
      <w:tblStyleRowBandSize w:val="1"/>
      <w:tblStyleColBandSize w:val="1"/>
      <w:tblBorders>
        <w:top w:val="single" w:sz="8" w:space="0" w:color="B1B3B3" w:themeColor="accent6"/>
        <w:bottom w:val="single" w:sz="8" w:space="0" w:color="B1B3B3" w:themeColor="accent6"/>
      </w:tblBorders>
    </w:tblPr>
    <w:tblStylePr w:type="firstRow">
      <w:pPr>
        <w:spacing w:before="0" w:after="0" w:line="240" w:lineRule="auto"/>
      </w:pPr>
      <w:rPr>
        <w:b/>
        <w:bCs/>
      </w:rPr>
      <w:tblPr/>
      <w:tcPr>
        <w:tcBorders>
          <w:top w:val="single" w:sz="8" w:space="0" w:color="B1B3B3" w:themeColor="accent6"/>
          <w:left w:val="nil"/>
          <w:bottom w:val="single" w:sz="8" w:space="0" w:color="B1B3B3" w:themeColor="accent6"/>
          <w:right w:val="nil"/>
          <w:insideH w:val="nil"/>
          <w:insideV w:val="nil"/>
        </w:tcBorders>
      </w:tcPr>
    </w:tblStylePr>
    <w:tblStylePr w:type="lastRow">
      <w:pPr>
        <w:spacing w:before="0" w:after="0" w:line="240" w:lineRule="auto"/>
      </w:pPr>
      <w:rPr>
        <w:b/>
        <w:bCs/>
      </w:rPr>
      <w:tblPr/>
      <w:tcPr>
        <w:tcBorders>
          <w:top w:val="single" w:sz="8" w:space="0" w:color="B1B3B3" w:themeColor="accent6"/>
          <w:left w:val="nil"/>
          <w:bottom w:val="single" w:sz="8" w:space="0" w:color="B1B3B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CEC" w:themeFill="accent6" w:themeFillTint="3F"/>
      </w:tcPr>
    </w:tblStylePr>
    <w:tblStylePr w:type="band1Horz">
      <w:tblPr/>
      <w:tcPr>
        <w:tcBorders>
          <w:left w:val="nil"/>
          <w:right w:val="nil"/>
          <w:insideH w:val="nil"/>
          <w:insideV w:val="nil"/>
        </w:tcBorders>
        <w:shd w:val="clear" w:color="auto" w:fill="EBECEC" w:themeFill="accent6" w:themeFillTint="3F"/>
      </w:tcPr>
    </w:tblStylePr>
  </w:style>
  <w:style w:type="table" w:styleId="ListTable1Light">
    <w:name w:val="List Table 1 Light"/>
    <w:basedOn w:val="TableNormal"/>
    <w:uiPriority w:val="46"/>
    <w:rsid w:val="002C17A3"/>
    <w:rPr>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C17A3"/>
    <w:rPr>
      <w:sz w:val="20"/>
      <w:szCs w:val="20"/>
    </w:rPr>
    <w:tblPr>
      <w:tblStyleRowBandSize w:val="1"/>
      <w:tblStyleColBandSize w:val="1"/>
    </w:tblPr>
    <w:tblStylePr w:type="firstRow">
      <w:rPr>
        <w:b/>
        <w:bCs/>
      </w:rPr>
      <w:tblPr/>
      <w:tcPr>
        <w:tcBorders>
          <w:bottom w:val="single" w:sz="4" w:space="0" w:color="A2C4C9" w:themeColor="accent1" w:themeTint="99"/>
        </w:tcBorders>
      </w:tcPr>
    </w:tblStylePr>
    <w:tblStylePr w:type="lastRow">
      <w:rPr>
        <w:b/>
        <w:bCs/>
      </w:rPr>
      <w:tblPr/>
      <w:tcPr>
        <w:tcBorders>
          <w:top w:val="single" w:sz="4" w:space="0" w:color="A2C4C9" w:themeColor="accent1" w:themeTint="99"/>
        </w:tcBorders>
      </w:tc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ListTable1Light-Accent2">
    <w:name w:val="List Table 1 Light Accent 2"/>
    <w:basedOn w:val="TableNormal"/>
    <w:uiPriority w:val="46"/>
    <w:rsid w:val="002C17A3"/>
    <w:rPr>
      <w:sz w:val="20"/>
      <w:szCs w:val="20"/>
    </w:rPr>
    <w:tblPr>
      <w:tblStyleRowBandSize w:val="1"/>
      <w:tblStyleColBandSize w:val="1"/>
    </w:tblPr>
    <w:tblStylePr w:type="firstRow">
      <w:rPr>
        <w:b/>
        <w:bCs/>
      </w:rPr>
      <w:tblPr/>
      <w:tcPr>
        <w:tcBorders>
          <w:bottom w:val="single" w:sz="4" w:space="0" w:color="8EB37A" w:themeColor="accent2" w:themeTint="99"/>
        </w:tcBorders>
      </w:tcPr>
    </w:tblStylePr>
    <w:tblStylePr w:type="lastRow">
      <w:rPr>
        <w:b/>
        <w:bCs/>
      </w:rPr>
      <w:tblPr/>
      <w:tcPr>
        <w:tcBorders>
          <w:top w:val="single" w:sz="4" w:space="0" w:color="8EB37A" w:themeColor="accent2" w:themeTint="99"/>
        </w:tcBorders>
      </w:tcPr>
    </w:tblStylePr>
    <w:tblStylePr w:type="firstCol">
      <w:rPr>
        <w:b/>
        <w:bCs/>
      </w:rPr>
    </w:tblStylePr>
    <w:tblStylePr w:type="lastCol">
      <w:rPr>
        <w:b/>
        <w:bCs/>
      </w:rPr>
    </w:tblStylePr>
    <w:tblStylePr w:type="band1Vert">
      <w:tblPr/>
      <w:tcPr>
        <w:shd w:val="clear" w:color="auto" w:fill="D9E5D2" w:themeFill="accent2" w:themeFillTint="33"/>
      </w:tcPr>
    </w:tblStylePr>
    <w:tblStylePr w:type="band1Horz">
      <w:tblPr/>
      <w:tcPr>
        <w:shd w:val="clear" w:color="auto" w:fill="D9E5D2" w:themeFill="accent2" w:themeFillTint="33"/>
      </w:tcPr>
    </w:tblStylePr>
  </w:style>
  <w:style w:type="table" w:styleId="ListTable1Light-Accent3">
    <w:name w:val="List Table 1 Light Accent 3"/>
    <w:basedOn w:val="TableNormal"/>
    <w:uiPriority w:val="46"/>
    <w:rsid w:val="002C17A3"/>
    <w:rPr>
      <w:sz w:val="20"/>
      <w:szCs w:val="20"/>
    </w:rPr>
    <w:tblPr>
      <w:tblStyleRowBandSize w:val="1"/>
      <w:tblStyleColBandSize w:val="1"/>
    </w:tblPr>
    <w:tblStylePr w:type="firstRow">
      <w:rPr>
        <w:b/>
        <w:bCs/>
      </w:rPr>
      <w:tblPr/>
      <w:tcPr>
        <w:tcBorders>
          <w:bottom w:val="single" w:sz="4" w:space="0" w:color="BBC6B8" w:themeColor="accent3" w:themeTint="99"/>
        </w:tcBorders>
      </w:tcPr>
    </w:tblStylePr>
    <w:tblStylePr w:type="lastRow">
      <w:rPr>
        <w:b/>
        <w:bCs/>
      </w:rPr>
      <w:tblPr/>
      <w:tcPr>
        <w:tcBorders>
          <w:top w:val="single" w:sz="4" w:space="0" w:color="BBC6B8" w:themeColor="accent3" w:themeTint="99"/>
        </w:tcBorders>
      </w:tcPr>
    </w:tblStylePr>
    <w:tblStylePr w:type="firstCol">
      <w:rPr>
        <w:b/>
        <w:bCs/>
      </w:rPr>
    </w:tblStylePr>
    <w:tblStylePr w:type="lastCol">
      <w:rPr>
        <w:b/>
        <w:bCs/>
      </w:rPr>
    </w:tblStylePr>
    <w:tblStylePr w:type="band1Vert">
      <w:tblPr/>
      <w:tcPr>
        <w:shd w:val="clear" w:color="auto" w:fill="E8ECE7" w:themeFill="accent3" w:themeFillTint="33"/>
      </w:tcPr>
    </w:tblStylePr>
    <w:tblStylePr w:type="band1Horz">
      <w:tblPr/>
      <w:tcPr>
        <w:shd w:val="clear" w:color="auto" w:fill="E8ECE7" w:themeFill="accent3" w:themeFillTint="33"/>
      </w:tcPr>
    </w:tblStylePr>
  </w:style>
  <w:style w:type="table" w:styleId="ListTable1Light-Accent4">
    <w:name w:val="List Table 1 Light Accent 4"/>
    <w:basedOn w:val="TableNormal"/>
    <w:uiPriority w:val="46"/>
    <w:rsid w:val="002C17A3"/>
    <w:rPr>
      <w:sz w:val="20"/>
      <w:szCs w:val="20"/>
    </w:rPr>
    <w:tblPr>
      <w:tblStyleRowBandSize w:val="1"/>
      <w:tblStyleColBandSize w:val="1"/>
    </w:tblPr>
    <w:tblStylePr w:type="firstRow">
      <w:rPr>
        <w:b/>
        <w:bCs/>
      </w:rPr>
      <w:tblPr/>
      <w:tcPr>
        <w:tcBorders>
          <w:bottom w:val="single" w:sz="4" w:space="0" w:color="E18E7A" w:themeColor="accent4" w:themeTint="99"/>
        </w:tcBorders>
      </w:tcPr>
    </w:tblStylePr>
    <w:tblStylePr w:type="lastRow">
      <w:rPr>
        <w:b/>
        <w:bCs/>
      </w:rPr>
      <w:tblPr/>
      <w:tcPr>
        <w:tcBorders>
          <w:top w:val="single" w:sz="4" w:space="0" w:color="E18E7A" w:themeColor="accent4" w:themeTint="99"/>
        </w:tcBorders>
      </w:tcPr>
    </w:tblStylePr>
    <w:tblStylePr w:type="firstCol">
      <w:rPr>
        <w:b/>
        <w:bCs/>
      </w:rPr>
    </w:tblStylePr>
    <w:tblStylePr w:type="lastCol">
      <w:rPr>
        <w:b/>
        <w:bCs/>
      </w:rPr>
    </w:tblStylePr>
    <w:tblStylePr w:type="band1Vert">
      <w:tblPr/>
      <w:tcPr>
        <w:shd w:val="clear" w:color="auto" w:fill="F5D9D2" w:themeFill="accent4" w:themeFillTint="33"/>
      </w:tcPr>
    </w:tblStylePr>
    <w:tblStylePr w:type="band1Horz">
      <w:tblPr/>
      <w:tcPr>
        <w:shd w:val="clear" w:color="auto" w:fill="F5D9D2" w:themeFill="accent4" w:themeFillTint="33"/>
      </w:tcPr>
    </w:tblStylePr>
  </w:style>
  <w:style w:type="table" w:styleId="ListTable1Light-Accent5">
    <w:name w:val="List Table 1 Light Accent 5"/>
    <w:basedOn w:val="TableNormal"/>
    <w:uiPriority w:val="46"/>
    <w:rsid w:val="002C17A3"/>
    <w:rPr>
      <w:sz w:val="20"/>
      <w:szCs w:val="20"/>
    </w:rPr>
    <w:tblPr>
      <w:tblStyleRowBandSize w:val="1"/>
      <w:tblStyleColBandSize w:val="1"/>
    </w:tblPr>
    <w:tblStylePr w:type="firstRow">
      <w:rPr>
        <w:b/>
        <w:bCs/>
      </w:rPr>
      <w:tblPr/>
      <w:tcPr>
        <w:tcBorders>
          <w:bottom w:val="single" w:sz="4" w:space="0" w:color="DBC1A5" w:themeColor="accent5" w:themeTint="99"/>
        </w:tcBorders>
      </w:tcPr>
    </w:tblStylePr>
    <w:tblStylePr w:type="lastRow">
      <w:rPr>
        <w:b/>
        <w:bCs/>
      </w:rPr>
      <w:tblPr/>
      <w:tcPr>
        <w:tcBorders>
          <w:top w:val="single" w:sz="4" w:space="0" w:color="DBC1A5" w:themeColor="accent5" w:themeTint="99"/>
        </w:tcBorders>
      </w:tcPr>
    </w:tblStylePr>
    <w:tblStylePr w:type="firstCol">
      <w:rPr>
        <w:b/>
        <w:bCs/>
      </w:rPr>
    </w:tblStylePr>
    <w:tblStylePr w:type="lastCol">
      <w:rPr>
        <w:b/>
        <w:bCs/>
      </w:rPr>
    </w:tblStylePr>
    <w:tblStylePr w:type="band1Vert">
      <w:tblPr/>
      <w:tcPr>
        <w:shd w:val="clear" w:color="auto" w:fill="F3EAE1" w:themeFill="accent5" w:themeFillTint="33"/>
      </w:tcPr>
    </w:tblStylePr>
    <w:tblStylePr w:type="band1Horz">
      <w:tblPr/>
      <w:tcPr>
        <w:shd w:val="clear" w:color="auto" w:fill="F3EAE1" w:themeFill="accent5" w:themeFillTint="33"/>
      </w:tcPr>
    </w:tblStylePr>
  </w:style>
  <w:style w:type="table" w:styleId="ListTable1Light-Accent6">
    <w:name w:val="List Table 1 Light Accent 6"/>
    <w:basedOn w:val="TableNormal"/>
    <w:uiPriority w:val="46"/>
    <w:rsid w:val="002C17A3"/>
    <w:rPr>
      <w:sz w:val="20"/>
      <w:szCs w:val="20"/>
    </w:rPr>
    <w:tblPr>
      <w:tblStyleRowBandSize w:val="1"/>
      <w:tblStyleColBandSize w:val="1"/>
    </w:tblPr>
    <w:tblStylePr w:type="firstRow">
      <w:rPr>
        <w:b/>
        <w:bCs/>
      </w:rPr>
      <w:tblPr/>
      <w:tcPr>
        <w:tcBorders>
          <w:bottom w:val="single" w:sz="4" w:space="0" w:color="D0D1D1" w:themeColor="accent6" w:themeTint="99"/>
        </w:tcBorders>
      </w:tcPr>
    </w:tblStylePr>
    <w:tblStylePr w:type="lastRow">
      <w:rPr>
        <w:b/>
        <w:bCs/>
      </w:rPr>
      <w:tblPr/>
      <w:tcPr>
        <w:tcBorders>
          <w:top w:val="single" w:sz="4" w:space="0" w:color="D0D1D1" w:themeColor="accent6" w:themeTint="99"/>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ListTable2">
    <w:name w:val="List Table 2"/>
    <w:basedOn w:val="TableNormal"/>
    <w:uiPriority w:val="47"/>
    <w:rsid w:val="002C17A3"/>
    <w:rPr>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C17A3"/>
    <w:rPr>
      <w:sz w:val="20"/>
      <w:szCs w:val="20"/>
    </w:rPr>
    <w:tblPr>
      <w:tblStyleRowBandSize w:val="1"/>
      <w:tblStyleColBandSize w:val="1"/>
      <w:tblBorders>
        <w:top w:val="single" w:sz="4" w:space="0" w:color="A2C4C9" w:themeColor="accent1" w:themeTint="99"/>
        <w:bottom w:val="single" w:sz="4" w:space="0" w:color="A2C4C9" w:themeColor="accent1" w:themeTint="99"/>
        <w:insideH w:val="single" w:sz="4" w:space="0" w:color="A2C4C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ListTable2-Accent2">
    <w:name w:val="List Table 2 Accent 2"/>
    <w:basedOn w:val="TableNormal"/>
    <w:uiPriority w:val="47"/>
    <w:rsid w:val="002C17A3"/>
    <w:rPr>
      <w:sz w:val="20"/>
      <w:szCs w:val="20"/>
    </w:rPr>
    <w:tblPr>
      <w:tblStyleRowBandSize w:val="1"/>
      <w:tblStyleColBandSize w:val="1"/>
      <w:tblBorders>
        <w:top w:val="single" w:sz="4" w:space="0" w:color="8EB37A" w:themeColor="accent2" w:themeTint="99"/>
        <w:bottom w:val="single" w:sz="4" w:space="0" w:color="8EB37A" w:themeColor="accent2" w:themeTint="99"/>
        <w:insideH w:val="single" w:sz="4" w:space="0" w:color="8EB3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5D2" w:themeFill="accent2" w:themeFillTint="33"/>
      </w:tcPr>
    </w:tblStylePr>
    <w:tblStylePr w:type="band1Horz">
      <w:tblPr/>
      <w:tcPr>
        <w:shd w:val="clear" w:color="auto" w:fill="D9E5D2" w:themeFill="accent2" w:themeFillTint="33"/>
      </w:tcPr>
    </w:tblStylePr>
  </w:style>
  <w:style w:type="table" w:styleId="ListTable2-Accent3">
    <w:name w:val="List Table 2 Accent 3"/>
    <w:basedOn w:val="TableNormal"/>
    <w:uiPriority w:val="47"/>
    <w:rsid w:val="002C17A3"/>
    <w:rPr>
      <w:sz w:val="20"/>
      <w:szCs w:val="20"/>
    </w:rPr>
    <w:tblPr>
      <w:tblStyleRowBandSize w:val="1"/>
      <w:tblStyleColBandSize w:val="1"/>
      <w:tblBorders>
        <w:top w:val="single" w:sz="4" w:space="0" w:color="BBC6B8" w:themeColor="accent3" w:themeTint="99"/>
        <w:bottom w:val="single" w:sz="4" w:space="0" w:color="BBC6B8" w:themeColor="accent3" w:themeTint="99"/>
        <w:insideH w:val="single" w:sz="4" w:space="0" w:color="BBC6B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CE7" w:themeFill="accent3" w:themeFillTint="33"/>
      </w:tcPr>
    </w:tblStylePr>
    <w:tblStylePr w:type="band1Horz">
      <w:tblPr/>
      <w:tcPr>
        <w:shd w:val="clear" w:color="auto" w:fill="E8ECE7" w:themeFill="accent3" w:themeFillTint="33"/>
      </w:tcPr>
    </w:tblStylePr>
  </w:style>
  <w:style w:type="table" w:styleId="ListTable2-Accent4">
    <w:name w:val="List Table 2 Accent 4"/>
    <w:basedOn w:val="TableNormal"/>
    <w:uiPriority w:val="47"/>
    <w:rsid w:val="002C17A3"/>
    <w:rPr>
      <w:sz w:val="20"/>
      <w:szCs w:val="20"/>
    </w:rPr>
    <w:tblPr>
      <w:tblStyleRowBandSize w:val="1"/>
      <w:tblStyleColBandSize w:val="1"/>
      <w:tblBorders>
        <w:top w:val="single" w:sz="4" w:space="0" w:color="E18E7A" w:themeColor="accent4" w:themeTint="99"/>
        <w:bottom w:val="single" w:sz="4" w:space="0" w:color="E18E7A" w:themeColor="accent4" w:themeTint="99"/>
        <w:insideH w:val="single" w:sz="4" w:space="0" w:color="E18E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9D2" w:themeFill="accent4" w:themeFillTint="33"/>
      </w:tcPr>
    </w:tblStylePr>
    <w:tblStylePr w:type="band1Horz">
      <w:tblPr/>
      <w:tcPr>
        <w:shd w:val="clear" w:color="auto" w:fill="F5D9D2" w:themeFill="accent4" w:themeFillTint="33"/>
      </w:tcPr>
    </w:tblStylePr>
  </w:style>
  <w:style w:type="table" w:styleId="ListTable2-Accent5">
    <w:name w:val="List Table 2 Accent 5"/>
    <w:basedOn w:val="TableNormal"/>
    <w:uiPriority w:val="47"/>
    <w:rsid w:val="002C17A3"/>
    <w:rPr>
      <w:sz w:val="20"/>
      <w:szCs w:val="20"/>
    </w:rPr>
    <w:tblPr>
      <w:tblStyleRowBandSize w:val="1"/>
      <w:tblStyleColBandSize w:val="1"/>
      <w:tblBorders>
        <w:top w:val="single" w:sz="4" w:space="0" w:color="DBC1A5" w:themeColor="accent5" w:themeTint="99"/>
        <w:bottom w:val="single" w:sz="4" w:space="0" w:color="DBC1A5" w:themeColor="accent5" w:themeTint="99"/>
        <w:insideH w:val="single" w:sz="4" w:space="0" w:color="DBC1A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EAE1" w:themeFill="accent5" w:themeFillTint="33"/>
      </w:tcPr>
    </w:tblStylePr>
    <w:tblStylePr w:type="band1Horz">
      <w:tblPr/>
      <w:tcPr>
        <w:shd w:val="clear" w:color="auto" w:fill="F3EAE1" w:themeFill="accent5" w:themeFillTint="33"/>
      </w:tcPr>
    </w:tblStylePr>
  </w:style>
  <w:style w:type="table" w:styleId="ListTable2-Accent6">
    <w:name w:val="List Table 2 Accent 6"/>
    <w:basedOn w:val="TableNormal"/>
    <w:uiPriority w:val="47"/>
    <w:rsid w:val="002C17A3"/>
    <w:rPr>
      <w:sz w:val="20"/>
      <w:szCs w:val="20"/>
    </w:rPr>
    <w:tblPr>
      <w:tblStyleRowBandSize w:val="1"/>
      <w:tblStyleColBandSize w:val="1"/>
      <w:tblBorders>
        <w:top w:val="single" w:sz="4" w:space="0" w:color="D0D1D1" w:themeColor="accent6" w:themeTint="99"/>
        <w:bottom w:val="single" w:sz="4" w:space="0" w:color="D0D1D1" w:themeColor="accent6" w:themeTint="99"/>
        <w:insideH w:val="single" w:sz="4" w:space="0" w:color="D0D1D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ListTable3">
    <w:name w:val="List Table 3"/>
    <w:basedOn w:val="TableNormal"/>
    <w:uiPriority w:val="48"/>
    <w:rsid w:val="002C17A3"/>
    <w:rPr>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C17A3"/>
    <w:rPr>
      <w:sz w:val="20"/>
      <w:szCs w:val="20"/>
    </w:rPr>
    <w:tblPr>
      <w:tblStyleRowBandSize w:val="1"/>
      <w:tblStyleColBandSize w:val="1"/>
      <w:tblBorders>
        <w:top w:val="single" w:sz="4" w:space="0" w:color="649EA5" w:themeColor="accent1"/>
        <w:left w:val="single" w:sz="4" w:space="0" w:color="649EA5" w:themeColor="accent1"/>
        <w:bottom w:val="single" w:sz="4" w:space="0" w:color="649EA5" w:themeColor="accent1"/>
        <w:right w:val="single" w:sz="4" w:space="0" w:color="649EA5" w:themeColor="accent1"/>
      </w:tblBorders>
    </w:tblPr>
    <w:tblStylePr w:type="firstRow">
      <w:rPr>
        <w:b/>
        <w:bCs/>
        <w:color w:val="FFFFFF" w:themeColor="background1"/>
      </w:rPr>
      <w:tblPr/>
      <w:tcPr>
        <w:shd w:val="clear" w:color="auto" w:fill="649EA5" w:themeFill="accent1"/>
      </w:tcPr>
    </w:tblStylePr>
    <w:tblStylePr w:type="lastRow">
      <w:rPr>
        <w:b/>
        <w:bCs/>
      </w:rPr>
      <w:tblPr/>
      <w:tcPr>
        <w:tcBorders>
          <w:top w:val="double" w:sz="4" w:space="0" w:color="649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49EA5" w:themeColor="accent1"/>
          <w:right w:val="single" w:sz="4" w:space="0" w:color="649EA5" w:themeColor="accent1"/>
        </w:tcBorders>
      </w:tcPr>
    </w:tblStylePr>
    <w:tblStylePr w:type="band1Horz">
      <w:tblPr/>
      <w:tcPr>
        <w:tcBorders>
          <w:top w:val="single" w:sz="4" w:space="0" w:color="649EA5" w:themeColor="accent1"/>
          <w:bottom w:val="single" w:sz="4" w:space="0" w:color="649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49EA5" w:themeColor="accent1"/>
          <w:left w:val="nil"/>
        </w:tcBorders>
      </w:tcPr>
    </w:tblStylePr>
    <w:tblStylePr w:type="swCell">
      <w:tblPr/>
      <w:tcPr>
        <w:tcBorders>
          <w:top w:val="double" w:sz="4" w:space="0" w:color="649EA5" w:themeColor="accent1"/>
          <w:right w:val="nil"/>
        </w:tcBorders>
      </w:tcPr>
    </w:tblStylePr>
  </w:style>
  <w:style w:type="table" w:styleId="ListTable3-Accent2">
    <w:name w:val="List Table 3 Accent 2"/>
    <w:basedOn w:val="TableNormal"/>
    <w:uiPriority w:val="48"/>
    <w:rsid w:val="002C17A3"/>
    <w:rPr>
      <w:sz w:val="20"/>
      <w:szCs w:val="20"/>
    </w:rPr>
    <w:tblPr>
      <w:tblStyleRowBandSize w:val="1"/>
      <w:tblStyleColBandSize w:val="1"/>
      <w:tblBorders>
        <w:top w:val="single" w:sz="4" w:space="0" w:color="4B673B" w:themeColor="accent2"/>
        <w:left w:val="single" w:sz="4" w:space="0" w:color="4B673B" w:themeColor="accent2"/>
        <w:bottom w:val="single" w:sz="4" w:space="0" w:color="4B673B" w:themeColor="accent2"/>
        <w:right w:val="single" w:sz="4" w:space="0" w:color="4B673B" w:themeColor="accent2"/>
      </w:tblBorders>
    </w:tblPr>
    <w:tblStylePr w:type="firstRow">
      <w:rPr>
        <w:b/>
        <w:bCs/>
        <w:color w:val="FFFFFF" w:themeColor="background1"/>
      </w:rPr>
      <w:tblPr/>
      <w:tcPr>
        <w:shd w:val="clear" w:color="auto" w:fill="4B673B" w:themeFill="accent2"/>
      </w:tcPr>
    </w:tblStylePr>
    <w:tblStylePr w:type="lastRow">
      <w:rPr>
        <w:b/>
        <w:bCs/>
      </w:rPr>
      <w:tblPr/>
      <w:tcPr>
        <w:tcBorders>
          <w:top w:val="double" w:sz="4" w:space="0" w:color="4B67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73B" w:themeColor="accent2"/>
          <w:right w:val="single" w:sz="4" w:space="0" w:color="4B673B" w:themeColor="accent2"/>
        </w:tcBorders>
      </w:tcPr>
    </w:tblStylePr>
    <w:tblStylePr w:type="band1Horz">
      <w:tblPr/>
      <w:tcPr>
        <w:tcBorders>
          <w:top w:val="single" w:sz="4" w:space="0" w:color="4B673B" w:themeColor="accent2"/>
          <w:bottom w:val="single" w:sz="4" w:space="0" w:color="4B67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73B" w:themeColor="accent2"/>
          <w:left w:val="nil"/>
        </w:tcBorders>
      </w:tcPr>
    </w:tblStylePr>
    <w:tblStylePr w:type="swCell">
      <w:tblPr/>
      <w:tcPr>
        <w:tcBorders>
          <w:top w:val="double" w:sz="4" w:space="0" w:color="4B673B" w:themeColor="accent2"/>
          <w:right w:val="nil"/>
        </w:tcBorders>
      </w:tcPr>
    </w:tblStylePr>
  </w:style>
  <w:style w:type="table" w:styleId="ListTable3-Accent3">
    <w:name w:val="List Table 3 Accent 3"/>
    <w:basedOn w:val="TableNormal"/>
    <w:uiPriority w:val="48"/>
    <w:rsid w:val="002C17A3"/>
    <w:rPr>
      <w:sz w:val="20"/>
      <w:szCs w:val="20"/>
    </w:rPr>
    <w:tblPr>
      <w:tblStyleRowBandSize w:val="1"/>
      <w:tblStyleColBandSize w:val="1"/>
      <w:tblBorders>
        <w:top w:val="single" w:sz="4" w:space="0" w:color="8EA189" w:themeColor="accent3"/>
        <w:left w:val="single" w:sz="4" w:space="0" w:color="8EA189" w:themeColor="accent3"/>
        <w:bottom w:val="single" w:sz="4" w:space="0" w:color="8EA189" w:themeColor="accent3"/>
        <w:right w:val="single" w:sz="4" w:space="0" w:color="8EA189" w:themeColor="accent3"/>
      </w:tblBorders>
    </w:tblPr>
    <w:tblStylePr w:type="firstRow">
      <w:rPr>
        <w:b/>
        <w:bCs/>
        <w:color w:val="FFFFFF" w:themeColor="background1"/>
      </w:rPr>
      <w:tblPr/>
      <w:tcPr>
        <w:shd w:val="clear" w:color="auto" w:fill="8EA189" w:themeFill="accent3"/>
      </w:tcPr>
    </w:tblStylePr>
    <w:tblStylePr w:type="lastRow">
      <w:rPr>
        <w:b/>
        <w:bCs/>
      </w:rPr>
      <w:tblPr/>
      <w:tcPr>
        <w:tcBorders>
          <w:top w:val="double" w:sz="4" w:space="0" w:color="8EA1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A189" w:themeColor="accent3"/>
          <w:right w:val="single" w:sz="4" w:space="0" w:color="8EA189" w:themeColor="accent3"/>
        </w:tcBorders>
      </w:tcPr>
    </w:tblStylePr>
    <w:tblStylePr w:type="band1Horz">
      <w:tblPr/>
      <w:tcPr>
        <w:tcBorders>
          <w:top w:val="single" w:sz="4" w:space="0" w:color="8EA189" w:themeColor="accent3"/>
          <w:bottom w:val="single" w:sz="4" w:space="0" w:color="8EA1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A189" w:themeColor="accent3"/>
          <w:left w:val="nil"/>
        </w:tcBorders>
      </w:tcPr>
    </w:tblStylePr>
    <w:tblStylePr w:type="swCell">
      <w:tblPr/>
      <w:tcPr>
        <w:tcBorders>
          <w:top w:val="double" w:sz="4" w:space="0" w:color="8EA189" w:themeColor="accent3"/>
          <w:right w:val="nil"/>
        </w:tcBorders>
      </w:tcPr>
    </w:tblStylePr>
  </w:style>
  <w:style w:type="table" w:styleId="ListTable3-Accent4">
    <w:name w:val="List Table 3 Accent 4"/>
    <w:basedOn w:val="TableNormal"/>
    <w:uiPriority w:val="48"/>
    <w:rsid w:val="002C17A3"/>
    <w:rPr>
      <w:sz w:val="20"/>
      <w:szCs w:val="20"/>
    </w:rPr>
    <w:tblPr>
      <w:tblStyleRowBandSize w:val="1"/>
      <w:tblStyleColBandSize w:val="1"/>
      <w:tblBorders>
        <w:top w:val="single" w:sz="4" w:space="0" w:color="C44A2C" w:themeColor="accent4"/>
        <w:left w:val="single" w:sz="4" w:space="0" w:color="C44A2C" w:themeColor="accent4"/>
        <w:bottom w:val="single" w:sz="4" w:space="0" w:color="C44A2C" w:themeColor="accent4"/>
        <w:right w:val="single" w:sz="4" w:space="0" w:color="C44A2C" w:themeColor="accent4"/>
      </w:tblBorders>
    </w:tblPr>
    <w:tblStylePr w:type="firstRow">
      <w:rPr>
        <w:b/>
        <w:bCs/>
        <w:color w:val="FFFFFF" w:themeColor="background1"/>
      </w:rPr>
      <w:tblPr/>
      <w:tcPr>
        <w:shd w:val="clear" w:color="auto" w:fill="C44A2C" w:themeFill="accent4"/>
      </w:tcPr>
    </w:tblStylePr>
    <w:tblStylePr w:type="lastRow">
      <w:rPr>
        <w:b/>
        <w:bCs/>
      </w:rPr>
      <w:tblPr/>
      <w:tcPr>
        <w:tcBorders>
          <w:top w:val="double" w:sz="4" w:space="0" w:color="C44A2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44A2C" w:themeColor="accent4"/>
          <w:right w:val="single" w:sz="4" w:space="0" w:color="C44A2C" w:themeColor="accent4"/>
        </w:tcBorders>
      </w:tcPr>
    </w:tblStylePr>
    <w:tblStylePr w:type="band1Horz">
      <w:tblPr/>
      <w:tcPr>
        <w:tcBorders>
          <w:top w:val="single" w:sz="4" w:space="0" w:color="C44A2C" w:themeColor="accent4"/>
          <w:bottom w:val="single" w:sz="4" w:space="0" w:color="C44A2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44A2C" w:themeColor="accent4"/>
          <w:left w:val="nil"/>
        </w:tcBorders>
      </w:tcPr>
    </w:tblStylePr>
    <w:tblStylePr w:type="swCell">
      <w:tblPr/>
      <w:tcPr>
        <w:tcBorders>
          <w:top w:val="double" w:sz="4" w:space="0" w:color="C44A2C" w:themeColor="accent4"/>
          <w:right w:val="nil"/>
        </w:tcBorders>
      </w:tcPr>
    </w:tblStylePr>
  </w:style>
  <w:style w:type="table" w:styleId="ListTable3-Accent5">
    <w:name w:val="List Table 3 Accent 5"/>
    <w:basedOn w:val="TableNormal"/>
    <w:uiPriority w:val="48"/>
    <w:rsid w:val="002C17A3"/>
    <w:rPr>
      <w:sz w:val="20"/>
      <w:szCs w:val="20"/>
    </w:rPr>
    <w:tblPr>
      <w:tblStyleRowBandSize w:val="1"/>
      <w:tblStyleColBandSize w:val="1"/>
      <w:tblBorders>
        <w:top w:val="single" w:sz="4" w:space="0" w:color="C3996A" w:themeColor="accent5"/>
        <w:left w:val="single" w:sz="4" w:space="0" w:color="C3996A" w:themeColor="accent5"/>
        <w:bottom w:val="single" w:sz="4" w:space="0" w:color="C3996A" w:themeColor="accent5"/>
        <w:right w:val="single" w:sz="4" w:space="0" w:color="C3996A" w:themeColor="accent5"/>
      </w:tblBorders>
    </w:tblPr>
    <w:tblStylePr w:type="firstRow">
      <w:rPr>
        <w:b/>
        <w:bCs/>
        <w:color w:val="FFFFFF" w:themeColor="background1"/>
      </w:rPr>
      <w:tblPr/>
      <w:tcPr>
        <w:shd w:val="clear" w:color="auto" w:fill="C3996A" w:themeFill="accent5"/>
      </w:tcPr>
    </w:tblStylePr>
    <w:tblStylePr w:type="lastRow">
      <w:rPr>
        <w:b/>
        <w:bCs/>
      </w:rPr>
      <w:tblPr/>
      <w:tcPr>
        <w:tcBorders>
          <w:top w:val="double" w:sz="4" w:space="0" w:color="C3996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996A" w:themeColor="accent5"/>
          <w:right w:val="single" w:sz="4" w:space="0" w:color="C3996A" w:themeColor="accent5"/>
        </w:tcBorders>
      </w:tcPr>
    </w:tblStylePr>
    <w:tblStylePr w:type="band1Horz">
      <w:tblPr/>
      <w:tcPr>
        <w:tcBorders>
          <w:top w:val="single" w:sz="4" w:space="0" w:color="C3996A" w:themeColor="accent5"/>
          <w:bottom w:val="single" w:sz="4" w:space="0" w:color="C3996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996A" w:themeColor="accent5"/>
          <w:left w:val="nil"/>
        </w:tcBorders>
      </w:tcPr>
    </w:tblStylePr>
    <w:tblStylePr w:type="swCell">
      <w:tblPr/>
      <w:tcPr>
        <w:tcBorders>
          <w:top w:val="double" w:sz="4" w:space="0" w:color="C3996A" w:themeColor="accent5"/>
          <w:right w:val="nil"/>
        </w:tcBorders>
      </w:tcPr>
    </w:tblStylePr>
  </w:style>
  <w:style w:type="table" w:styleId="ListTable3-Accent6">
    <w:name w:val="List Table 3 Accent 6"/>
    <w:basedOn w:val="TableNormal"/>
    <w:uiPriority w:val="48"/>
    <w:rsid w:val="002C17A3"/>
    <w:rPr>
      <w:sz w:val="20"/>
      <w:szCs w:val="20"/>
    </w:rPr>
    <w:tblPr>
      <w:tblStyleRowBandSize w:val="1"/>
      <w:tblStyleColBandSize w:val="1"/>
      <w:tblBorders>
        <w:top w:val="single" w:sz="4" w:space="0" w:color="B1B3B3" w:themeColor="accent6"/>
        <w:left w:val="single" w:sz="4" w:space="0" w:color="B1B3B3" w:themeColor="accent6"/>
        <w:bottom w:val="single" w:sz="4" w:space="0" w:color="B1B3B3" w:themeColor="accent6"/>
        <w:right w:val="single" w:sz="4" w:space="0" w:color="B1B3B3" w:themeColor="accent6"/>
      </w:tblBorders>
    </w:tblPr>
    <w:tblStylePr w:type="firstRow">
      <w:rPr>
        <w:b/>
        <w:bCs/>
        <w:color w:val="FFFFFF" w:themeColor="background1"/>
      </w:rPr>
      <w:tblPr/>
      <w:tcPr>
        <w:shd w:val="clear" w:color="auto" w:fill="B1B3B3" w:themeFill="accent6"/>
      </w:tcPr>
    </w:tblStylePr>
    <w:tblStylePr w:type="lastRow">
      <w:rPr>
        <w:b/>
        <w:bCs/>
      </w:rPr>
      <w:tblPr/>
      <w:tcPr>
        <w:tcBorders>
          <w:top w:val="double" w:sz="4" w:space="0" w:color="B1B3B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3B3" w:themeColor="accent6"/>
          <w:right w:val="single" w:sz="4" w:space="0" w:color="B1B3B3" w:themeColor="accent6"/>
        </w:tcBorders>
      </w:tcPr>
    </w:tblStylePr>
    <w:tblStylePr w:type="band1Horz">
      <w:tblPr/>
      <w:tcPr>
        <w:tcBorders>
          <w:top w:val="single" w:sz="4" w:space="0" w:color="B1B3B3" w:themeColor="accent6"/>
          <w:bottom w:val="single" w:sz="4" w:space="0" w:color="B1B3B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3B3" w:themeColor="accent6"/>
          <w:left w:val="nil"/>
        </w:tcBorders>
      </w:tcPr>
    </w:tblStylePr>
    <w:tblStylePr w:type="swCell">
      <w:tblPr/>
      <w:tcPr>
        <w:tcBorders>
          <w:top w:val="double" w:sz="4" w:space="0" w:color="B1B3B3" w:themeColor="accent6"/>
          <w:right w:val="nil"/>
        </w:tcBorders>
      </w:tcPr>
    </w:tblStylePr>
  </w:style>
  <w:style w:type="table" w:styleId="ListTable4">
    <w:name w:val="List Table 4"/>
    <w:basedOn w:val="TableNormal"/>
    <w:uiPriority w:val="49"/>
    <w:rsid w:val="002C17A3"/>
    <w:rPr>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C17A3"/>
    <w:rPr>
      <w:sz w:val="20"/>
      <w:szCs w:val="20"/>
    </w:rPr>
    <w:tblPr>
      <w:tblStyleRowBandSize w:val="1"/>
      <w:tblStyleColBandSize w:val="1"/>
      <w:tblBorders>
        <w:top w:val="single" w:sz="4" w:space="0" w:color="A2C4C9" w:themeColor="accent1" w:themeTint="99"/>
        <w:left w:val="single" w:sz="4" w:space="0" w:color="A2C4C9" w:themeColor="accent1" w:themeTint="99"/>
        <w:bottom w:val="single" w:sz="4" w:space="0" w:color="A2C4C9" w:themeColor="accent1" w:themeTint="99"/>
        <w:right w:val="single" w:sz="4" w:space="0" w:color="A2C4C9" w:themeColor="accent1" w:themeTint="99"/>
        <w:insideH w:val="single" w:sz="4" w:space="0" w:color="A2C4C9" w:themeColor="accent1" w:themeTint="99"/>
      </w:tblBorders>
    </w:tblPr>
    <w:tblStylePr w:type="firstRow">
      <w:rPr>
        <w:b/>
        <w:bCs/>
        <w:color w:val="FFFFFF" w:themeColor="background1"/>
      </w:rPr>
      <w:tblPr/>
      <w:tcPr>
        <w:tcBorders>
          <w:top w:val="single" w:sz="4" w:space="0" w:color="649EA5" w:themeColor="accent1"/>
          <w:left w:val="single" w:sz="4" w:space="0" w:color="649EA5" w:themeColor="accent1"/>
          <w:bottom w:val="single" w:sz="4" w:space="0" w:color="649EA5" w:themeColor="accent1"/>
          <w:right w:val="single" w:sz="4" w:space="0" w:color="649EA5" w:themeColor="accent1"/>
          <w:insideH w:val="nil"/>
        </w:tcBorders>
        <w:shd w:val="clear" w:color="auto" w:fill="649EA5" w:themeFill="accent1"/>
      </w:tcPr>
    </w:tblStylePr>
    <w:tblStylePr w:type="lastRow">
      <w:rPr>
        <w:b/>
        <w:bCs/>
      </w:rPr>
      <w:tblPr/>
      <w:tcPr>
        <w:tcBorders>
          <w:top w:val="double" w:sz="4" w:space="0" w:color="A2C4C9" w:themeColor="accent1" w:themeTint="99"/>
        </w:tcBorders>
      </w:tc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ListTable4-Accent2">
    <w:name w:val="List Table 4 Accent 2"/>
    <w:basedOn w:val="TableNormal"/>
    <w:uiPriority w:val="49"/>
    <w:rsid w:val="002C17A3"/>
    <w:rPr>
      <w:sz w:val="20"/>
      <w:szCs w:val="20"/>
    </w:rPr>
    <w:tblPr>
      <w:tblStyleRowBandSize w:val="1"/>
      <w:tblStyleColBandSize w:val="1"/>
      <w:tblBorders>
        <w:top w:val="single" w:sz="4" w:space="0" w:color="8EB37A" w:themeColor="accent2" w:themeTint="99"/>
        <w:left w:val="single" w:sz="4" w:space="0" w:color="8EB37A" w:themeColor="accent2" w:themeTint="99"/>
        <w:bottom w:val="single" w:sz="4" w:space="0" w:color="8EB37A" w:themeColor="accent2" w:themeTint="99"/>
        <w:right w:val="single" w:sz="4" w:space="0" w:color="8EB37A" w:themeColor="accent2" w:themeTint="99"/>
        <w:insideH w:val="single" w:sz="4" w:space="0" w:color="8EB37A" w:themeColor="accent2" w:themeTint="99"/>
      </w:tblBorders>
    </w:tblPr>
    <w:tblStylePr w:type="firstRow">
      <w:rPr>
        <w:b/>
        <w:bCs/>
        <w:color w:val="FFFFFF" w:themeColor="background1"/>
      </w:rPr>
      <w:tblPr/>
      <w:tcPr>
        <w:tcBorders>
          <w:top w:val="single" w:sz="4" w:space="0" w:color="4B673B" w:themeColor="accent2"/>
          <w:left w:val="single" w:sz="4" w:space="0" w:color="4B673B" w:themeColor="accent2"/>
          <w:bottom w:val="single" w:sz="4" w:space="0" w:color="4B673B" w:themeColor="accent2"/>
          <w:right w:val="single" w:sz="4" w:space="0" w:color="4B673B" w:themeColor="accent2"/>
          <w:insideH w:val="nil"/>
        </w:tcBorders>
        <w:shd w:val="clear" w:color="auto" w:fill="4B673B" w:themeFill="accent2"/>
      </w:tcPr>
    </w:tblStylePr>
    <w:tblStylePr w:type="lastRow">
      <w:rPr>
        <w:b/>
        <w:bCs/>
      </w:rPr>
      <w:tblPr/>
      <w:tcPr>
        <w:tcBorders>
          <w:top w:val="double" w:sz="4" w:space="0" w:color="8EB37A" w:themeColor="accent2" w:themeTint="99"/>
        </w:tcBorders>
      </w:tcPr>
    </w:tblStylePr>
    <w:tblStylePr w:type="firstCol">
      <w:rPr>
        <w:b/>
        <w:bCs/>
      </w:rPr>
    </w:tblStylePr>
    <w:tblStylePr w:type="lastCol">
      <w:rPr>
        <w:b/>
        <w:bCs/>
      </w:rPr>
    </w:tblStylePr>
    <w:tblStylePr w:type="band1Vert">
      <w:tblPr/>
      <w:tcPr>
        <w:shd w:val="clear" w:color="auto" w:fill="D9E5D2" w:themeFill="accent2" w:themeFillTint="33"/>
      </w:tcPr>
    </w:tblStylePr>
    <w:tblStylePr w:type="band1Horz">
      <w:tblPr/>
      <w:tcPr>
        <w:shd w:val="clear" w:color="auto" w:fill="D9E5D2" w:themeFill="accent2" w:themeFillTint="33"/>
      </w:tcPr>
    </w:tblStylePr>
  </w:style>
  <w:style w:type="table" w:styleId="ListTable4-Accent3">
    <w:name w:val="List Table 4 Accent 3"/>
    <w:basedOn w:val="TableNormal"/>
    <w:uiPriority w:val="49"/>
    <w:rsid w:val="002C17A3"/>
    <w:rPr>
      <w:sz w:val="20"/>
      <w:szCs w:val="20"/>
    </w:rPr>
    <w:tblPr>
      <w:tblStyleRowBandSize w:val="1"/>
      <w:tblStyleColBandSize w:val="1"/>
      <w:tblBorders>
        <w:top w:val="single" w:sz="4" w:space="0" w:color="BBC6B8" w:themeColor="accent3" w:themeTint="99"/>
        <w:left w:val="single" w:sz="4" w:space="0" w:color="BBC6B8" w:themeColor="accent3" w:themeTint="99"/>
        <w:bottom w:val="single" w:sz="4" w:space="0" w:color="BBC6B8" w:themeColor="accent3" w:themeTint="99"/>
        <w:right w:val="single" w:sz="4" w:space="0" w:color="BBC6B8" w:themeColor="accent3" w:themeTint="99"/>
        <w:insideH w:val="single" w:sz="4" w:space="0" w:color="BBC6B8" w:themeColor="accent3" w:themeTint="99"/>
      </w:tblBorders>
    </w:tblPr>
    <w:tblStylePr w:type="firstRow">
      <w:rPr>
        <w:b/>
        <w:bCs/>
        <w:color w:val="FFFFFF" w:themeColor="background1"/>
      </w:rPr>
      <w:tblPr/>
      <w:tcPr>
        <w:tcBorders>
          <w:top w:val="single" w:sz="4" w:space="0" w:color="8EA189" w:themeColor="accent3"/>
          <w:left w:val="single" w:sz="4" w:space="0" w:color="8EA189" w:themeColor="accent3"/>
          <w:bottom w:val="single" w:sz="4" w:space="0" w:color="8EA189" w:themeColor="accent3"/>
          <w:right w:val="single" w:sz="4" w:space="0" w:color="8EA189" w:themeColor="accent3"/>
          <w:insideH w:val="nil"/>
        </w:tcBorders>
        <w:shd w:val="clear" w:color="auto" w:fill="8EA189" w:themeFill="accent3"/>
      </w:tcPr>
    </w:tblStylePr>
    <w:tblStylePr w:type="lastRow">
      <w:rPr>
        <w:b/>
        <w:bCs/>
      </w:rPr>
      <w:tblPr/>
      <w:tcPr>
        <w:tcBorders>
          <w:top w:val="double" w:sz="4" w:space="0" w:color="BBC6B8" w:themeColor="accent3" w:themeTint="99"/>
        </w:tcBorders>
      </w:tcPr>
    </w:tblStylePr>
    <w:tblStylePr w:type="firstCol">
      <w:rPr>
        <w:b/>
        <w:bCs/>
      </w:rPr>
    </w:tblStylePr>
    <w:tblStylePr w:type="lastCol">
      <w:rPr>
        <w:b/>
        <w:bCs/>
      </w:rPr>
    </w:tblStylePr>
    <w:tblStylePr w:type="band1Vert">
      <w:tblPr/>
      <w:tcPr>
        <w:shd w:val="clear" w:color="auto" w:fill="E8ECE7" w:themeFill="accent3" w:themeFillTint="33"/>
      </w:tcPr>
    </w:tblStylePr>
    <w:tblStylePr w:type="band1Horz">
      <w:tblPr/>
      <w:tcPr>
        <w:shd w:val="clear" w:color="auto" w:fill="E8ECE7" w:themeFill="accent3" w:themeFillTint="33"/>
      </w:tcPr>
    </w:tblStylePr>
  </w:style>
  <w:style w:type="table" w:styleId="ListTable4-Accent4">
    <w:name w:val="List Table 4 Accent 4"/>
    <w:basedOn w:val="TableNormal"/>
    <w:uiPriority w:val="49"/>
    <w:rsid w:val="002C17A3"/>
    <w:rPr>
      <w:sz w:val="20"/>
      <w:szCs w:val="20"/>
    </w:rPr>
    <w:tblPr>
      <w:tblStyleRowBandSize w:val="1"/>
      <w:tblStyleColBandSize w:val="1"/>
      <w:tblBorders>
        <w:top w:val="single" w:sz="4" w:space="0" w:color="E18E7A" w:themeColor="accent4" w:themeTint="99"/>
        <w:left w:val="single" w:sz="4" w:space="0" w:color="E18E7A" w:themeColor="accent4" w:themeTint="99"/>
        <w:bottom w:val="single" w:sz="4" w:space="0" w:color="E18E7A" w:themeColor="accent4" w:themeTint="99"/>
        <w:right w:val="single" w:sz="4" w:space="0" w:color="E18E7A" w:themeColor="accent4" w:themeTint="99"/>
        <w:insideH w:val="single" w:sz="4" w:space="0" w:color="E18E7A" w:themeColor="accent4" w:themeTint="99"/>
      </w:tblBorders>
    </w:tblPr>
    <w:tblStylePr w:type="firstRow">
      <w:rPr>
        <w:b/>
        <w:bCs/>
        <w:color w:val="FFFFFF" w:themeColor="background1"/>
      </w:rPr>
      <w:tblPr/>
      <w:tcPr>
        <w:tcBorders>
          <w:top w:val="single" w:sz="4" w:space="0" w:color="C44A2C" w:themeColor="accent4"/>
          <w:left w:val="single" w:sz="4" w:space="0" w:color="C44A2C" w:themeColor="accent4"/>
          <w:bottom w:val="single" w:sz="4" w:space="0" w:color="C44A2C" w:themeColor="accent4"/>
          <w:right w:val="single" w:sz="4" w:space="0" w:color="C44A2C" w:themeColor="accent4"/>
          <w:insideH w:val="nil"/>
        </w:tcBorders>
        <w:shd w:val="clear" w:color="auto" w:fill="C44A2C" w:themeFill="accent4"/>
      </w:tcPr>
    </w:tblStylePr>
    <w:tblStylePr w:type="lastRow">
      <w:rPr>
        <w:b/>
        <w:bCs/>
      </w:rPr>
      <w:tblPr/>
      <w:tcPr>
        <w:tcBorders>
          <w:top w:val="double" w:sz="4" w:space="0" w:color="E18E7A" w:themeColor="accent4" w:themeTint="99"/>
        </w:tcBorders>
      </w:tcPr>
    </w:tblStylePr>
    <w:tblStylePr w:type="firstCol">
      <w:rPr>
        <w:b/>
        <w:bCs/>
      </w:rPr>
    </w:tblStylePr>
    <w:tblStylePr w:type="lastCol">
      <w:rPr>
        <w:b/>
        <w:bCs/>
      </w:rPr>
    </w:tblStylePr>
    <w:tblStylePr w:type="band1Vert">
      <w:tblPr/>
      <w:tcPr>
        <w:shd w:val="clear" w:color="auto" w:fill="F5D9D2" w:themeFill="accent4" w:themeFillTint="33"/>
      </w:tcPr>
    </w:tblStylePr>
    <w:tblStylePr w:type="band1Horz">
      <w:tblPr/>
      <w:tcPr>
        <w:shd w:val="clear" w:color="auto" w:fill="F5D9D2" w:themeFill="accent4" w:themeFillTint="33"/>
      </w:tcPr>
    </w:tblStylePr>
  </w:style>
  <w:style w:type="table" w:styleId="ListTable4-Accent5">
    <w:name w:val="List Table 4 Accent 5"/>
    <w:basedOn w:val="TableNormal"/>
    <w:uiPriority w:val="49"/>
    <w:rsid w:val="002C17A3"/>
    <w:rPr>
      <w:sz w:val="20"/>
      <w:szCs w:val="20"/>
    </w:rPr>
    <w:tblPr>
      <w:tblStyleRowBandSize w:val="1"/>
      <w:tblStyleColBandSize w:val="1"/>
      <w:tblBorders>
        <w:top w:val="single" w:sz="4" w:space="0" w:color="DBC1A5" w:themeColor="accent5" w:themeTint="99"/>
        <w:left w:val="single" w:sz="4" w:space="0" w:color="DBC1A5" w:themeColor="accent5" w:themeTint="99"/>
        <w:bottom w:val="single" w:sz="4" w:space="0" w:color="DBC1A5" w:themeColor="accent5" w:themeTint="99"/>
        <w:right w:val="single" w:sz="4" w:space="0" w:color="DBC1A5" w:themeColor="accent5" w:themeTint="99"/>
        <w:insideH w:val="single" w:sz="4" w:space="0" w:color="DBC1A5" w:themeColor="accent5" w:themeTint="99"/>
      </w:tblBorders>
    </w:tblPr>
    <w:tblStylePr w:type="firstRow">
      <w:rPr>
        <w:b/>
        <w:bCs/>
        <w:color w:val="FFFFFF" w:themeColor="background1"/>
      </w:rPr>
      <w:tblPr/>
      <w:tcPr>
        <w:tcBorders>
          <w:top w:val="single" w:sz="4" w:space="0" w:color="C3996A" w:themeColor="accent5"/>
          <w:left w:val="single" w:sz="4" w:space="0" w:color="C3996A" w:themeColor="accent5"/>
          <w:bottom w:val="single" w:sz="4" w:space="0" w:color="C3996A" w:themeColor="accent5"/>
          <w:right w:val="single" w:sz="4" w:space="0" w:color="C3996A" w:themeColor="accent5"/>
          <w:insideH w:val="nil"/>
        </w:tcBorders>
        <w:shd w:val="clear" w:color="auto" w:fill="C3996A" w:themeFill="accent5"/>
      </w:tcPr>
    </w:tblStylePr>
    <w:tblStylePr w:type="lastRow">
      <w:rPr>
        <w:b/>
        <w:bCs/>
      </w:rPr>
      <w:tblPr/>
      <w:tcPr>
        <w:tcBorders>
          <w:top w:val="double" w:sz="4" w:space="0" w:color="DBC1A5" w:themeColor="accent5" w:themeTint="99"/>
        </w:tcBorders>
      </w:tcPr>
    </w:tblStylePr>
    <w:tblStylePr w:type="firstCol">
      <w:rPr>
        <w:b/>
        <w:bCs/>
      </w:rPr>
    </w:tblStylePr>
    <w:tblStylePr w:type="lastCol">
      <w:rPr>
        <w:b/>
        <w:bCs/>
      </w:rPr>
    </w:tblStylePr>
    <w:tblStylePr w:type="band1Vert">
      <w:tblPr/>
      <w:tcPr>
        <w:shd w:val="clear" w:color="auto" w:fill="F3EAE1" w:themeFill="accent5" w:themeFillTint="33"/>
      </w:tcPr>
    </w:tblStylePr>
    <w:tblStylePr w:type="band1Horz">
      <w:tblPr/>
      <w:tcPr>
        <w:shd w:val="clear" w:color="auto" w:fill="F3EAE1" w:themeFill="accent5" w:themeFillTint="33"/>
      </w:tcPr>
    </w:tblStylePr>
  </w:style>
  <w:style w:type="table" w:styleId="ListTable4-Accent6">
    <w:name w:val="List Table 4 Accent 6"/>
    <w:basedOn w:val="TableNormal"/>
    <w:uiPriority w:val="49"/>
    <w:rsid w:val="002C17A3"/>
    <w:rPr>
      <w:sz w:val="20"/>
      <w:szCs w:val="20"/>
    </w:rPr>
    <w:tblPr>
      <w:tblStyleRowBandSize w:val="1"/>
      <w:tblStyleColBandSize w:val="1"/>
      <w:tblBorders>
        <w:top w:val="single" w:sz="4" w:space="0" w:color="D0D1D1" w:themeColor="accent6" w:themeTint="99"/>
        <w:left w:val="single" w:sz="4" w:space="0" w:color="D0D1D1" w:themeColor="accent6" w:themeTint="99"/>
        <w:bottom w:val="single" w:sz="4" w:space="0" w:color="D0D1D1" w:themeColor="accent6" w:themeTint="99"/>
        <w:right w:val="single" w:sz="4" w:space="0" w:color="D0D1D1" w:themeColor="accent6" w:themeTint="99"/>
        <w:insideH w:val="single" w:sz="4" w:space="0" w:color="D0D1D1" w:themeColor="accent6" w:themeTint="99"/>
      </w:tblBorders>
    </w:tblPr>
    <w:tblStylePr w:type="firstRow">
      <w:rPr>
        <w:b/>
        <w:bCs/>
        <w:color w:val="FFFFFF" w:themeColor="background1"/>
      </w:rPr>
      <w:tblPr/>
      <w:tcPr>
        <w:tcBorders>
          <w:top w:val="single" w:sz="4" w:space="0" w:color="B1B3B3" w:themeColor="accent6"/>
          <w:left w:val="single" w:sz="4" w:space="0" w:color="B1B3B3" w:themeColor="accent6"/>
          <w:bottom w:val="single" w:sz="4" w:space="0" w:color="B1B3B3" w:themeColor="accent6"/>
          <w:right w:val="single" w:sz="4" w:space="0" w:color="B1B3B3" w:themeColor="accent6"/>
          <w:insideH w:val="nil"/>
        </w:tcBorders>
        <w:shd w:val="clear" w:color="auto" w:fill="B1B3B3" w:themeFill="accent6"/>
      </w:tcPr>
    </w:tblStylePr>
    <w:tblStylePr w:type="lastRow">
      <w:rPr>
        <w:b/>
        <w:bCs/>
      </w:rPr>
      <w:tblPr/>
      <w:tcPr>
        <w:tcBorders>
          <w:top w:val="double" w:sz="4" w:space="0" w:color="D0D1D1" w:themeColor="accent6" w:themeTint="99"/>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ListTable5Dark">
    <w:name w:val="List Table 5 Dark"/>
    <w:basedOn w:val="TableNormal"/>
    <w:uiPriority w:val="50"/>
    <w:rsid w:val="002C17A3"/>
    <w:rPr>
      <w:color w:val="FFFFFF" w:themeColor="background1"/>
      <w:sz w:val="20"/>
      <w:szCs w:val="20"/>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C17A3"/>
    <w:rPr>
      <w:color w:val="FFFFFF" w:themeColor="background1"/>
      <w:sz w:val="20"/>
      <w:szCs w:val="20"/>
    </w:rPr>
    <w:tblPr>
      <w:tblStyleRowBandSize w:val="1"/>
      <w:tblStyleColBandSize w:val="1"/>
      <w:tblBorders>
        <w:top w:val="single" w:sz="24" w:space="0" w:color="649EA5" w:themeColor="accent1"/>
        <w:left w:val="single" w:sz="24" w:space="0" w:color="649EA5" w:themeColor="accent1"/>
        <w:bottom w:val="single" w:sz="24" w:space="0" w:color="649EA5" w:themeColor="accent1"/>
        <w:right w:val="single" w:sz="24" w:space="0" w:color="649EA5" w:themeColor="accent1"/>
      </w:tblBorders>
    </w:tblPr>
    <w:tcPr>
      <w:shd w:val="clear" w:color="auto" w:fill="649EA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C17A3"/>
    <w:rPr>
      <w:color w:val="FFFFFF" w:themeColor="background1"/>
      <w:sz w:val="20"/>
      <w:szCs w:val="20"/>
    </w:rPr>
    <w:tblPr>
      <w:tblStyleRowBandSize w:val="1"/>
      <w:tblStyleColBandSize w:val="1"/>
      <w:tblBorders>
        <w:top w:val="single" w:sz="24" w:space="0" w:color="4B673B" w:themeColor="accent2"/>
        <w:left w:val="single" w:sz="24" w:space="0" w:color="4B673B" w:themeColor="accent2"/>
        <w:bottom w:val="single" w:sz="24" w:space="0" w:color="4B673B" w:themeColor="accent2"/>
        <w:right w:val="single" w:sz="24" w:space="0" w:color="4B673B" w:themeColor="accent2"/>
      </w:tblBorders>
    </w:tblPr>
    <w:tcPr>
      <w:shd w:val="clear" w:color="auto" w:fill="4B67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C17A3"/>
    <w:rPr>
      <w:color w:val="FFFFFF" w:themeColor="background1"/>
      <w:sz w:val="20"/>
      <w:szCs w:val="20"/>
    </w:rPr>
    <w:tblPr>
      <w:tblStyleRowBandSize w:val="1"/>
      <w:tblStyleColBandSize w:val="1"/>
      <w:tblBorders>
        <w:top w:val="single" w:sz="24" w:space="0" w:color="8EA189" w:themeColor="accent3"/>
        <w:left w:val="single" w:sz="24" w:space="0" w:color="8EA189" w:themeColor="accent3"/>
        <w:bottom w:val="single" w:sz="24" w:space="0" w:color="8EA189" w:themeColor="accent3"/>
        <w:right w:val="single" w:sz="24" w:space="0" w:color="8EA189" w:themeColor="accent3"/>
      </w:tblBorders>
    </w:tblPr>
    <w:tcPr>
      <w:shd w:val="clear" w:color="auto" w:fill="8EA1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C17A3"/>
    <w:rPr>
      <w:color w:val="FFFFFF" w:themeColor="background1"/>
      <w:sz w:val="20"/>
      <w:szCs w:val="20"/>
    </w:rPr>
    <w:tblPr>
      <w:tblStyleRowBandSize w:val="1"/>
      <w:tblStyleColBandSize w:val="1"/>
      <w:tblBorders>
        <w:top w:val="single" w:sz="24" w:space="0" w:color="C44A2C" w:themeColor="accent4"/>
        <w:left w:val="single" w:sz="24" w:space="0" w:color="C44A2C" w:themeColor="accent4"/>
        <w:bottom w:val="single" w:sz="24" w:space="0" w:color="C44A2C" w:themeColor="accent4"/>
        <w:right w:val="single" w:sz="24" w:space="0" w:color="C44A2C" w:themeColor="accent4"/>
      </w:tblBorders>
    </w:tblPr>
    <w:tcPr>
      <w:shd w:val="clear" w:color="auto" w:fill="C44A2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C17A3"/>
    <w:rPr>
      <w:color w:val="FFFFFF" w:themeColor="background1"/>
      <w:sz w:val="20"/>
      <w:szCs w:val="20"/>
    </w:rPr>
    <w:tblPr>
      <w:tblStyleRowBandSize w:val="1"/>
      <w:tblStyleColBandSize w:val="1"/>
      <w:tblBorders>
        <w:top w:val="single" w:sz="24" w:space="0" w:color="C3996A" w:themeColor="accent5"/>
        <w:left w:val="single" w:sz="24" w:space="0" w:color="C3996A" w:themeColor="accent5"/>
        <w:bottom w:val="single" w:sz="24" w:space="0" w:color="C3996A" w:themeColor="accent5"/>
        <w:right w:val="single" w:sz="24" w:space="0" w:color="C3996A" w:themeColor="accent5"/>
      </w:tblBorders>
    </w:tblPr>
    <w:tcPr>
      <w:shd w:val="clear" w:color="auto" w:fill="C3996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C17A3"/>
    <w:rPr>
      <w:color w:val="FFFFFF" w:themeColor="background1"/>
      <w:sz w:val="20"/>
      <w:szCs w:val="20"/>
    </w:rPr>
    <w:tblPr>
      <w:tblStyleRowBandSize w:val="1"/>
      <w:tblStyleColBandSize w:val="1"/>
      <w:tblBorders>
        <w:top w:val="single" w:sz="24" w:space="0" w:color="B1B3B3" w:themeColor="accent6"/>
        <w:left w:val="single" w:sz="24" w:space="0" w:color="B1B3B3" w:themeColor="accent6"/>
        <w:bottom w:val="single" w:sz="24" w:space="0" w:color="B1B3B3" w:themeColor="accent6"/>
        <w:right w:val="single" w:sz="24" w:space="0" w:color="B1B3B3" w:themeColor="accent6"/>
      </w:tblBorders>
    </w:tblPr>
    <w:tcPr>
      <w:shd w:val="clear" w:color="auto" w:fill="B1B3B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C17A3"/>
    <w:rPr>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C17A3"/>
    <w:rPr>
      <w:color w:val="49777D" w:themeColor="accent1" w:themeShade="BF"/>
      <w:sz w:val="20"/>
      <w:szCs w:val="20"/>
    </w:rPr>
    <w:tblPr>
      <w:tblStyleRowBandSize w:val="1"/>
      <w:tblStyleColBandSize w:val="1"/>
      <w:tblBorders>
        <w:top w:val="single" w:sz="4" w:space="0" w:color="649EA5" w:themeColor="accent1"/>
        <w:bottom w:val="single" w:sz="4" w:space="0" w:color="649EA5" w:themeColor="accent1"/>
      </w:tblBorders>
    </w:tblPr>
    <w:tblStylePr w:type="firstRow">
      <w:rPr>
        <w:b/>
        <w:bCs/>
      </w:rPr>
      <w:tblPr/>
      <w:tcPr>
        <w:tcBorders>
          <w:bottom w:val="single" w:sz="4" w:space="0" w:color="649EA5" w:themeColor="accent1"/>
        </w:tcBorders>
      </w:tcPr>
    </w:tblStylePr>
    <w:tblStylePr w:type="lastRow">
      <w:rPr>
        <w:b/>
        <w:bCs/>
      </w:rPr>
      <w:tblPr/>
      <w:tcPr>
        <w:tcBorders>
          <w:top w:val="double" w:sz="4" w:space="0" w:color="649EA5" w:themeColor="accent1"/>
        </w:tcBorders>
      </w:tcPr>
    </w:tblStylePr>
    <w:tblStylePr w:type="firstCol">
      <w:rPr>
        <w:b/>
        <w:bCs/>
      </w:rPr>
    </w:tblStylePr>
    <w:tblStylePr w:type="lastCol">
      <w:rPr>
        <w:b/>
        <w:bCs/>
      </w:rPr>
    </w:tblStylePr>
    <w:tblStylePr w:type="band1Vert">
      <w:tblPr/>
      <w:tcPr>
        <w:shd w:val="clear" w:color="auto" w:fill="E0EBED" w:themeFill="accent1" w:themeFillTint="33"/>
      </w:tcPr>
    </w:tblStylePr>
    <w:tblStylePr w:type="band1Horz">
      <w:tblPr/>
      <w:tcPr>
        <w:shd w:val="clear" w:color="auto" w:fill="E0EBED" w:themeFill="accent1" w:themeFillTint="33"/>
      </w:tcPr>
    </w:tblStylePr>
  </w:style>
  <w:style w:type="table" w:styleId="ListTable6Colorful-Accent2">
    <w:name w:val="List Table 6 Colorful Accent 2"/>
    <w:basedOn w:val="TableNormal"/>
    <w:uiPriority w:val="51"/>
    <w:rsid w:val="002C17A3"/>
    <w:rPr>
      <w:color w:val="384D2C" w:themeColor="accent2" w:themeShade="BF"/>
      <w:sz w:val="20"/>
      <w:szCs w:val="20"/>
    </w:rPr>
    <w:tblPr>
      <w:tblStyleRowBandSize w:val="1"/>
      <w:tblStyleColBandSize w:val="1"/>
      <w:tblBorders>
        <w:top w:val="single" w:sz="4" w:space="0" w:color="4B673B" w:themeColor="accent2"/>
        <w:bottom w:val="single" w:sz="4" w:space="0" w:color="4B673B" w:themeColor="accent2"/>
      </w:tblBorders>
    </w:tblPr>
    <w:tblStylePr w:type="firstRow">
      <w:rPr>
        <w:b/>
        <w:bCs/>
      </w:rPr>
      <w:tblPr/>
      <w:tcPr>
        <w:tcBorders>
          <w:bottom w:val="single" w:sz="4" w:space="0" w:color="4B673B" w:themeColor="accent2"/>
        </w:tcBorders>
      </w:tcPr>
    </w:tblStylePr>
    <w:tblStylePr w:type="lastRow">
      <w:rPr>
        <w:b/>
        <w:bCs/>
      </w:rPr>
      <w:tblPr/>
      <w:tcPr>
        <w:tcBorders>
          <w:top w:val="double" w:sz="4" w:space="0" w:color="4B673B" w:themeColor="accent2"/>
        </w:tcBorders>
      </w:tcPr>
    </w:tblStylePr>
    <w:tblStylePr w:type="firstCol">
      <w:rPr>
        <w:b/>
        <w:bCs/>
      </w:rPr>
    </w:tblStylePr>
    <w:tblStylePr w:type="lastCol">
      <w:rPr>
        <w:b/>
        <w:bCs/>
      </w:rPr>
    </w:tblStylePr>
    <w:tblStylePr w:type="band1Vert">
      <w:tblPr/>
      <w:tcPr>
        <w:shd w:val="clear" w:color="auto" w:fill="D9E5D2" w:themeFill="accent2" w:themeFillTint="33"/>
      </w:tcPr>
    </w:tblStylePr>
    <w:tblStylePr w:type="band1Horz">
      <w:tblPr/>
      <w:tcPr>
        <w:shd w:val="clear" w:color="auto" w:fill="D9E5D2" w:themeFill="accent2" w:themeFillTint="33"/>
      </w:tcPr>
    </w:tblStylePr>
  </w:style>
  <w:style w:type="table" w:styleId="ListTable6Colorful-Accent3">
    <w:name w:val="List Table 6 Colorful Accent 3"/>
    <w:basedOn w:val="TableNormal"/>
    <w:uiPriority w:val="51"/>
    <w:rsid w:val="002C17A3"/>
    <w:rPr>
      <w:color w:val="687C63" w:themeColor="accent3" w:themeShade="BF"/>
      <w:sz w:val="20"/>
      <w:szCs w:val="20"/>
    </w:rPr>
    <w:tblPr>
      <w:tblStyleRowBandSize w:val="1"/>
      <w:tblStyleColBandSize w:val="1"/>
      <w:tblBorders>
        <w:top w:val="single" w:sz="4" w:space="0" w:color="8EA189" w:themeColor="accent3"/>
        <w:bottom w:val="single" w:sz="4" w:space="0" w:color="8EA189" w:themeColor="accent3"/>
      </w:tblBorders>
    </w:tblPr>
    <w:tblStylePr w:type="firstRow">
      <w:rPr>
        <w:b/>
        <w:bCs/>
      </w:rPr>
      <w:tblPr/>
      <w:tcPr>
        <w:tcBorders>
          <w:bottom w:val="single" w:sz="4" w:space="0" w:color="8EA189" w:themeColor="accent3"/>
        </w:tcBorders>
      </w:tcPr>
    </w:tblStylePr>
    <w:tblStylePr w:type="lastRow">
      <w:rPr>
        <w:b/>
        <w:bCs/>
      </w:rPr>
      <w:tblPr/>
      <w:tcPr>
        <w:tcBorders>
          <w:top w:val="double" w:sz="4" w:space="0" w:color="8EA189" w:themeColor="accent3"/>
        </w:tcBorders>
      </w:tcPr>
    </w:tblStylePr>
    <w:tblStylePr w:type="firstCol">
      <w:rPr>
        <w:b/>
        <w:bCs/>
      </w:rPr>
    </w:tblStylePr>
    <w:tblStylePr w:type="lastCol">
      <w:rPr>
        <w:b/>
        <w:bCs/>
      </w:rPr>
    </w:tblStylePr>
    <w:tblStylePr w:type="band1Vert">
      <w:tblPr/>
      <w:tcPr>
        <w:shd w:val="clear" w:color="auto" w:fill="E8ECE7" w:themeFill="accent3" w:themeFillTint="33"/>
      </w:tcPr>
    </w:tblStylePr>
    <w:tblStylePr w:type="band1Horz">
      <w:tblPr/>
      <w:tcPr>
        <w:shd w:val="clear" w:color="auto" w:fill="E8ECE7" w:themeFill="accent3" w:themeFillTint="33"/>
      </w:tcPr>
    </w:tblStylePr>
  </w:style>
  <w:style w:type="table" w:styleId="ListTable6Colorful-Accent4">
    <w:name w:val="List Table 6 Colorful Accent 4"/>
    <w:basedOn w:val="TableNormal"/>
    <w:uiPriority w:val="51"/>
    <w:rsid w:val="002C17A3"/>
    <w:rPr>
      <w:color w:val="923721" w:themeColor="accent4" w:themeShade="BF"/>
      <w:sz w:val="20"/>
      <w:szCs w:val="20"/>
    </w:rPr>
    <w:tblPr>
      <w:tblStyleRowBandSize w:val="1"/>
      <w:tblStyleColBandSize w:val="1"/>
      <w:tblBorders>
        <w:top w:val="single" w:sz="4" w:space="0" w:color="C44A2C" w:themeColor="accent4"/>
        <w:bottom w:val="single" w:sz="4" w:space="0" w:color="C44A2C" w:themeColor="accent4"/>
      </w:tblBorders>
    </w:tblPr>
    <w:tblStylePr w:type="firstRow">
      <w:rPr>
        <w:b/>
        <w:bCs/>
      </w:rPr>
      <w:tblPr/>
      <w:tcPr>
        <w:tcBorders>
          <w:bottom w:val="single" w:sz="4" w:space="0" w:color="C44A2C" w:themeColor="accent4"/>
        </w:tcBorders>
      </w:tcPr>
    </w:tblStylePr>
    <w:tblStylePr w:type="lastRow">
      <w:rPr>
        <w:b/>
        <w:bCs/>
      </w:rPr>
      <w:tblPr/>
      <w:tcPr>
        <w:tcBorders>
          <w:top w:val="double" w:sz="4" w:space="0" w:color="C44A2C" w:themeColor="accent4"/>
        </w:tcBorders>
      </w:tcPr>
    </w:tblStylePr>
    <w:tblStylePr w:type="firstCol">
      <w:rPr>
        <w:b/>
        <w:bCs/>
      </w:rPr>
    </w:tblStylePr>
    <w:tblStylePr w:type="lastCol">
      <w:rPr>
        <w:b/>
        <w:bCs/>
      </w:rPr>
    </w:tblStylePr>
    <w:tblStylePr w:type="band1Vert">
      <w:tblPr/>
      <w:tcPr>
        <w:shd w:val="clear" w:color="auto" w:fill="F5D9D2" w:themeFill="accent4" w:themeFillTint="33"/>
      </w:tcPr>
    </w:tblStylePr>
    <w:tblStylePr w:type="band1Horz">
      <w:tblPr/>
      <w:tcPr>
        <w:shd w:val="clear" w:color="auto" w:fill="F5D9D2" w:themeFill="accent4" w:themeFillTint="33"/>
      </w:tcPr>
    </w:tblStylePr>
  </w:style>
  <w:style w:type="table" w:styleId="ListTable6Colorful-Accent5">
    <w:name w:val="List Table 6 Colorful Accent 5"/>
    <w:basedOn w:val="TableNormal"/>
    <w:uiPriority w:val="51"/>
    <w:rsid w:val="002C17A3"/>
    <w:rPr>
      <w:color w:val="A07340" w:themeColor="accent5" w:themeShade="BF"/>
      <w:sz w:val="20"/>
      <w:szCs w:val="20"/>
    </w:rPr>
    <w:tblPr>
      <w:tblStyleRowBandSize w:val="1"/>
      <w:tblStyleColBandSize w:val="1"/>
      <w:tblBorders>
        <w:top w:val="single" w:sz="4" w:space="0" w:color="C3996A" w:themeColor="accent5"/>
        <w:bottom w:val="single" w:sz="4" w:space="0" w:color="C3996A" w:themeColor="accent5"/>
      </w:tblBorders>
    </w:tblPr>
    <w:tblStylePr w:type="firstRow">
      <w:rPr>
        <w:b/>
        <w:bCs/>
      </w:rPr>
      <w:tblPr/>
      <w:tcPr>
        <w:tcBorders>
          <w:bottom w:val="single" w:sz="4" w:space="0" w:color="C3996A" w:themeColor="accent5"/>
        </w:tcBorders>
      </w:tcPr>
    </w:tblStylePr>
    <w:tblStylePr w:type="lastRow">
      <w:rPr>
        <w:b/>
        <w:bCs/>
      </w:rPr>
      <w:tblPr/>
      <w:tcPr>
        <w:tcBorders>
          <w:top w:val="double" w:sz="4" w:space="0" w:color="C3996A" w:themeColor="accent5"/>
        </w:tcBorders>
      </w:tcPr>
    </w:tblStylePr>
    <w:tblStylePr w:type="firstCol">
      <w:rPr>
        <w:b/>
        <w:bCs/>
      </w:rPr>
    </w:tblStylePr>
    <w:tblStylePr w:type="lastCol">
      <w:rPr>
        <w:b/>
        <w:bCs/>
      </w:rPr>
    </w:tblStylePr>
    <w:tblStylePr w:type="band1Vert">
      <w:tblPr/>
      <w:tcPr>
        <w:shd w:val="clear" w:color="auto" w:fill="F3EAE1" w:themeFill="accent5" w:themeFillTint="33"/>
      </w:tcPr>
    </w:tblStylePr>
    <w:tblStylePr w:type="band1Horz">
      <w:tblPr/>
      <w:tcPr>
        <w:shd w:val="clear" w:color="auto" w:fill="F3EAE1" w:themeFill="accent5" w:themeFillTint="33"/>
      </w:tcPr>
    </w:tblStylePr>
  </w:style>
  <w:style w:type="table" w:styleId="ListTable6Colorful-Accent6">
    <w:name w:val="List Table 6 Colorful Accent 6"/>
    <w:basedOn w:val="TableNormal"/>
    <w:uiPriority w:val="51"/>
    <w:rsid w:val="002C17A3"/>
    <w:rPr>
      <w:color w:val="838686" w:themeColor="accent6" w:themeShade="BF"/>
      <w:sz w:val="20"/>
      <w:szCs w:val="20"/>
    </w:rPr>
    <w:tblPr>
      <w:tblStyleRowBandSize w:val="1"/>
      <w:tblStyleColBandSize w:val="1"/>
      <w:tblBorders>
        <w:top w:val="single" w:sz="4" w:space="0" w:color="B1B3B3" w:themeColor="accent6"/>
        <w:bottom w:val="single" w:sz="4" w:space="0" w:color="B1B3B3" w:themeColor="accent6"/>
      </w:tblBorders>
    </w:tblPr>
    <w:tblStylePr w:type="firstRow">
      <w:rPr>
        <w:b/>
        <w:bCs/>
      </w:rPr>
      <w:tblPr/>
      <w:tcPr>
        <w:tcBorders>
          <w:bottom w:val="single" w:sz="4" w:space="0" w:color="B1B3B3" w:themeColor="accent6"/>
        </w:tcBorders>
      </w:tcPr>
    </w:tblStylePr>
    <w:tblStylePr w:type="lastRow">
      <w:rPr>
        <w:b/>
        <w:bCs/>
      </w:rPr>
      <w:tblPr/>
      <w:tcPr>
        <w:tcBorders>
          <w:top w:val="double" w:sz="4" w:space="0" w:color="B1B3B3" w:themeColor="accent6"/>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ListTable7Colorful">
    <w:name w:val="List Table 7 Colorful"/>
    <w:basedOn w:val="TableNormal"/>
    <w:uiPriority w:val="52"/>
    <w:rsid w:val="002C17A3"/>
    <w:rPr>
      <w:color w:val="000000" w:themeColor="text1"/>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C17A3"/>
    <w:rPr>
      <w:color w:val="49777D"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49EA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49EA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49EA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49EA5" w:themeColor="accent1"/>
        </w:tcBorders>
        <w:shd w:val="clear" w:color="auto" w:fill="FFFFFF" w:themeFill="background1"/>
      </w:tcPr>
    </w:tblStylePr>
    <w:tblStylePr w:type="band1Vert">
      <w:tblPr/>
      <w:tcPr>
        <w:shd w:val="clear" w:color="auto" w:fill="E0EBED" w:themeFill="accent1" w:themeFillTint="33"/>
      </w:tcPr>
    </w:tblStylePr>
    <w:tblStylePr w:type="band1Horz">
      <w:tblPr/>
      <w:tcPr>
        <w:shd w:val="clear" w:color="auto" w:fill="E0EB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C17A3"/>
    <w:rPr>
      <w:color w:val="384D2C" w:themeColor="accent2"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7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7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73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73B" w:themeColor="accent2"/>
        </w:tcBorders>
        <w:shd w:val="clear" w:color="auto" w:fill="FFFFFF" w:themeFill="background1"/>
      </w:tcPr>
    </w:tblStylePr>
    <w:tblStylePr w:type="band1Vert">
      <w:tblPr/>
      <w:tcPr>
        <w:shd w:val="clear" w:color="auto" w:fill="D9E5D2" w:themeFill="accent2" w:themeFillTint="33"/>
      </w:tcPr>
    </w:tblStylePr>
    <w:tblStylePr w:type="band1Horz">
      <w:tblPr/>
      <w:tcPr>
        <w:shd w:val="clear" w:color="auto" w:fill="D9E5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C17A3"/>
    <w:rPr>
      <w:color w:val="687C63" w:themeColor="accent3"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A18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A18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A18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A189" w:themeColor="accent3"/>
        </w:tcBorders>
        <w:shd w:val="clear" w:color="auto" w:fill="FFFFFF" w:themeFill="background1"/>
      </w:tcPr>
    </w:tblStylePr>
    <w:tblStylePr w:type="band1Vert">
      <w:tblPr/>
      <w:tcPr>
        <w:shd w:val="clear" w:color="auto" w:fill="E8ECE7" w:themeFill="accent3" w:themeFillTint="33"/>
      </w:tcPr>
    </w:tblStylePr>
    <w:tblStylePr w:type="band1Horz">
      <w:tblPr/>
      <w:tcPr>
        <w:shd w:val="clear" w:color="auto" w:fill="E8ECE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C17A3"/>
    <w:rPr>
      <w:color w:val="923721" w:themeColor="accent4"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44A2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44A2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44A2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44A2C" w:themeColor="accent4"/>
        </w:tcBorders>
        <w:shd w:val="clear" w:color="auto" w:fill="FFFFFF" w:themeFill="background1"/>
      </w:tcPr>
    </w:tblStylePr>
    <w:tblStylePr w:type="band1Vert">
      <w:tblPr/>
      <w:tcPr>
        <w:shd w:val="clear" w:color="auto" w:fill="F5D9D2" w:themeFill="accent4" w:themeFillTint="33"/>
      </w:tcPr>
    </w:tblStylePr>
    <w:tblStylePr w:type="band1Horz">
      <w:tblPr/>
      <w:tcPr>
        <w:shd w:val="clear" w:color="auto" w:fill="F5D9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C17A3"/>
    <w:rPr>
      <w:color w:val="A07340" w:themeColor="accent5"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996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996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996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996A" w:themeColor="accent5"/>
        </w:tcBorders>
        <w:shd w:val="clear" w:color="auto" w:fill="FFFFFF" w:themeFill="background1"/>
      </w:tcPr>
    </w:tblStylePr>
    <w:tblStylePr w:type="band1Vert">
      <w:tblPr/>
      <w:tcPr>
        <w:shd w:val="clear" w:color="auto" w:fill="F3EAE1" w:themeFill="accent5" w:themeFillTint="33"/>
      </w:tcPr>
    </w:tblStylePr>
    <w:tblStylePr w:type="band1Horz">
      <w:tblPr/>
      <w:tcPr>
        <w:shd w:val="clear" w:color="auto" w:fill="F3EAE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C17A3"/>
    <w:rPr>
      <w:color w:val="838686" w:themeColor="accent6"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3B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3B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3B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3B3" w:themeColor="accent6"/>
        </w:tcBorders>
        <w:shd w:val="clear" w:color="auto" w:fill="FFFFFF" w:themeFill="background1"/>
      </w:tcPr>
    </w:tblStylePr>
    <w:tblStylePr w:type="band1Vert">
      <w:tblPr/>
      <w:tcPr>
        <w:shd w:val="clear" w:color="auto" w:fill="EFEFEF" w:themeFill="accent6" w:themeFillTint="33"/>
      </w:tcPr>
    </w:tblStylePr>
    <w:tblStylePr w:type="band1Horz">
      <w:tblPr/>
      <w:tcPr>
        <w:shd w:val="clear" w:color="auto" w:fill="EFE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C17A3"/>
    <w:rPr>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C17A3"/>
    <w:rPr>
      <w:sz w:val="20"/>
      <w:szCs w:val="20"/>
    </w:rPr>
    <w:tblPr>
      <w:tblStyleRowBandSize w:val="1"/>
      <w:tblStyleColBandSize w:val="1"/>
      <w:tblBorders>
        <w:top w:val="single" w:sz="8" w:space="0" w:color="8AB6BB" w:themeColor="accent1" w:themeTint="BF"/>
        <w:left w:val="single" w:sz="8" w:space="0" w:color="8AB6BB" w:themeColor="accent1" w:themeTint="BF"/>
        <w:bottom w:val="single" w:sz="8" w:space="0" w:color="8AB6BB" w:themeColor="accent1" w:themeTint="BF"/>
        <w:right w:val="single" w:sz="8" w:space="0" w:color="8AB6BB" w:themeColor="accent1" w:themeTint="BF"/>
        <w:insideH w:val="single" w:sz="8" w:space="0" w:color="8AB6BB" w:themeColor="accent1" w:themeTint="BF"/>
        <w:insideV w:val="single" w:sz="8" w:space="0" w:color="8AB6BB" w:themeColor="accent1" w:themeTint="BF"/>
      </w:tblBorders>
    </w:tblPr>
    <w:tcPr>
      <w:shd w:val="clear" w:color="auto" w:fill="D8E7E8" w:themeFill="accent1" w:themeFillTint="3F"/>
    </w:tcPr>
    <w:tblStylePr w:type="firstRow">
      <w:rPr>
        <w:b/>
        <w:bCs/>
      </w:rPr>
    </w:tblStylePr>
    <w:tblStylePr w:type="lastRow">
      <w:rPr>
        <w:b/>
        <w:bCs/>
      </w:rPr>
      <w:tblPr/>
      <w:tcPr>
        <w:tcBorders>
          <w:top w:val="single" w:sz="18" w:space="0" w:color="8AB6BB" w:themeColor="accent1" w:themeTint="BF"/>
        </w:tcBorders>
      </w:tcPr>
    </w:tblStylePr>
    <w:tblStylePr w:type="firstCol">
      <w:rPr>
        <w:b/>
        <w:bCs/>
      </w:rPr>
    </w:tblStylePr>
    <w:tblStylePr w:type="lastCol">
      <w:rPr>
        <w:b/>
        <w:bCs/>
      </w:rPr>
    </w:tblStylePr>
    <w:tblStylePr w:type="band1Vert">
      <w:tblPr/>
      <w:tcPr>
        <w:shd w:val="clear" w:color="auto" w:fill="B1CED2" w:themeFill="accent1" w:themeFillTint="7F"/>
      </w:tcPr>
    </w:tblStylePr>
    <w:tblStylePr w:type="band1Horz">
      <w:tblPr/>
      <w:tcPr>
        <w:shd w:val="clear" w:color="auto" w:fill="B1CED2" w:themeFill="accent1" w:themeFillTint="7F"/>
      </w:tcPr>
    </w:tblStylePr>
  </w:style>
  <w:style w:type="table" w:styleId="MediumGrid1-Accent2">
    <w:name w:val="Medium Grid 1 Accent 2"/>
    <w:basedOn w:val="TableNormal"/>
    <w:uiPriority w:val="67"/>
    <w:semiHidden/>
    <w:unhideWhenUsed/>
    <w:rsid w:val="002C17A3"/>
    <w:rPr>
      <w:sz w:val="20"/>
      <w:szCs w:val="20"/>
    </w:rPr>
    <w:tblPr>
      <w:tblStyleRowBandSize w:val="1"/>
      <w:tblStyleColBandSize w:val="1"/>
      <w:tblBorders>
        <w:top w:val="single" w:sz="8" w:space="0" w:color="739E5B" w:themeColor="accent2" w:themeTint="BF"/>
        <w:left w:val="single" w:sz="8" w:space="0" w:color="739E5B" w:themeColor="accent2" w:themeTint="BF"/>
        <w:bottom w:val="single" w:sz="8" w:space="0" w:color="739E5B" w:themeColor="accent2" w:themeTint="BF"/>
        <w:right w:val="single" w:sz="8" w:space="0" w:color="739E5B" w:themeColor="accent2" w:themeTint="BF"/>
        <w:insideH w:val="single" w:sz="8" w:space="0" w:color="739E5B" w:themeColor="accent2" w:themeTint="BF"/>
        <w:insideV w:val="single" w:sz="8" w:space="0" w:color="739E5B" w:themeColor="accent2" w:themeTint="BF"/>
      </w:tblBorders>
    </w:tblPr>
    <w:tcPr>
      <w:shd w:val="clear" w:color="auto" w:fill="D0DFC8" w:themeFill="accent2" w:themeFillTint="3F"/>
    </w:tcPr>
    <w:tblStylePr w:type="firstRow">
      <w:rPr>
        <w:b/>
        <w:bCs/>
      </w:rPr>
    </w:tblStylePr>
    <w:tblStylePr w:type="lastRow">
      <w:rPr>
        <w:b/>
        <w:bCs/>
      </w:rPr>
      <w:tblPr/>
      <w:tcPr>
        <w:tcBorders>
          <w:top w:val="single" w:sz="18" w:space="0" w:color="739E5B" w:themeColor="accent2" w:themeTint="BF"/>
        </w:tcBorders>
      </w:tcPr>
    </w:tblStylePr>
    <w:tblStylePr w:type="firstCol">
      <w:rPr>
        <w:b/>
        <w:bCs/>
      </w:rPr>
    </w:tblStylePr>
    <w:tblStylePr w:type="lastCol">
      <w:rPr>
        <w:b/>
        <w:bCs/>
      </w:rPr>
    </w:tblStylePr>
    <w:tblStylePr w:type="band1Vert">
      <w:tblPr/>
      <w:tcPr>
        <w:shd w:val="clear" w:color="auto" w:fill="A1C090" w:themeFill="accent2" w:themeFillTint="7F"/>
      </w:tcPr>
    </w:tblStylePr>
    <w:tblStylePr w:type="band1Horz">
      <w:tblPr/>
      <w:tcPr>
        <w:shd w:val="clear" w:color="auto" w:fill="A1C090" w:themeFill="accent2" w:themeFillTint="7F"/>
      </w:tcPr>
    </w:tblStylePr>
  </w:style>
  <w:style w:type="table" w:styleId="MediumGrid1-Accent3">
    <w:name w:val="Medium Grid 1 Accent 3"/>
    <w:basedOn w:val="TableNormal"/>
    <w:uiPriority w:val="67"/>
    <w:semiHidden/>
    <w:unhideWhenUsed/>
    <w:rsid w:val="002C17A3"/>
    <w:rPr>
      <w:sz w:val="20"/>
      <w:szCs w:val="20"/>
    </w:rPr>
    <w:tblPr>
      <w:tblStyleRowBandSize w:val="1"/>
      <w:tblStyleColBandSize w:val="1"/>
      <w:tblBorders>
        <w:top w:val="single" w:sz="8" w:space="0" w:color="AAB8A6" w:themeColor="accent3" w:themeTint="BF"/>
        <w:left w:val="single" w:sz="8" w:space="0" w:color="AAB8A6" w:themeColor="accent3" w:themeTint="BF"/>
        <w:bottom w:val="single" w:sz="8" w:space="0" w:color="AAB8A6" w:themeColor="accent3" w:themeTint="BF"/>
        <w:right w:val="single" w:sz="8" w:space="0" w:color="AAB8A6" w:themeColor="accent3" w:themeTint="BF"/>
        <w:insideH w:val="single" w:sz="8" w:space="0" w:color="AAB8A6" w:themeColor="accent3" w:themeTint="BF"/>
        <w:insideV w:val="single" w:sz="8" w:space="0" w:color="AAB8A6" w:themeColor="accent3" w:themeTint="BF"/>
      </w:tblBorders>
    </w:tblPr>
    <w:tcPr>
      <w:shd w:val="clear" w:color="auto" w:fill="E2E7E1" w:themeFill="accent3" w:themeFillTint="3F"/>
    </w:tcPr>
    <w:tblStylePr w:type="firstRow">
      <w:rPr>
        <w:b/>
        <w:bCs/>
      </w:rPr>
    </w:tblStylePr>
    <w:tblStylePr w:type="lastRow">
      <w:rPr>
        <w:b/>
        <w:bCs/>
      </w:rPr>
      <w:tblPr/>
      <w:tcPr>
        <w:tcBorders>
          <w:top w:val="single" w:sz="18" w:space="0" w:color="AAB8A6" w:themeColor="accent3" w:themeTint="BF"/>
        </w:tcBorders>
      </w:tcPr>
    </w:tblStylePr>
    <w:tblStylePr w:type="firstCol">
      <w:rPr>
        <w:b/>
        <w:bCs/>
      </w:rPr>
    </w:tblStylePr>
    <w:tblStylePr w:type="lastCol">
      <w:rPr>
        <w:b/>
        <w:bCs/>
      </w:rPr>
    </w:tblStylePr>
    <w:tblStylePr w:type="band1Vert">
      <w:tblPr/>
      <w:tcPr>
        <w:shd w:val="clear" w:color="auto" w:fill="C6D0C4" w:themeFill="accent3" w:themeFillTint="7F"/>
      </w:tcPr>
    </w:tblStylePr>
    <w:tblStylePr w:type="band1Horz">
      <w:tblPr/>
      <w:tcPr>
        <w:shd w:val="clear" w:color="auto" w:fill="C6D0C4" w:themeFill="accent3" w:themeFillTint="7F"/>
      </w:tcPr>
    </w:tblStylePr>
  </w:style>
  <w:style w:type="table" w:styleId="MediumGrid1-Accent4">
    <w:name w:val="Medium Grid 1 Accent 4"/>
    <w:basedOn w:val="TableNormal"/>
    <w:uiPriority w:val="67"/>
    <w:semiHidden/>
    <w:unhideWhenUsed/>
    <w:rsid w:val="002C17A3"/>
    <w:rPr>
      <w:sz w:val="20"/>
      <w:szCs w:val="20"/>
    </w:rPr>
    <w:tblPr>
      <w:tblStyleRowBandSize w:val="1"/>
      <w:tblStyleColBandSize w:val="1"/>
      <w:tblBorders>
        <w:top w:val="single" w:sz="8" w:space="0" w:color="DA7259" w:themeColor="accent4" w:themeTint="BF"/>
        <w:left w:val="single" w:sz="8" w:space="0" w:color="DA7259" w:themeColor="accent4" w:themeTint="BF"/>
        <w:bottom w:val="single" w:sz="8" w:space="0" w:color="DA7259" w:themeColor="accent4" w:themeTint="BF"/>
        <w:right w:val="single" w:sz="8" w:space="0" w:color="DA7259" w:themeColor="accent4" w:themeTint="BF"/>
        <w:insideH w:val="single" w:sz="8" w:space="0" w:color="DA7259" w:themeColor="accent4" w:themeTint="BF"/>
        <w:insideV w:val="single" w:sz="8" w:space="0" w:color="DA7259" w:themeColor="accent4" w:themeTint="BF"/>
      </w:tblBorders>
    </w:tblPr>
    <w:tcPr>
      <w:shd w:val="clear" w:color="auto" w:fill="F2D0C8" w:themeFill="accent4" w:themeFillTint="3F"/>
    </w:tcPr>
    <w:tblStylePr w:type="firstRow">
      <w:rPr>
        <w:b/>
        <w:bCs/>
      </w:rPr>
    </w:tblStylePr>
    <w:tblStylePr w:type="lastRow">
      <w:rPr>
        <w:b/>
        <w:bCs/>
      </w:rPr>
      <w:tblPr/>
      <w:tcPr>
        <w:tcBorders>
          <w:top w:val="single" w:sz="18" w:space="0" w:color="DA7259" w:themeColor="accent4" w:themeTint="BF"/>
        </w:tcBorders>
      </w:tcPr>
    </w:tblStylePr>
    <w:tblStylePr w:type="firstCol">
      <w:rPr>
        <w:b/>
        <w:bCs/>
      </w:rPr>
    </w:tblStylePr>
    <w:tblStylePr w:type="lastCol">
      <w:rPr>
        <w:b/>
        <w:bCs/>
      </w:rPr>
    </w:tblStylePr>
    <w:tblStylePr w:type="band1Vert">
      <w:tblPr/>
      <w:tcPr>
        <w:shd w:val="clear" w:color="auto" w:fill="E6A191" w:themeFill="accent4" w:themeFillTint="7F"/>
      </w:tcPr>
    </w:tblStylePr>
    <w:tblStylePr w:type="band1Horz">
      <w:tblPr/>
      <w:tcPr>
        <w:shd w:val="clear" w:color="auto" w:fill="E6A191" w:themeFill="accent4" w:themeFillTint="7F"/>
      </w:tcPr>
    </w:tblStylePr>
  </w:style>
  <w:style w:type="table" w:styleId="MediumGrid1-Accent5">
    <w:name w:val="Medium Grid 1 Accent 5"/>
    <w:basedOn w:val="TableNormal"/>
    <w:uiPriority w:val="67"/>
    <w:semiHidden/>
    <w:unhideWhenUsed/>
    <w:rsid w:val="002C17A3"/>
    <w:rPr>
      <w:sz w:val="20"/>
      <w:szCs w:val="20"/>
    </w:rPr>
    <w:tblPr>
      <w:tblStyleRowBandSize w:val="1"/>
      <w:tblStyleColBandSize w:val="1"/>
      <w:tblBorders>
        <w:top w:val="single" w:sz="8" w:space="0" w:color="D2B28F" w:themeColor="accent5" w:themeTint="BF"/>
        <w:left w:val="single" w:sz="8" w:space="0" w:color="D2B28F" w:themeColor="accent5" w:themeTint="BF"/>
        <w:bottom w:val="single" w:sz="8" w:space="0" w:color="D2B28F" w:themeColor="accent5" w:themeTint="BF"/>
        <w:right w:val="single" w:sz="8" w:space="0" w:color="D2B28F" w:themeColor="accent5" w:themeTint="BF"/>
        <w:insideH w:val="single" w:sz="8" w:space="0" w:color="D2B28F" w:themeColor="accent5" w:themeTint="BF"/>
        <w:insideV w:val="single" w:sz="8" w:space="0" w:color="D2B28F" w:themeColor="accent5" w:themeTint="BF"/>
      </w:tblBorders>
    </w:tblPr>
    <w:tcPr>
      <w:shd w:val="clear" w:color="auto" w:fill="F0E5DA" w:themeFill="accent5" w:themeFillTint="3F"/>
    </w:tcPr>
    <w:tblStylePr w:type="firstRow">
      <w:rPr>
        <w:b/>
        <w:bCs/>
      </w:rPr>
    </w:tblStylePr>
    <w:tblStylePr w:type="lastRow">
      <w:rPr>
        <w:b/>
        <w:bCs/>
      </w:rPr>
      <w:tblPr/>
      <w:tcPr>
        <w:tcBorders>
          <w:top w:val="single" w:sz="18" w:space="0" w:color="D2B28F" w:themeColor="accent5" w:themeTint="BF"/>
        </w:tcBorders>
      </w:tcPr>
    </w:tblStylePr>
    <w:tblStylePr w:type="firstCol">
      <w:rPr>
        <w:b/>
        <w:bCs/>
      </w:rPr>
    </w:tblStylePr>
    <w:tblStylePr w:type="lastCol">
      <w:rPr>
        <w:b/>
        <w:bCs/>
      </w:rPr>
    </w:tblStylePr>
    <w:tblStylePr w:type="band1Vert">
      <w:tblPr/>
      <w:tcPr>
        <w:shd w:val="clear" w:color="auto" w:fill="E1CBB4" w:themeFill="accent5" w:themeFillTint="7F"/>
      </w:tcPr>
    </w:tblStylePr>
    <w:tblStylePr w:type="band1Horz">
      <w:tblPr/>
      <w:tcPr>
        <w:shd w:val="clear" w:color="auto" w:fill="E1CBB4" w:themeFill="accent5" w:themeFillTint="7F"/>
      </w:tcPr>
    </w:tblStylePr>
  </w:style>
  <w:style w:type="table" w:styleId="MediumGrid1-Accent6">
    <w:name w:val="Medium Grid 1 Accent 6"/>
    <w:basedOn w:val="TableNormal"/>
    <w:uiPriority w:val="67"/>
    <w:semiHidden/>
    <w:unhideWhenUsed/>
    <w:rsid w:val="002C17A3"/>
    <w:rPr>
      <w:sz w:val="20"/>
      <w:szCs w:val="20"/>
    </w:rPr>
    <w:tblPr>
      <w:tblStyleRowBandSize w:val="1"/>
      <w:tblStyleColBandSize w:val="1"/>
      <w:tblBorders>
        <w:top w:val="single" w:sz="8" w:space="0" w:color="C4C6C6" w:themeColor="accent6" w:themeTint="BF"/>
        <w:left w:val="single" w:sz="8" w:space="0" w:color="C4C6C6" w:themeColor="accent6" w:themeTint="BF"/>
        <w:bottom w:val="single" w:sz="8" w:space="0" w:color="C4C6C6" w:themeColor="accent6" w:themeTint="BF"/>
        <w:right w:val="single" w:sz="8" w:space="0" w:color="C4C6C6" w:themeColor="accent6" w:themeTint="BF"/>
        <w:insideH w:val="single" w:sz="8" w:space="0" w:color="C4C6C6" w:themeColor="accent6" w:themeTint="BF"/>
        <w:insideV w:val="single" w:sz="8" w:space="0" w:color="C4C6C6" w:themeColor="accent6" w:themeTint="BF"/>
      </w:tblBorders>
    </w:tblPr>
    <w:tcPr>
      <w:shd w:val="clear" w:color="auto" w:fill="EBECEC" w:themeFill="accent6" w:themeFillTint="3F"/>
    </w:tcPr>
    <w:tblStylePr w:type="firstRow">
      <w:rPr>
        <w:b/>
        <w:bCs/>
      </w:rPr>
    </w:tblStylePr>
    <w:tblStylePr w:type="lastRow">
      <w:rPr>
        <w:b/>
        <w:bCs/>
      </w:rPr>
      <w:tblPr/>
      <w:tcPr>
        <w:tcBorders>
          <w:top w:val="single" w:sz="18" w:space="0" w:color="C4C6C6" w:themeColor="accent6" w:themeTint="BF"/>
        </w:tcBorders>
      </w:tcPr>
    </w:tblStylePr>
    <w:tblStylePr w:type="firstCol">
      <w:rPr>
        <w:b/>
        <w:bCs/>
      </w:rPr>
    </w:tblStylePr>
    <w:tblStylePr w:type="lastCol">
      <w:rPr>
        <w:b/>
        <w:bCs/>
      </w:rPr>
    </w:tblStylePr>
    <w:tblStylePr w:type="band1Vert">
      <w:tblPr/>
      <w:tcPr>
        <w:shd w:val="clear" w:color="auto" w:fill="D8D9D9" w:themeFill="accent6" w:themeFillTint="7F"/>
      </w:tcPr>
    </w:tblStylePr>
    <w:tblStylePr w:type="band1Horz">
      <w:tblPr/>
      <w:tcPr>
        <w:shd w:val="clear" w:color="auto" w:fill="D8D9D9" w:themeFill="accent6" w:themeFillTint="7F"/>
      </w:tcPr>
    </w:tblStylePr>
  </w:style>
  <w:style w:type="table" w:styleId="MediumGrid2">
    <w:name w:val="Medium Grid 2"/>
    <w:basedOn w:val="TableNormal"/>
    <w:uiPriority w:val="68"/>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649EA5" w:themeColor="accent1"/>
        <w:left w:val="single" w:sz="8" w:space="0" w:color="649EA5" w:themeColor="accent1"/>
        <w:bottom w:val="single" w:sz="8" w:space="0" w:color="649EA5" w:themeColor="accent1"/>
        <w:right w:val="single" w:sz="8" w:space="0" w:color="649EA5" w:themeColor="accent1"/>
        <w:insideH w:val="single" w:sz="8" w:space="0" w:color="649EA5" w:themeColor="accent1"/>
        <w:insideV w:val="single" w:sz="8" w:space="0" w:color="649EA5" w:themeColor="accent1"/>
      </w:tblBorders>
    </w:tblPr>
    <w:tcPr>
      <w:shd w:val="clear" w:color="auto" w:fill="D8E7E8" w:themeFill="accent1" w:themeFillTint="3F"/>
    </w:tcPr>
    <w:tblStylePr w:type="firstRow">
      <w:rPr>
        <w:b/>
        <w:bCs/>
        <w:color w:val="000000" w:themeColor="text1"/>
      </w:rPr>
      <w:tblPr/>
      <w:tcPr>
        <w:shd w:val="clear" w:color="auto" w:fill="EFF5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BED" w:themeFill="accent1" w:themeFillTint="33"/>
      </w:tcPr>
    </w:tblStylePr>
    <w:tblStylePr w:type="band1Vert">
      <w:tblPr/>
      <w:tcPr>
        <w:shd w:val="clear" w:color="auto" w:fill="B1CED2" w:themeFill="accent1" w:themeFillTint="7F"/>
      </w:tcPr>
    </w:tblStylePr>
    <w:tblStylePr w:type="band1Horz">
      <w:tblPr/>
      <w:tcPr>
        <w:tcBorders>
          <w:insideH w:val="single" w:sz="6" w:space="0" w:color="649EA5" w:themeColor="accent1"/>
          <w:insideV w:val="single" w:sz="6" w:space="0" w:color="649EA5" w:themeColor="accent1"/>
        </w:tcBorders>
        <w:shd w:val="clear" w:color="auto" w:fill="B1CED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4B673B" w:themeColor="accent2"/>
        <w:left w:val="single" w:sz="8" w:space="0" w:color="4B673B" w:themeColor="accent2"/>
        <w:bottom w:val="single" w:sz="8" w:space="0" w:color="4B673B" w:themeColor="accent2"/>
        <w:right w:val="single" w:sz="8" w:space="0" w:color="4B673B" w:themeColor="accent2"/>
        <w:insideH w:val="single" w:sz="8" w:space="0" w:color="4B673B" w:themeColor="accent2"/>
        <w:insideV w:val="single" w:sz="8" w:space="0" w:color="4B673B" w:themeColor="accent2"/>
      </w:tblBorders>
    </w:tblPr>
    <w:tcPr>
      <w:shd w:val="clear" w:color="auto" w:fill="D0DFC8" w:themeFill="accent2" w:themeFillTint="3F"/>
    </w:tcPr>
    <w:tblStylePr w:type="firstRow">
      <w:rPr>
        <w:b/>
        <w:bCs/>
        <w:color w:val="000000" w:themeColor="text1"/>
      </w:rPr>
      <w:tblPr/>
      <w:tcPr>
        <w:shd w:val="clear" w:color="auto" w:fill="ECF2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5D2" w:themeFill="accent2" w:themeFillTint="33"/>
      </w:tcPr>
    </w:tblStylePr>
    <w:tblStylePr w:type="band1Vert">
      <w:tblPr/>
      <w:tcPr>
        <w:shd w:val="clear" w:color="auto" w:fill="A1C090" w:themeFill="accent2" w:themeFillTint="7F"/>
      </w:tcPr>
    </w:tblStylePr>
    <w:tblStylePr w:type="band1Horz">
      <w:tblPr/>
      <w:tcPr>
        <w:tcBorders>
          <w:insideH w:val="single" w:sz="6" w:space="0" w:color="4B673B" w:themeColor="accent2"/>
          <w:insideV w:val="single" w:sz="6" w:space="0" w:color="4B673B" w:themeColor="accent2"/>
        </w:tcBorders>
        <w:shd w:val="clear" w:color="auto" w:fill="A1C0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8EA189" w:themeColor="accent3"/>
        <w:left w:val="single" w:sz="8" w:space="0" w:color="8EA189" w:themeColor="accent3"/>
        <w:bottom w:val="single" w:sz="8" w:space="0" w:color="8EA189" w:themeColor="accent3"/>
        <w:right w:val="single" w:sz="8" w:space="0" w:color="8EA189" w:themeColor="accent3"/>
        <w:insideH w:val="single" w:sz="8" w:space="0" w:color="8EA189" w:themeColor="accent3"/>
        <w:insideV w:val="single" w:sz="8" w:space="0" w:color="8EA189" w:themeColor="accent3"/>
      </w:tblBorders>
    </w:tblPr>
    <w:tcPr>
      <w:shd w:val="clear" w:color="auto" w:fill="E2E7E1" w:themeFill="accent3" w:themeFillTint="3F"/>
    </w:tcPr>
    <w:tblStylePr w:type="firstRow">
      <w:rPr>
        <w:b/>
        <w:bCs/>
        <w:color w:val="000000" w:themeColor="text1"/>
      </w:rPr>
      <w:tblPr/>
      <w:tcPr>
        <w:shd w:val="clear" w:color="auto" w:fill="F3F5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CE7" w:themeFill="accent3" w:themeFillTint="33"/>
      </w:tcPr>
    </w:tblStylePr>
    <w:tblStylePr w:type="band1Vert">
      <w:tblPr/>
      <w:tcPr>
        <w:shd w:val="clear" w:color="auto" w:fill="C6D0C4" w:themeFill="accent3" w:themeFillTint="7F"/>
      </w:tcPr>
    </w:tblStylePr>
    <w:tblStylePr w:type="band1Horz">
      <w:tblPr/>
      <w:tcPr>
        <w:tcBorders>
          <w:insideH w:val="single" w:sz="6" w:space="0" w:color="8EA189" w:themeColor="accent3"/>
          <w:insideV w:val="single" w:sz="6" w:space="0" w:color="8EA189" w:themeColor="accent3"/>
        </w:tcBorders>
        <w:shd w:val="clear" w:color="auto" w:fill="C6D0C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C44A2C" w:themeColor="accent4"/>
        <w:left w:val="single" w:sz="8" w:space="0" w:color="C44A2C" w:themeColor="accent4"/>
        <w:bottom w:val="single" w:sz="8" w:space="0" w:color="C44A2C" w:themeColor="accent4"/>
        <w:right w:val="single" w:sz="8" w:space="0" w:color="C44A2C" w:themeColor="accent4"/>
        <w:insideH w:val="single" w:sz="8" w:space="0" w:color="C44A2C" w:themeColor="accent4"/>
        <w:insideV w:val="single" w:sz="8" w:space="0" w:color="C44A2C" w:themeColor="accent4"/>
      </w:tblBorders>
    </w:tblPr>
    <w:tcPr>
      <w:shd w:val="clear" w:color="auto" w:fill="F2D0C8" w:themeFill="accent4" w:themeFillTint="3F"/>
    </w:tcPr>
    <w:tblStylePr w:type="firstRow">
      <w:rPr>
        <w:b/>
        <w:bCs/>
        <w:color w:val="000000" w:themeColor="text1"/>
      </w:rPr>
      <w:tblPr/>
      <w:tcPr>
        <w:shd w:val="clear" w:color="auto" w:fill="FAEC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D9D2" w:themeFill="accent4" w:themeFillTint="33"/>
      </w:tcPr>
    </w:tblStylePr>
    <w:tblStylePr w:type="band1Vert">
      <w:tblPr/>
      <w:tcPr>
        <w:shd w:val="clear" w:color="auto" w:fill="E6A191" w:themeFill="accent4" w:themeFillTint="7F"/>
      </w:tcPr>
    </w:tblStylePr>
    <w:tblStylePr w:type="band1Horz">
      <w:tblPr/>
      <w:tcPr>
        <w:tcBorders>
          <w:insideH w:val="single" w:sz="6" w:space="0" w:color="C44A2C" w:themeColor="accent4"/>
          <w:insideV w:val="single" w:sz="6" w:space="0" w:color="C44A2C" w:themeColor="accent4"/>
        </w:tcBorders>
        <w:shd w:val="clear" w:color="auto" w:fill="E6A19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C3996A" w:themeColor="accent5"/>
        <w:left w:val="single" w:sz="8" w:space="0" w:color="C3996A" w:themeColor="accent5"/>
        <w:bottom w:val="single" w:sz="8" w:space="0" w:color="C3996A" w:themeColor="accent5"/>
        <w:right w:val="single" w:sz="8" w:space="0" w:color="C3996A" w:themeColor="accent5"/>
        <w:insideH w:val="single" w:sz="8" w:space="0" w:color="C3996A" w:themeColor="accent5"/>
        <w:insideV w:val="single" w:sz="8" w:space="0" w:color="C3996A" w:themeColor="accent5"/>
      </w:tblBorders>
    </w:tblPr>
    <w:tcPr>
      <w:shd w:val="clear" w:color="auto" w:fill="F0E5DA" w:themeFill="accent5" w:themeFillTint="3F"/>
    </w:tcPr>
    <w:tblStylePr w:type="firstRow">
      <w:rPr>
        <w:b/>
        <w:bCs/>
        <w:color w:val="000000" w:themeColor="text1"/>
      </w:rPr>
      <w:tblPr/>
      <w:tcPr>
        <w:shd w:val="clear" w:color="auto" w:fill="F9F4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EAE1" w:themeFill="accent5" w:themeFillTint="33"/>
      </w:tcPr>
    </w:tblStylePr>
    <w:tblStylePr w:type="band1Vert">
      <w:tblPr/>
      <w:tcPr>
        <w:shd w:val="clear" w:color="auto" w:fill="E1CBB4" w:themeFill="accent5" w:themeFillTint="7F"/>
      </w:tcPr>
    </w:tblStylePr>
    <w:tblStylePr w:type="band1Horz">
      <w:tblPr/>
      <w:tcPr>
        <w:tcBorders>
          <w:insideH w:val="single" w:sz="6" w:space="0" w:color="C3996A" w:themeColor="accent5"/>
          <w:insideV w:val="single" w:sz="6" w:space="0" w:color="C3996A" w:themeColor="accent5"/>
        </w:tcBorders>
        <w:shd w:val="clear" w:color="auto" w:fill="E1CBB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B1B3B3" w:themeColor="accent6"/>
        <w:left w:val="single" w:sz="8" w:space="0" w:color="B1B3B3" w:themeColor="accent6"/>
        <w:bottom w:val="single" w:sz="8" w:space="0" w:color="B1B3B3" w:themeColor="accent6"/>
        <w:right w:val="single" w:sz="8" w:space="0" w:color="B1B3B3" w:themeColor="accent6"/>
        <w:insideH w:val="single" w:sz="8" w:space="0" w:color="B1B3B3" w:themeColor="accent6"/>
        <w:insideV w:val="single" w:sz="8" w:space="0" w:color="B1B3B3" w:themeColor="accent6"/>
      </w:tblBorders>
    </w:tblPr>
    <w:tcPr>
      <w:shd w:val="clear" w:color="auto" w:fill="EBECEC" w:themeFill="accent6" w:themeFillTint="3F"/>
    </w:tcPr>
    <w:tblStylePr w:type="firstRow">
      <w:rPr>
        <w:b/>
        <w:bCs/>
        <w:color w:val="000000" w:themeColor="text1"/>
      </w:rPr>
      <w:tblPr/>
      <w:tcPr>
        <w:shd w:val="clear" w:color="auto" w:fill="F7F7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6" w:themeFillTint="33"/>
      </w:tcPr>
    </w:tblStylePr>
    <w:tblStylePr w:type="band1Vert">
      <w:tblPr/>
      <w:tcPr>
        <w:shd w:val="clear" w:color="auto" w:fill="D8D9D9" w:themeFill="accent6" w:themeFillTint="7F"/>
      </w:tcPr>
    </w:tblStylePr>
    <w:tblStylePr w:type="band1Horz">
      <w:tblPr/>
      <w:tcPr>
        <w:tcBorders>
          <w:insideH w:val="single" w:sz="6" w:space="0" w:color="B1B3B3" w:themeColor="accent6"/>
          <w:insideV w:val="single" w:sz="6" w:space="0" w:color="B1B3B3" w:themeColor="accent6"/>
        </w:tcBorders>
        <w:shd w:val="clear" w:color="auto" w:fill="D8D9D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C17A3"/>
    <w:rPr>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C17A3"/>
    <w:rPr>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7E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49E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49E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49E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49E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CED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CED2" w:themeFill="accent1" w:themeFillTint="7F"/>
      </w:tcPr>
    </w:tblStylePr>
  </w:style>
  <w:style w:type="table" w:styleId="MediumGrid3-Accent2">
    <w:name w:val="Medium Grid 3 Accent 2"/>
    <w:basedOn w:val="TableNormal"/>
    <w:uiPriority w:val="69"/>
    <w:semiHidden/>
    <w:unhideWhenUsed/>
    <w:rsid w:val="002C17A3"/>
    <w:rPr>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F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7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7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7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7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C0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C090" w:themeFill="accent2" w:themeFillTint="7F"/>
      </w:tcPr>
    </w:tblStylePr>
  </w:style>
  <w:style w:type="table" w:styleId="MediumGrid3-Accent3">
    <w:name w:val="Medium Grid 3 Accent 3"/>
    <w:basedOn w:val="TableNormal"/>
    <w:uiPriority w:val="69"/>
    <w:semiHidden/>
    <w:unhideWhenUsed/>
    <w:rsid w:val="002C17A3"/>
    <w:rPr>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7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A18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A18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A18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A18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D0C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D0C4" w:themeFill="accent3" w:themeFillTint="7F"/>
      </w:tcPr>
    </w:tblStylePr>
  </w:style>
  <w:style w:type="table" w:styleId="MediumGrid3-Accent4">
    <w:name w:val="Medium Grid 3 Accent 4"/>
    <w:basedOn w:val="TableNormal"/>
    <w:uiPriority w:val="69"/>
    <w:semiHidden/>
    <w:unhideWhenUsed/>
    <w:rsid w:val="002C17A3"/>
    <w:rPr>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0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44A2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44A2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44A2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44A2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A19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A191" w:themeFill="accent4" w:themeFillTint="7F"/>
      </w:tcPr>
    </w:tblStylePr>
  </w:style>
  <w:style w:type="table" w:styleId="MediumGrid3-Accent5">
    <w:name w:val="Medium Grid 3 Accent 5"/>
    <w:basedOn w:val="TableNormal"/>
    <w:uiPriority w:val="69"/>
    <w:semiHidden/>
    <w:unhideWhenUsed/>
    <w:rsid w:val="002C17A3"/>
    <w:rPr>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E5D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996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996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996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996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CBB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CBB4" w:themeFill="accent5" w:themeFillTint="7F"/>
      </w:tcPr>
    </w:tblStylePr>
  </w:style>
  <w:style w:type="table" w:styleId="MediumGrid3-Accent6">
    <w:name w:val="Medium Grid 3 Accent 6"/>
    <w:basedOn w:val="TableNormal"/>
    <w:uiPriority w:val="69"/>
    <w:semiHidden/>
    <w:unhideWhenUsed/>
    <w:rsid w:val="002C17A3"/>
    <w:rPr>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CE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3B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3B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3B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3B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9D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9D9" w:themeFill="accent6" w:themeFillTint="7F"/>
      </w:tcPr>
    </w:tblStylePr>
  </w:style>
  <w:style w:type="table" w:styleId="MediumList1">
    <w:name w:val="Medium List 1"/>
    <w:basedOn w:val="TableNormal"/>
    <w:uiPriority w:val="65"/>
    <w:semiHidden/>
    <w:unhideWhenUsed/>
    <w:rsid w:val="002C17A3"/>
    <w:rPr>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9465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C17A3"/>
    <w:rPr>
      <w:color w:val="000000" w:themeColor="text1"/>
      <w:sz w:val="20"/>
      <w:szCs w:val="20"/>
    </w:rPr>
    <w:tblPr>
      <w:tblStyleRowBandSize w:val="1"/>
      <w:tblStyleColBandSize w:val="1"/>
      <w:tblBorders>
        <w:top w:val="single" w:sz="8" w:space="0" w:color="649EA5" w:themeColor="accent1"/>
        <w:bottom w:val="single" w:sz="8" w:space="0" w:color="649EA5" w:themeColor="accent1"/>
      </w:tblBorders>
    </w:tblPr>
    <w:tblStylePr w:type="firstRow">
      <w:rPr>
        <w:rFonts w:asciiTheme="majorHAnsi" w:eastAsiaTheme="majorEastAsia" w:hAnsiTheme="majorHAnsi" w:cstheme="majorBidi"/>
      </w:rPr>
      <w:tblPr/>
      <w:tcPr>
        <w:tcBorders>
          <w:top w:val="nil"/>
          <w:bottom w:val="single" w:sz="8" w:space="0" w:color="649EA5" w:themeColor="accent1"/>
        </w:tcBorders>
      </w:tcPr>
    </w:tblStylePr>
    <w:tblStylePr w:type="lastRow">
      <w:rPr>
        <w:b/>
        <w:bCs/>
        <w:color w:val="294654" w:themeColor="text2"/>
      </w:rPr>
      <w:tblPr/>
      <w:tcPr>
        <w:tcBorders>
          <w:top w:val="single" w:sz="8" w:space="0" w:color="649EA5" w:themeColor="accent1"/>
          <w:bottom w:val="single" w:sz="8" w:space="0" w:color="649EA5" w:themeColor="accent1"/>
        </w:tcBorders>
      </w:tcPr>
    </w:tblStylePr>
    <w:tblStylePr w:type="firstCol">
      <w:rPr>
        <w:b/>
        <w:bCs/>
      </w:rPr>
    </w:tblStylePr>
    <w:tblStylePr w:type="lastCol">
      <w:rPr>
        <w:b/>
        <w:bCs/>
      </w:rPr>
      <w:tblPr/>
      <w:tcPr>
        <w:tcBorders>
          <w:top w:val="single" w:sz="8" w:space="0" w:color="649EA5" w:themeColor="accent1"/>
          <w:bottom w:val="single" w:sz="8" w:space="0" w:color="649EA5" w:themeColor="accent1"/>
        </w:tcBorders>
      </w:tcPr>
    </w:tblStylePr>
    <w:tblStylePr w:type="band1Vert">
      <w:tblPr/>
      <w:tcPr>
        <w:shd w:val="clear" w:color="auto" w:fill="D8E7E8" w:themeFill="accent1" w:themeFillTint="3F"/>
      </w:tcPr>
    </w:tblStylePr>
    <w:tblStylePr w:type="band1Horz">
      <w:tblPr/>
      <w:tcPr>
        <w:shd w:val="clear" w:color="auto" w:fill="D8E7E8" w:themeFill="accent1" w:themeFillTint="3F"/>
      </w:tcPr>
    </w:tblStylePr>
  </w:style>
  <w:style w:type="table" w:styleId="MediumList1-Accent2">
    <w:name w:val="Medium List 1 Accent 2"/>
    <w:basedOn w:val="TableNormal"/>
    <w:uiPriority w:val="65"/>
    <w:semiHidden/>
    <w:unhideWhenUsed/>
    <w:rsid w:val="002C17A3"/>
    <w:rPr>
      <w:color w:val="000000" w:themeColor="text1"/>
      <w:sz w:val="20"/>
      <w:szCs w:val="20"/>
    </w:rPr>
    <w:tblPr>
      <w:tblStyleRowBandSize w:val="1"/>
      <w:tblStyleColBandSize w:val="1"/>
      <w:tblBorders>
        <w:top w:val="single" w:sz="8" w:space="0" w:color="4B673B" w:themeColor="accent2"/>
        <w:bottom w:val="single" w:sz="8" w:space="0" w:color="4B673B" w:themeColor="accent2"/>
      </w:tblBorders>
    </w:tblPr>
    <w:tblStylePr w:type="firstRow">
      <w:rPr>
        <w:rFonts w:asciiTheme="majorHAnsi" w:eastAsiaTheme="majorEastAsia" w:hAnsiTheme="majorHAnsi" w:cstheme="majorBidi"/>
      </w:rPr>
      <w:tblPr/>
      <w:tcPr>
        <w:tcBorders>
          <w:top w:val="nil"/>
          <w:bottom w:val="single" w:sz="8" w:space="0" w:color="4B673B" w:themeColor="accent2"/>
        </w:tcBorders>
      </w:tcPr>
    </w:tblStylePr>
    <w:tblStylePr w:type="lastRow">
      <w:rPr>
        <w:b/>
        <w:bCs/>
        <w:color w:val="294654" w:themeColor="text2"/>
      </w:rPr>
      <w:tblPr/>
      <w:tcPr>
        <w:tcBorders>
          <w:top w:val="single" w:sz="8" w:space="0" w:color="4B673B" w:themeColor="accent2"/>
          <w:bottom w:val="single" w:sz="8" w:space="0" w:color="4B673B" w:themeColor="accent2"/>
        </w:tcBorders>
      </w:tcPr>
    </w:tblStylePr>
    <w:tblStylePr w:type="firstCol">
      <w:rPr>
        <w:b/>
        <w:bCs/>
      </w:rPr>
    </w:tblStylePr>
    <w:tblStylePr w:type="lastCol">
      <w:rPr>
        <w:b/>
        <w:bCs/>
      </w:rPr>
      <w:tblPr/>
      <w:tcPr>
        <w:tcBorders>
          <w:top w:val="single" w:sz="8" w:space="0" w:color="4B673B" w:themeColor="accent2"/>
          <w:bottom w:val="single" w:sz="8" w:space="0" w:color="4B673B" w:themeColor="accent2"/>
        </w:tcBorders>
      </w:tcPr>
    </w:tblStylePr>
    <w:tblStylePr w:type="band1Vert">
      <w:tblPr/>
      <w:tcPr>
        <w:shd w:val="clear" w:color="auto" w:fill="D0DFC8" w:themeFill="accent2" w:themeFillTint="3F"/>
      </w:tcPr>
    </w:tblStylePr>
    <w:tblStylePr w:type="band1Horz">
      <w:tblPr/>
      <w:tcPr>
        <w:shd w:val="clear" w:color="auto" w:fill="D0DFC8" w:themeFill="accent2" w:themeFillTint="3F"/>
      </w:tcPr>
    </w:tblStylePr>
  </w:style>
  <w:style w:type="table" w:styleId="MediumList1-Accent3">
    <w:name w:val="Medium List 1 Accent 3"/>
    <w:basedOn w:val="TableNormal"/>
    <w:uiPriority w:val="65"/>
    <w:semiHidden/>
    <w:unhideWhenUsed/>
    <w:rsid w:val="002C17A3"/>
    <w:rPr>
      <w:color w:val="000000" w:themeColor="text1"/>
      <w:sz w:val="20"/>
      <w:szCs w:val="20"/>
    </w:rPr>
    <w:tblPr>
      <w:tblStyleRowBandSize w:val="1"/>
      <w:tblStyleColBandSize w:val="1"/>
      <w:tblBorders>
        <w:top w:val="single" w:sz="8" w:space="0" w:color="8EA189" w:themeColor="accent3"/>
        <w:bottom w:val="single" w:sz="8" w:space="0" w:color="8EA189" w:themeColor="accent3"/>
      </w:tblBorders>
    </w:tblPr>
    <w:tblStylePr w:type="firstRow">
      <w:rPr>
        <w:rFonts w:asciiTheme="majorHAnsi" w:eastAsiaTheme="majorEastAsia" w:hAnsiTheme="majorHAnsi" w:cstheme="majorBidi"/>
      </w:rPr>
      <w:tblPr/>
      <w:tcPr>
        <w:tcBorders>
          <w:top w:val="nil"/>
          <w:bottom w:val="single" w:sz="8" w:space="0" w:color="8EA189" w:themeColor="accent3"/>
        </w:tcBorders>
      </w:tcPr>
    </w:tblStylePr>
    <w:tblStylePr w:type="lastRow">
      <w:rPr>
        <w:b/>
        <w:bCs/>
        <w:color w:val="294654" w:themeColor="text2"/>
      </w:rPr>
      <w:tblPr/>
      <w:tcPr>
        <w:tcBorders>
          <w:top w:val="single" w:sz="8" w:space="0" w:color="8EA189" w:themeColor="accent3"/>
          <w:bottom w:val="single" w:sz="8" w:space="0" w:color="8EA189" w:themeColor="accent3"/>
        </w:tcBorders>
      </w:tcPr>
    </w:tblStylePr>
    <w:tblStylePr w:type="firstCol">
      <w:rPr>
        <w:b/>
        <w:bCs/>
      </w:rPr>
    </w:tblStylePr>
    <w:tblStylePr w:type="lastCol">
      <w:rPr>
        <w:b/>
        <w:bCs/>
      </w:rPr>
      <w:tblPr/>
      <w:tcPr>
        <w:tcBorders>
          <w:top w:val="single" w:sz="8" w:space="0" w:color="8EA189" w:themeColor="accent3"/>
          <w:bottom w:val="single" w:sz="8" w:space="0" w:color="8EA189" w:themeColor="accent3"/>
        </w:tcBorders>
      </w:tcPr>
    </w:tblStylePr>
    <w:tblStylePr w:type="band1Vert">
      <w:tblPr/>
      <w:tcPr>
        <w:shd w:val="clear" w:color="auto" w:fill="E2E7E1" w:themeFill="accent3" w:themeFillTint="3F"/>
      </w:tcPr>
    </w:tblStylePr>
    <w:tblStylePr w:type="band1Horz">
      <w:tblPr/>
      <w:tcPr>
        <w:shd w:val="clear" w:color="auto" w:fill="E2E7E1" w:themeFill="accent3" w:themeFillTint="3F"/>
      </w:tcPr>
    </w:tblStylePr>
  </w:style>
  <w:style w:type="table" w:styleId="MediumList1-Accent4">
    <w:name w:val="Medium List 1 Accent 4"/>
    <w:basedOn w:val="TableNormal"/>
    <w:uiPriority w:val="65"/>
    <w:semiHidden/>
    <w:unhideWhenUsed/>
    <w:rsid w:val="002C17A3"/>
    <w:rPr>
      <w:color w:val="000000" w:themeColor="text1"/>
      <w:sz w:val="20"/>
      <w:szCs w:val="20"/>
    </w:rPr>
    <w:tblPr>
      <w:tblStyleRowBandSize w:val="1"/>
      <w:tblStyleColBandSize w:val="1"/>
      <w:tblBorders>
        <w:top w:val="single" w:sz="8" w:space="0" w:color="C44A2C" w:themeColor="accent4"/>
        <w:bottom w:val="single" w:sz="8" w:space="0" w:color="C44A2C" w:themeColor="accent4"/>
      </w:tblBorders>
    </w:tblPr>
    <w:tblStylePr w:type="firstRow">
      <w:rPr>
        <w:rFonts w:asciiTheme="majorHAnsi" w:eastAsiaTheme="majorEastAsia" w:hAnsiTheme="majorHAnsi" w:cstheme="majorBidi"/>
      </w:rPr>
      <w:tblPr/>
      <w:tcPr>
        <w:tcBorders>
          <w:top w:val="nil"/>
          <w:bottom w:val="single" w:sz="8" w:space="0" w:color="C44A2C" w:themeColor="accent4"/>
        </w:tcBorders>
      </w:tcPr>
    </w:tblStylePr>
    <w:tblStylePr w:type="lastRow">
      <w:rPr>
        <w:b/>
        <w:bCs/>
        <w:color w:val="294654" w:themeColor="text2"/>
      </w:rPr>
      <w:tblPr/>
      <w:tcPr>
        <w:tcBorders>
          <w:top w:val="single" w:sz="8" w:space="0" w:color="C44A2C" w:themeColor="accent4"/>
          <w:bottom w:val="single" w:sz="8" w:space="0" w:color="C44A2C" w:themeColor="accent4"/>
        </w:tcBorders>
      </w:tcPr>
    </w:tblStylePr>
    <w:tblStylePr w:type="firstCol">
      <w:rPr>
        <w:b/>
        <w:bCs/>
      </w:rPr>
    </w:tblStylePr>
    <w:tblStylePr w:type="lastCol">
      <w:rPr>
        <w:b/>
        <w:bCs/>
      </w:rPr>
      <w:tblPr/>
      <w:tcPr>
        <w:tcBorders>
          <w:top w:val="single" w:sz="8" w:space="0" w:color="C44A2C" w:themeColor="accent4"/>
          <w:bottom w:val="single" w:sz="8" w:space="0" w:color="C44A2C" w:themeColor="accent4"/>
        </w:tcBorders>
      </w:tcPr>
    </w:tblStylePr>
    <w:tblStylePr w:type="band1Vert">
      <w:tblPr/>
      <w:tcPr>
        <w:shd w:val="clear" w:color="auto" w:fill="F2D0C8" w:themeFill="accent4" w:themeFillTint="3F"/>
      </w:tcPr>
    </w:tblStylePr>
    <w:tblStylePr w:type="band1Horz">
      <w:tblPr/>
      <w:tcPr>
        <w:shd w:val="clear" w:color="auto" w:fill="F2D0C8" w:themeFill="accent4" w:themeFillTint="3F"/>
      </w:tcPr>
    </w:tblStylePr>
  </w:style>
  <w:style w:type="table" w:styleId="MediumList1-Accent5">
    <w:name w:val="Medium List 1 Accent 5"/>
    <w:basedOn w:val="TableNormal"/>
    <w:uiPriority w:val="65"/>
    <w:semiHidden/>
    <w:unhideWhenUsed/>
    <w:rsid w:val="002C17A3"/>
    <w:rPr>
      <w:color w:val="000000" w:themeColor="text1"/>
      <w:sz w:val="20"/>
      <w:szCs w:val="20"/>
    </w:rPr>
    <w:tblPr>
      <w:tblStyleRowBandSize w:val="1"/>
      <w:tblStyleColBandSize w:val="1"/>
      <w:tblBorders>
        <w:top w:val="single" w:sz="8" w:space="0" w:color="C3996A" w:themeColor="accent5"/>
        <w:bottom w:val="single" w:sz="8" w:space="0" w:color="C3996A" w:themeColor="accent5"/>
      </w:tblBorders>
    </w:tblPr>
    <w:tblStylePr w:type="firstRow">
      <w:rPr>
        <w:rFonts w:asciiTheme="majorHAnsi" w:eastAsiaTheme="majorEastAsia" w:hAnsiTheme="majorHAnsi" w:cstheme="majorBidi"/>
      </w:rPr>
      <w:tblPr/>
      <w:tcPr>
        <w:tcBorders>
          <w:top w:val="nil"/>
          <w:bottom w:val="single" w:sz="8" w:space="0" w:color="C3996A" w:themeColor="accent5"/>
        </w:tcBorders>
      </w:tcPr>
    </w:tblStylePr>
    <w:tblStylePr w:type="lastRow">
      <w:rPr>
        <w:b/>
        <w:bCs/>
        <w:color w:val="294654" w:themeColor="text2"/>
      </w:rPr>
      <w:tblPr/>
      <w:tcPr>
        <w:tcBorders>
          <w:top w:val="single" w:sz="8" w:space="0" w:color="C3996A" w:themeColor="accent5"/>
          <w:bottom w:val="single" w:sz="8" w:space="0" w:color="C3996A" w:themeColor="accent5"/>
        </w:tcBorders>
      </w:tcPr>
    </w:tblStylePr>
    <w:tblStylePr w:type="firstCol">
      <w:rPr>
        <w:b/>
        <w:bCs/>
      </w:rPr>
    </w:tblStylePr>
    <w:tblStylePr w:type="lastCol">
      <w:rPr>
        <w:b/>
        <w:bCs/>
      </w:rPr>
      <w:tblPr/>
      <w:tcPr>
        <w:tcBorders>
          <w:top w:val="single" w:sz="8" w:space="0" w:color="C3996A" w:themeColor="accent5"/>
          <w:bottom w:val="single" w:sz="8" w:space="0" w:color="C3996A" w:themeColor="accent5"/>
        </w:tcBorders>
      </w:tcPr>
    </w:tblStylePr>
    <w:tblStylePr w:type="band1Vert">
      <w:tblPr/>
      <w:tcPr>
        <w:shd w:val="clear" w:color="auto" w:fill="F0E5DA" w:themeFill="accent5" w:themeFillTint="3F"/>
      </w:tcPr>
    </w:tblStylePr>
    <w:tblStylePr w:type="band1Horz">
      <w:tblPr/>
      <w:tcPr>
        <w:shd w:val="clear" w:color="auto" w:fill="F0E5DA" w:themeFill="accent5" w:themeFillTint="3F"/>
      </w:tcPr>
    </w:tblStylePr>
  </w:style>
  <w:style w:type="table" w:styleId="MediumList1-Accent6">
    <w:name w:val="Medium List 1 Accent 6"/>
    <w:basedOn w:val="TableNormal"/>
    <w:uiPriority w:val="65"/>
    <w:semiHidden/>
    <w:unhideWhenUsed/>
    <w:rsid w:val="002C17A3"/>
    <w:rPr>
      <w:color w:val="000000" w:themeColor="text1"/>
      <w:sz w:val="20"/>
      <w:szCs w:val="20"/>
    </w:rPr>
    <w:tblPr>
      <w:tblStyleRowBandSize w:val="1"/>
      <w:tblStyleColBandSize w:val="1"/>
      <w:tblBorders>
        <w:top w:val="single" w:sz="8" w:space="0" w:color="B1B3B3" w:themeColor="accent6"/>
        <w:bottom w:val="single" w:sz="8" w:space="0" w:color="B1B3B3" w:themeColor="accent6"/>
      </w:tblBorders>
    </w:tblPr>
    <w:tblStylePr w:type="firstRow">
      <w:rPr>
        <w:rFonts w:asciiTheme="majorHAnsi" w:eastAsiaTheme="majorEastAsia" w:hAnsiTheme="majorHAnsi" w:cstheme="majorBidi"/>
      </w:rPr>
      <w:tblPr/>
      <w:tcPr>
        <w:tcBorders>
          <w:top w:val="nil"/>
          <w:bottom w:val="single" w:sz="8" w:space="0" w:color="B1B3B3" w:themeColor="accent6"/>
        </w:tcBorders>
      </w:tcPr>
    </w:tblStylePr>
    <w:tblStylePr w:type="lastRow">
      <w:rPr>
        <w:b/>
        <w:bCs/>
        <w:color w:val="294654" w:themeColor="text2"/>
      </w:rPr>
      <w:tblPr/>
      <w:tcPr>
        <w:tcBorders>
          <w:top w:val="single" w:sz="8" w:space="0" w:color="B1B3B3" w:themeColor="accent6"/>
          <w:bottom w:val="single" w:sz="8" w:space="0" w:color="B1B3B3" w:themeColor="accent6"/>
        </w:tcBorders>
      </w:tcPr>
    </w:tblStylePr>
    <w:tblStylePr w:type="firstCol">
      <w:rPr>
        <w:b/>
        <w:bCs/>
      </w:rPr>
    </w:tblStylePr>
    <w:tblStylePr w:type="lastCol">
      <w:rPr>
        <w:b/>
        <w:bCs/>
      </w:rPr>
      <w:tblPr/>
      <w:tcPr>
        <w:tcBorders>
          <w:top w:val="single" w:sz="8" w:space="0" w:color="B1B3B3" w:themeColor="accent6"/>
          <w:bottom w:val="single" w:sz="8" w:space="0" w:color="B1B3B3" w:themeColor="accent6"/>
        </w:tcBorders>
      </w:tcPr>
    </w:tblStylePr>
    <w:tblStylePr w:type="band1Vert">
      <w:tblPr/>
      <w:tcPr>
        <w:shd w:val="clear" w:color="auto" w:fill="EBECEC" w:themeFill="accent6" w:themeFillTint="3F"/>
      </w:tcPr>
    </w:tblStylePr>
    <w:tblStylePr w:type="band1Horz">
      <w:tblPr/>
      <w:tcPr>
        <w:shd w:val="clear" w:color="auto" w:fill="EBECEC" w:themeFill="accent6" w:themeFillTint="3F"/>
      </w:tcPr>
    </w:tblStylePr>
  </w:style>
  <w:style w:type="table" w:styleId="MediumList2">
    <w:name w:val="Medium List 2"/>
    <w:basedOn w:val="TableNormal"/>
    <w:uiPriority w:val="66"/>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649EA5" w:themeColor="accent1"/>
        <w:left w:val="single" w:sz="8" w:space="0" w:color="649EA5" w:themeColor="accent1"/>
        <w:bottom w:val="single" w:sz="8" w:space="0" w:color="649EA5" w:themeColor="accent1"/>
        <w:right w:val="single" w:sz="8" w:space="0" w:color="649EA5" w:themeColor="accent1"/>
      </w:tblBorders>
    </w:tblPr>
    <w:tblStylePr w:type="firstRow">
      <w:rPr>
        <w:sz w:val="24"/>
        <w:szCs w:val="24"/>
      </w:rPr>
      <w:tblPr/>
      <w:tcPr>
        <w:tcBorders>
          <w:top w:val="nil"/>
          <w:left w:val="nil"/>
          <w:bottom w:val="single" w:sz="24" w:space="0" w:color="649EA5" w:themeColor="accent1"/>
          <w:right w:val="nil"/>
          <w:insideH w:val="nil"/>
          <w:insideV w:val="nil"/>
        </w:tcBorders>
        <w:shd w:val="clear" w:color="auto" w:fill="FFFFFF" w:themeFill="background1"/>
      </w:tcPr>
    </w:tblStylePr>
    <w:tblStylePr w:type="lastRow">
      <w:tblPr/>
      <w:tcPr>
        <w:tcBorders>
          <w:top w:val="single" w:sz="8" w:space="0" w:color="649E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9EA5" w:themeColor="accent1"/>
          <w:insideH w:val="nil"/>
          <w:insideV w:val="nil"/>
        </w:tcBorders>
        <w:shd w:val="clear" w:color="auto" w:fill="FFFFFF" w:themeFill="background1"/>
      </w:tcPr>
    </w:tblStylePr>
    <w:tblStylePr w:type="lastCol">
      <w:tblPr/>
      <w:tcPr>
        <w:tcBorders>
          <w:top w:val="nil"/>
          <w:left w:val="single" w:sz="8" w:space="0" w:color="649E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7E8" w:themeFill="accent1" w:themeFillTint="3F"/>
      </w:tcPr>
    </w:tblStylePr>
    <w:tblStylePr w:type="band1Horz">
      <w:tblPr/>
      <w:tcPr>
        <w:tcBorders>
          <w:top w:val="nil"/>
          <w:bottom w:val="nil"/>
          <w:insideH w:val="nil"/>
          <w:insideV w:val="nil"/>
        </w:tcBorders>
        <w:shd w:val="clear" w:color="auto" w:fill="D8E7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4B673B" w:themeColor="accent2"/>
        <w:left w:val="single" w:sz="8" w:space="0" w:color="4B673B" w:themeColor="accent2"/>
        <w:bottom w:val="single" w:sz="8" w:space="0" w:color="4B673B" w:themeColor="accent2"/>
        <w:right w:val="single" w:sz="8" w:space="0" w:color="4B673B" w:themeColor="accent2"/>
      </w:tblBorders>
    </w:tblPr>
    <w:tblStylePr w:type="firstRow">
      <w:rPr>
        <w:sz w:val="24"/>
        <w:szCs w:val="24"/>
      </w:rPr>
      <w:tblPr/>
      <w:tcPr>
        <w:tcBorders>
          <w:top w:val="nil"/>
          <w:left w:val="nil"/>
          <w:bottom w:val="single" w:sz="24" w:space="0" w:color="4B673B" w:themeColor="accent2"/>
          <w:right w:val="nil"/>
          <w:insideH w:val="nil"/>
          <w:insideV w:val="nil"/>
        </w:tcBorders>
        <w:shd w:val="clear" w:color="auto" w:fill="FFFFFF" w:themeFill="background1"/>
      </w:tcPr>
    </w:tblStylePr>
    <w:tblStylePr w:type="lastRow">
      <w:tblPr/>
      <w:tcPr>
        <w:tcBorders>
          <w:top w:val="single" w:sz="8" w:space="0" w:color="4B673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73B" w:themeColor="accent2"/>
          <w:insideH w:val="nil"/>
          <w:insideV w:val="nil"/>
        </w:tcBorders>
        <w:shd w:val="clear" w:color="auto" w:fill="FFFFFF" w:themeFill="background1"/>
      </w:tcPr>
    </w:tblStylePr>
    <w:tblStylePr w:type="lastCol">
      <w:tblPr/>
      <w:tcPr>
        <w:tcBorders>
          <w:top w:val="nil"/>
          <w:left w:val="single" w:sz="8" w:space="0" w:color="4B67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FC8" w:themeFill="accent2" w:themeFillTint="3F"/>
      </w:tcPr>
    </w:tblStylePr>
    <w:tblStylePr w:type="band1Horz">
      <w:tblPr/>
      <w:tcPr>
        <w:tcBorders>
          <w:top w:val="nil"/>
          <w:bottom w:val="nil"/>
          <w:insideH w:val="nil"/>
          <w:insideV w:val="nil"/>
        </w:tcBorders>
        <w:shd w:val="clear" w:color="auto" w:fill="D0DF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8EA189" w:themeColor="accent3"/>
        <w:left w:val="single" w:sz="8" w:space="0" w:color="8EA189" w:themeColor="accent3"/>
        <w:bottom w:val="single" w:sz="8" w:space="0" w:color="8EA189" w:themeColor="accent3"/>
        <w:right w:val="single" w:sz="8" w:space="0" w:color="8EA189" w:themeColor="accent3"/>
      </w:tblBorders>
    </w:tblPr>
    <w:tblStylePr w:type="firstRow">
      <w:rPr>
        <w:sz w:val="24"/>
        <w:szCs w:val="24"/>
      </w:rPr>
      <w:tblPr/>
      <w:tcPr>
        <w:tcBorders>
          <w:top w:val="nil"/>
          <w:left w:val="nil"/>
          <w:bottom w:val="single" w:sz="24" w:space="0" w:color="8EA189" w:themeColor="accent3"/>
          <w:right w:val="nil"/>
          <w:insideH w:val="nil"/>
          <w:insideV w:val="nil"/>
        </w:tcBorders>
        <w:shd w:val="clear" w:color="auto" w:fill="FFFFFF" w:themeFill="background1"/>
      </w:tcPr>
    </w:tblStylePr>
    <w:tblStylePr w:type="lastRow">
      <w:tblPr/>
      <w:tcPr>
        <w:tcBorders>
          <w:top w:val="single" w:sz="8" w:space="0" w:color="8EA18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A189" w:themeColor="accent3"/>
          <w:insideH w:val="nil"/>
          <w:insideV w:val="nil"/>
        </w:tcBorders>
        <w:shd w:val="clear" w:color="auto" w:fill="FFFFFF" w:themeFill="background1"/>
      </w:tcPr>
    </w:tblStylePr>
    <w:tblStylePr w:type="lastCol">
      <w:tblPr/>
      <w:tcPr>
        <w:tcBorders>
          <w:top w:val="nil"/>
          <w:left w:val="single" w:sz="8" w:space="0" w:color="8EA18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7E1" w:themeFill="accent3" w:themeFillTint="3F"/>
      </w:tcPr>
    </w:tblStylePr>
    <w:tblStylePr w:type="band1Horz">
      <w:tblPr/>
      <w:tcPr>
        <w:tcBorders>
          <w:top w:val="nil"/>
          <w:bottom w:val="nil"/>
          <w:insideH w:val="nil"/>
          <w:insideV w:val="nil"/>
        </w:tcBorders>
        <w:shd w:val="clear" w:color="auto" w:fill="E2E7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C44A2C" w:themeColor="accent4"/>
        <w:left w:val="single" w:sz="8" w:space="0" w:color="C44A2C" w:themeColor="accent4"/>
        <w:bottom w:val="single" w:sz="8" w:space="0" w:color="C44A2C" w:themeColor="accent4"/>
        <w:right w:val="single" w:sz="8" w:space="0" w:color="C44A2C" w:themeColor="accent4"/>
      </w:tblBorders>
    </w:tblPr>
    <w:tblStylePr w:type="firstRow">
      <w:rPr>
        <w:sz w:val="24"/>
        <w:szCs w:val="24"/>
      </w:rPr>
      <w:tblPr/>
      <w:tcPr>
        <w:tcBorders>
          <w:top w:val="nil"/>
          <w:left w:val="nil"/>
          <w:bottom w:val="single" w:sz="24" w:space="0" w:color="C44A2C" w:themeColor="accent4"/>
          <w:right w:val="nil"/>
          <w:insideH w:val="nil"/>
          <w:insideV w:val="nil"/>
        </w:tcBorders>
        <w:shd w:val="clear" w:color="auto" w:fill="FFFFFF" w:themeFill="background1"/>
      </w:tcPr>
    </w:tblStylePr>
    <w:tblStylePr w:type="lastRow">
      <w:tblPr/>
      <w:tcPr>
        <w:tcBorders>
          <w:top w:val="single" w:sz="8" w:space="0" w:color="C44A2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44A2C" w:themeColor="accent4"/>
          <w:insideH w:val="nil"/>
          <w:insideV w:val="nil"/>
        </w:tcBorders>
        <w:shd w:val="clear" w:color="auto" w:fill="FFFFFF" w:themeFill="background1"/>
      </w:tcPr>
    </w:tblStylePr>
    <w:tblStylePr w:type="lastCol">
      <w:tblPr/>
      <w:tcPr>
        <w:tcBorders>
          <w:top w:val="nil"/>
          <w:left w:val="single" w:sz="8" w:space="0" w:color="C44A2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0C8" w:themeFill="accent4" w:themeFillTint="3F"/>
      </w:tcPr>
    </w:tblStylePr>
    <w:tblStylePr w:type="band1Horz">
      <w:tblPr/>
      <w:tcPr>
        <w:tcBorders>
          <w:top w:val="nil"/>
          <w:bottom w:val="nil"/>
          <w:insideH w:val="nil"/>
          <w:insideV w:val="nil"/>
        </w:tcBorders>
        <w:shd w:val="clear" w:color="auto" w:fill="F2D0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C3996A" w:themeColor="accent5"/>
        <w:left w:val="single" w:sz="8" w:space="0" w:color="C3996A" w:themeColor="accent5"/>
        <w:bottom w:val="single" w:sz="8" w:space="0" w:color="C3996A" w:themeColor="accent5"/>
        <w:right w:val="single" w:sz="8" w:space="0" w:color="C3996A" w:themeColor="accent5"/>
      </w:tblBorders>
    </w:tblPr>
    <w:tblStylePr w:type="firstRow">
      <w:rPr>
        <w:sz w:val="24"/>
        <w:szCs w:val="24"/>
      </w:rPr>
      <w:tblPr/>
      <w:tcPr>
        <w:tcBorders>
          <w:top w:val="nil"/>
          <w:left w:val="nil"/>
          <w:bottom w:val="single" w:sz="24" w:space="0" w:color="C3996A" w:themeColor="accent5"/>
          <w:right w:val="nil"/>
          <w:insideH w:val="nil"/>
          <w:insideV w:val="nil"/>
        </w:tcBorders>
        <w:shd w:val="clear" w:color="auto" w:fill="FFFFFF" w:themeFill="background1"/>
      </w:tcPr>
    </w:tblStylePr>
    <w:tblStylePr w:type="lastRow">
      <w:tblPr/>
      <w:tcPr>
        <w:tcBorders>
          <w:top w:val="single" w:sz="8" w:space="0" w:color="C3996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996A" w:themeColor="accent5"/>
          <w:insideH w:val="nil"/>
          <w:insideV w:val="nil"/>
        </w:tcBorders>
        <w:shd w:val="clear" w:color="auto" w:fill="FFFFFF" w:themeFill="background1"/>
      </w:tcPr>
    </w:tblStylePr>
    <w:tblStylePr w:type="lastCol">
      <w:tblPr/>
      <w:tcPr>
        <w:tcBorders>
          <w:top w:val="nil"/>
          <w:left w:val="single" w:sz="8" w:space="0" w:color="C3996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E5DA" w:themeFill="accent5" w:themeFillTint="3F"/>
      </w:tcPr>
    </w:tblStylePr>
    <w:tblStylePr w:type="band1Horz">
      <w:tblPr/>
      <w:tcPr>
        <w:tcBorders>
          <w:top w:val="nil"/>
          <w:bottom w:val="nil"/>
          <w:insideH w:val="nil"/>
          <w:insideV w:val="nil"/>
        </w:tcBorders>
        <w:shd w:val="clear" w:color="auto" w:fill="F0E5D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C17A3"/>
    <w:rPr>
      <w:rFonts w:asciiTheme="majorHAnsi" w:eastAsiaTheme="majorEastAsia" w:hAnsiTheme="majorHAnsi" w:cstheme="majorBidi"/>
      <w:color w:val="000000" w:themeColor="text1"/>
      <w:sz w:val="20"/>
      <w:szCs w:val="20"/>
    </w:rPr>
    <w:tblPr>
      <w:tblStyleRowBandSize w:val="1"/>
      <w:tblStyleColBandSize w:val="1"/>
      <w:tblBorders>
        <w:top w:val="single" w:sz="8" w:space="0" w:color="B1B3B3" w:themeColor="accent6"/>
        <w:left w:val="single" w:sz="8" w:space="0" w:color="B1B3B3" w:themeColor="accent6"/>
        <w:bottom w:val="single" w:sz="8" w:space="0" w:color="B1B3B3" w:themeColor="accent6"/>
        <w:right w:val="single" w:sz="8" w:space="0" w:color="B1B3B3" w:themeColor="accent6"/>
      </w:tblBorders>
    </w:tblPr>
    <w:tblStylePr w:type="firstRow">
      <w:rPr>
        <w:sz w:val="24"/>
        <w:szCs w:val="24"/>
      </w:rPr>
      <w:tblPr/>
      <w:tcPr>
        <w:tcBorders>
          <w:top w:val="nil"/>
          <w:left w:val="nil"/>
          <w:bottom w:val="single" w:sz="24" w:space="0" w:color="B1B3B3" w:themeColor="accent6"/>
          <w:right w:val="nil"/>
          <w:insideH w:val="nil"/>
          <w:insideV w:val="nil"/>
        </w:tcBorders>
        <w:shd w:val="clear" w:color="auto" w:fill="FFFFFF" w:themeFill="background1"/>
      </w:tcPr>
    </w:tblStylePr>
    <w:tblStylePr w:type="lastRow">
      <w:tblPr/>
      <w:tcPr>
        <w:tcBorders>
          <w:top w:val="single" w:sz="8" w:space="0" w:color="B1B3B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3B3" w:themeColor="accent6"/>
          <w:insideH w:val="nil"/>
          <w:insideV w:val="nil"/>
        </w:tcBorders>
        <w:shd w:val="clear" w:color="auto" w:fill="FFFFFF" w:themeFill="background1"/>
      </w:tcPr>
    </w:tblStylePr>
    <w:tblStylePr w:type="lastCol">
      <w:tblPr/>
      <w:tcPr>
        <w:tcBorders>
          <w:top w:val="nil"/>
          <w:left w:val="single" w:sz="8" w:space="0" w:color="B1B3B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CEC" w:themeFill="accent6" w:themeFillTint="3F"/>
      </w:tcPr>
    </w:tblStylePr>
    <w:tblStylePr w:type="band1Horz">
      <w:tblPr/>
      <w:tcPr>
        <w:tcBorders>
          <w:top w:val="nil"/>
          <w:bottom w:val="nil"/>
          <w:insideH w:val="nil"/>
          <w:insideV w:val="nil"/>
        </w:tcBorders>
        <w:shd w:val="clear" w:color="auto" w:fill="EBECE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C17A3"/>
    <w:rPr>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C17A3"/>
    <w:rPr>
      <w:sz w:val="20"/>
      <w:szCs w:val="20"/>
    </w:rPr>
    <w:tblPr>
      <w:tblStyleRowBandSize w:val="1"/>
      <w:tblStyleColBandSize w:val="1"/>
      <w:tblBorders>
        <w:top w:val="single" w:sz="8" w:space="0" w:color="8AB6BB" w:themeColor="accent1" w:themeTint="BF"/>
        <w:left w:val="single" w:sz="8" w:space="0" w:color="8AB6BB" w:themeColor="accent1" w:themeTint="BF"/>
        <w:bottom w:val="single" w:sz="8" w:space="0" w:color="8AB6BB" w:themeColor="accent1" w:themeTint="BF"/>
        <w:right w:val="single" w:sz="8" w:space="0" w:color="8AB6BB" w:themeColor="accent1" w:themeTint="BF"/>
        <w:insideH w:val="single" w:sz="8" w:space="0" w:color="8AB6BB" w:themeColor="accent1" w:themeTint="BF"/>
      </w:tblBorders>
    </w:tblPr>
    <w:tblStylePr w:type="firstRow">
      <w:pPr>
        <w:spacing w:before="0" w:after="0" w:line="240" w:lineRule="auto"/>
      </w:pPr>
      <w:rPr>
        <w:b/>
        <w:bCs/>
        <w:color w:val="FFFFFF" w:themeColor="background1"/>
      </w:rPr>
      <w:tblPr/>
      <w:tcPr>
        <w:tcBorders>
          <w:top w:val="single" w:sz="8" w:space="0" w:color="8AB6BB" w:themeColor="accent1" w:themeTint="BF"/>
          <w:left w:val="single" w:sz="8" w:space="0" w:color="8AB6BB" w:themeColor="accent1" w:themeTint="BF"/>
          <w:bottom w:val="single" w:sz="8" w:space="0" w:color="8AB6BB" w:themeColor="accent1" w:themeTint="BF"/>
          <w:right w:val="single" w:sz="8" w:space="0" w:color="8AB6BB" w:themeColor="accent1" w:themeTint="BF"/>
          <w:insideH w:val="nil"/>
          <w:insideV w:val="nil"/>
        </w:tcBorders>
        <w:shd w:val="clear" w:color="auto" w:fill="649EA5" w:themeFill="accent1"/>
      </w:tcPr>
    </w:tblStylePr>
    <w:tblStylePr w:type="lastRow">
      <w:pPr>
        <w:spacing w:before="0" w:after="0" w:line="240" w:lineRule="auto"/>
      </w:pPr>
      <w:rPr>
        <w:b/>
        <w:bCs/>
      </w:rPr>
      <w:tblPr/>
      <w:tcPr>
        <w:tcBorders>
          <w:top w:val="double" w:sz="6" w:space="0" w:color="8AB6BB" w:themeColor="accent1" w:themeTint="BF"/>
          <w:left w:val="single" w:sz="8" w:space="0" w:color="8AB6BB" w:themeColor="accent1" w:themeTint="BF"/>
          <w:bottom w:val="single" w:sz="8" w:space="0" w:color="8AB6BB" w:themeColor="accent1" w:themeTint="BF"/>
          <w:right w:val="single" w:sz="8" w:space="0" w:color="8AB6B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E7E8" w:themeFill="accent1" w:themeFillTint="3F"/>
      </w:tcPr>
    </w:tblStylePr>
    <w:tblStylePr w:type="band1Horz">
      <w:tblPr/>
      <w:tcPr>
        <w:tcBorders>
          <w:insideH w:val="nil"/>
          <w:insideV w:val="nil"/>
        </w:tcBorders>
        <w:shd w:val="clear" w:color="auto" w:fill="D8E7E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C17A3"/>
    <w:rPr>
      <w:sz w:val="20"/>
      <w:szCs w:val="20"/>
    </w:rPr>
    <w:tblPr>
      <w:tblStyleRowBandSize w:val="1"/>
      <w:tblStyleColBandSize w:val="1"/>
      <w:tblBorders>
        <w:top w:val="single" w:sz="8" w:space="0" w:color="739E5B" w:themeColor="accent2" w:themeTint="BF"/>
        <w:left w:val="single" w:sz="8" w:space="0" w:color="739E5B" w:themeColor="accent2" w:themeTint="BF"/>
        <w:bottom w:val="single" w:sz="8" w:space="0" w:color="739E5B" w:themeColor="accent2" w:themeTint="BF"/>
        <w:right w:val="single" w:sz="8" w:space="0" w:color="739E5B" w:themeColor="accent2" w:themeTint="BF"/>
        <w:insideH w:val="single" w:sz="8" w:space="0" w:color="739E5B" w:themeColor="accent2" w:themeTint="BF"/>
      </w:tblBorders>
    </w:tblPr>
    <w:tblStylePr w:type="firstRow">
      <w:pPr>
        <w:spacing w:before="0" w:after="0" w:line="240" w:lineRule="auto"/>
      </w:pPr>
      <w:rPr>
        <w:b/>
        <w:bCs/>
        <w:color w:val="FFFFFF" w:themeColor="background1"/>
      </w:rPr>
      <w:tblPr/>
      <w:tcPr>
        <w:tcBorders>
          <w:top w:val="single" w:sz="8" w:space="0" w:color="739E5B" w:themeColor="accent2" w:themeTint="BF"/>
          <w:left w:val="single" w:sz="8" w:space="0" w:color="739E5B" w:themeColor="accent2" w:themeTint="BF"/>
          <w:bottom w:val="single" w:sz="8" w:space="0" w:color="739E5B" w:themeColor="accent2" w:themeTint="BF"/>
          <w:right w:val="single" w:sz="8" w:space="0" w:color="739E5B" w:themeColor="accent2" w:themeTint="BF"/>
          <w:insideH w:val="nil"/>
          <w:insideV w:val="nil"/>
        </w:tcBorders>
        <w:shd w:val="clear" w:color="auto" w:fill="4B673B" w:themeFill="accent2"/>
      </w:tcPr>
    </w:tblStylePr>
    <w:tblStylePr w:type="lastRow">
      <w:pPr>
        <w:spacing w:before="0" w:after="0" w:line="240" w:lineRule="auto"/>
      </w:pPr>
      <w:rPr>
        <w:b/>
        <w:bCs/>
      </w:rPr>
      <w:tblPr/>
      <w:tcPr>
        <w:tcBorders>
          <w:top w:val="double" w:sz="6" w:space="0" w:color="739E5B" w:themeColor="accent2" w:themeTint="BF"/>
          <w:left w:val="single" w:sz="8" w:space="0" w:color="739E5B" w:themeColor="accent2" w:themeTint="BF"/>
          <w:bottom w:val="single" w:sz="8" w:space="0" w:color="739E5B" w:themeColor="accent2" w:themeTint="BF"/>
          <w:right w:val="single" w:sz="8" w:space="0" w:color="739E5B" w:themeColor="accent2" w:themeTint="BF"/>
          <w:insideH w:val="nil"/>
          <w:insideV w:val="nil"/>
        </w:tcBorders>
      </w:tcPr>
    </w:tblStylePr>
    <w:tblStylePr w:type="firstCol">
      <w:rPr>
        <w:b/>
        <w:bCs/>
      </w:rPr>
    </w:tblStylePr>
    <w:tblStylePr w:type="lastCol">
      <w:rPr>
        <w:b/>
        <w:bCs/>
      </w:rPr>
    </w:tblStylePr>
    <w:tblStylePr w:type="band1Vert">
      <w:tblPr/>
      <w:tcPr>
        <w:shd w:val="clear" w:color="auto" w:fill="D0DFC8" w:themeFill="accent2" w:themeFillTint="3F"/>
      </w:tcPr>
    </w:tblStylePr>
    <w:tblStylePr w:type="band1Horz">
      <w:tblPr/>
      <w:tcPr>
        <w:tcBorders>
          <w:insideH w:val="nil"/>
          <w:insideV w:val="nil"/>
        </w:tcBorders>
        <w:shd w:val="clear" w:color="auto" w:fill="D0DF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C17A3"/>
    <w:rPr>
      <w:sz w:val="20"/>
      <w:szCs w:val="20"/>
    </w:rPr>
    <w:tblPr>
      <w:tblStyleRowBandSize w:val="1"/>
      <w:tblStyleColBandSize w:val="1"/>
      <w:tblBorders>
        <w:top w:val="single" w:sz="8" w:space="0" w:color="AAB8A6" w:themeColor="accent3" w:themeTint="BF"/>
        <w:left w:val="single" w:sz="8" w:space="0" w:color="AAB8A6" w:themeColor="accent3" w:themeTint="BF"/>
        <w:bottom w:val="single" w:sz="8" w:space="0" w:color="AAB8A6" w:themeColor="accent3" w:themeTint="BF"/>
        <w:right w:val="single" w:sz="8" w:space="0" w:color="AAB8A6" w:themeColor="accent3" w:themeTint="BF"/>
        <w:insideH w:val="single" w:sz="8" w:space="0" w:color="AAB8A6" w:themeColor="accent3" w:themeTint="BF"/>
      </w:tblBorders>
    </w:tblPr>
    <w:tblStylePr w:type="firstRow">
      <w:pPr>
        <w:spacing w:before="0" w:after="0" w:line="240" w:lineRule="auto"/>
      </w:pPr>
      <w:rPr>
        <w:b/>
        <w:bCs/>
        <w:color w:val="FFFFFF" w:themeColor="background1"/>
      </w:rPr>
      <w:tblPr/>
      <w:tcPr>
        <w:tcBorders>
          <w:top w:val="single" w:sz="8" w:space="0" w:color="AAB8A6" w:themeColor="accent3" w:themeTint="BF"/>
          <w:left w:val="single" w:sz="8" w:space="0" w:color="AAB8A6" w:themeColor="accent3" w:themeTint="BF"/>
          <w:bottom w:val="single" w:sz="8" w:space="0" w:color="AAB8A6" w:themeColor="accent3" w:themeTint="BF"/>
          <w:right w:val="single" w:sz="8" w:space="0" w:color="AAB8A6" w:themeColor="accent3" w:themeTint="BF"/>
          <w:insideH w:val="nil"/>
          <w:insideV w:val="nil"/>
        </w:tcBorders>
        <w:shd w:val="clear" w:color="auto" w:fill="8EA189" w:themeFill="accent3"/>
      </w:tcPr>
    </w:tblStylePr>
    <w:tblStylePr w:type="lastRow">
      <w:pPr>
        <w:spacing w:before="0" w:after="0" w:line="240" w:lineRule="auto"/>
      </w:pPr>
      <w:rPr>
        <w:b/>
        <w:bCs/>
      </w:rPr>
      <w:tblPr/>
      <w:tcPr>
        <w:tcBorders>
          <w:top w:val="double" w:sz="6" w:space="0" w:color="AAB8A6" w:themeColor="accent3" w:themeTint="BF"/>
          <w:left w:val="single" w:sz="8" w:space="0" w:color="AAB8A6" w:themeColor="accent3" w:themeTint="BF"/>
          <w:bottom w:val="single" w:sz="8" w:space="0" w:color="AAB8A6" w:themeColor="accent3" w:themeTint="BF"/>
          <w:right w:val="single" w:sz="8" w:space="0" w:color="AAB8A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7E1" w:themeFill="accent3" w:themeFillTint="3F"/>
      </w:tcPr>
    </w:tblStylePr>
    <w:tblStylePr w:type="band1Horz">
      <w:tblPr/>
      <w:tcPr>
        <w:tcBorders>
          <w:insideH w:val="nil"/>
          <w:insideV w:val="nil"/>
        </w:tcBorders>
        <w:shd w:val="clear" w:color="auto" w:fill="E2E7E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C17A3"/>
    <w:rPr>
      <w:sz w:val="20"/>
      <w:szCs w:val="20"/>
    </w:rPr>
    <w:tblPr>
      <w:tblStyleRowBandSize w:val="1"/>
      <w:tblStyleColBandSize w:val="1"/>
      <w:tblBorders>
        <w:top w:val="single" w:sz="8" w:space="0" w:color="DA7259" w:themeColor="accent4" w:themeTint="BF"/>
        <w:left w:val="single" w:sz="8" w:space="0" w:color="DA7259" w:themeColor="accent4" w:themeTint="BF"/>
        <w:bottom w:val="single" w:sz="8" w:space="0" w:color="DA7259" w:themeColor="accent4" w:themeTint="BF"/>
        <w:right w:val="single" w:sz="8" w:space="0" w:color="DA7259" w:themeColor="accent4" w:themeTint="BF"/>
        <w:insideH w:val="single" w:sz="8" w:space="0" w:color="DA7259" w:themeColor="accent4" w:themeTint="BF"/>
      </w:tblBorders>
    </w:tblPr>
    <w:tblStylePr w:type="firstRow">
      <w:pPr>
        <w:spacing w:before="0" w:after="0" w:line="240" w:lineRule="auto"/>
      </w:pPr>
      <w:rPr>
        <w:b/>
        <w:bCs/>
        <w:color w:val="FFFFFF" w:themeColor="background1"/>
      </w:rPr>
      <w:tblPr/>
      <w:tcPr>
        <w:tcBorders>
          <w:top w:val="single" w:sz="8" w:space="0" w:color="DA7259" w:themeColor="accent4" w:themeTint="BF"/>
          <w:left w:val="single" w:sz="8" w:space="0" w:color="DA7259" w:themeColor="accent4" w:themeTint="BF"/>
          <w:bottom w:val="single" w:sz="8" w:space="0" w:color="DA7259" w:themeColor="accent4" w:themeTint="BF"/>
          <w:right w:val="single" w:sz="8" w:space="0" w:color="DA7259" w:themeColor="accent4" w:themeTint="BF"/>
          <w:insideH w:val="nil"/>
          <w:insideV w:val="nil"/>
        </w:tcBorders>
        <w:shd w:val="clear" w:color="auto" w:fill="C44A2C" w:themeFill="accent4"/>
      </w:tcPr>
    </w:tblStylePr>
    <w:tblStylePr w:type="lastRow">
      <w:pPr>
        <w:spacing w:before="0" w:after="0" w:line="240" w:lineRule="auto"/>
      </w:pPr>
      <w:rPr>
        <w:b/>
        <w:bCs/>
      </w:rPr>
      <w:tblPr/>
      <w:tcPr>
        <w:tcBorders>
          <w:top w:val="double" w:sz="6" w:space="0" w:color="DA7259" w:themeColor="accent4" w:themeTint="BF"/>
          <w:left w:val="single" w:sz="8" w:space="0" w:color="DA7259" w:themeColor="accent4" w:themeTint="BF"/>
          <w:bottom w:val="single" w:sz="8" w:space="0" w:color="DA7259" w:themeColor="accent4" w:themeTint="BF"/>
          <w:right w:val="single" w:sz="8" w:space="0" w:color="DA72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D0C8" w:themeFill="accent4" w:themeFillTint="3F"/>
      </w:tcPr>
    </w:tblStylePr>
    <w:tblStylePr w:type="band1Horz">
      <w:tblPr/>
      <w:tcPr>
        <w:tcBorders>
          <w:insideH w:val="nil"/>
          <w:insideV w:val="nil"/>
        </w:tcBorders>
        <w:shd w:val="clear" w:color="auto" w:fill="F2D0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C17A3"/>
    <w:rPr>
      <w:sz w:val="20"/>
      <w:szCs w:val="20"/>
    </w:rPr>
    <w:tblPr>
      <w:tblStyleRowBandSize w:val="1"/>
      <w:tblStyleColBandSize w:val="1"/>
      <w:tblBorders>
        <w:top w:val="single" w:sz="8" w:space="0" w:color="D2B28F" w:themeColor="accent5" w:themeTint="BF"/>
        <w:left w:val="single" w:sz="8" w:space="0" w:color="D2B28F" w:themeColor="accent5" w:themeTint="BF"/>
        <w:bottom w:val="single" w:sz="8" w:space="0" w:color="D2B28F" w:themeColor="accent5" w:themeTint="BF"/>
        <w:right w:val="single" w:sz="8" w:space="0" w:color="D2B28F" w:themeColor="accent5" w:themeTint="BF"/>
        <w:insideH w:val="single" w:sz="8" w:space="0" w:color="D2B28F" w:themeColor="accent5" w:themeTint="BF"/>
      </w:tblBorders>
    </w:tblPr>
    <w:tblStylePr w:type="firstRow">
      <w:pPr>
        <w:spacing w:before="0" w:after="0" w:line="240" w:lineRule="auto"/>
      </w:pPr>
      <w:rPr>
        <w:b/>
        <w:bCs/>
        <w:color w:val="FFFFFF" w:themeColor="background1"/>
      </w:rPr>
      <w:tblPr/>
      <w:tcPr>
        <w:tcBorders>
          <w:top w:val="single" w:sz="8" w:space="0" w:color="D2B28F" w:themeColor="accent5" w:themeTint="BF"/>
          <w:left w:val="single" w:sz="8" w:space="0" w:color="D2B28F" w:themeColor="accent5" w:themeTint="BF"/>
          <w:bottom w:val="single" w:sz="8" w:space="0" w:color="D2B28F" w:themeColor="accent5" w:themeTint="BF"/>
          <w:right w:val="single" w:sz="8" w:space="0" w:color="D2B28F" w:themeColor="accent5" w:themeTint="BF"/>
          <w:insideH w:val="nil"/>
          <w:insideV w:val="nil"/>
        </w:tcBorders>
        <w:shd w:val="clear" w:color="auto" w:fill="C3996A" w:themeFill="accent5"/>
      </w:tcPr>
    </w:tblStylePr>
    <w:tblStylePr w:type="lastRow">
      <w:pPr>
        <w:spacing w:before="0" w:after="0" w:line="240" w:lineRule="auto"/>
      </w:pPr>
      <w:rPr>
        <w:b/>
        <w:bCs/>
      </w:rPr>
      <w:tblPr/>
      <w:tcPr>
        <w:tcBorders>
          <w:top w:val="double" w:sz="6" w:space="0" w:color="D2B28F" w:themeColor="accent5" w:themeTint="BF"/>
          <w:left w:val="single" w:sz="8" w:space="0" w:color="D2B28F" w:themeColor="accent5" w:themeTint="BF"/>
          <w:bottom w:val="single" w:sz="8" w:space="0" w:color="D2B28F" w:themeColor="accent5" w:themeTint="BF"/>
          <w:right w:val="single" w:sz="8" w:space="0" w:color="D2B28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0E5DA" w:themeFill="accent5" w:themeFillTint="3F"/>
      </w:tcPr>
    </w:tblStylePr>
    <w:tblStylePr w:type="band1Horz">
      <w:tblPr/>
      <w:tcPr>
        <w:tcBorders>
          <w:insideH w:val="nil"/>
          <w:insideV w:val="nil"/>
        </w:tcBorders>
        <w:shd w:val="clear" w:color="auto" w:fill="F0E5D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C17A3"/>
    <w:rPr>
      <w:sz w:val="20"/>
      <w:szCs w:val="20"/>
    </w:rPr>
    <w:tblPr>
      <w:tblStyleRowBandSize w:val="1"/>
      <w:tblStyleColBandSize w:val="1"/>
      <w:tblBorders>
        <w:top w:val="single" w:sz="8" w:space="0" w:color="C4C6C6" w:themeColor="accent6" w:themeTint="BF"/>
        <w:left w:val="single" w:sz="8" w:space="0" w:color="C4C6C6" w:themeColor="accent6" w:themeTint="BF"/>
        <w:bottom w:val="single" w:sz="8" w:space="0" w:color="C4C6C6" w:themeColor="accent6" w:themeTint="BF"/>
        <w:right w:val="single" w:sz="8" w:space="0" w:color="C4C6C6" w:themeColor="accent6" w:themeTint="BF"/>
        <w:insideH w:val="single" w:sz="8" w:space="0" w:color="C4C6C6" w:themeColor="accent6" w:themeTint="BF"/>
      </w:tblBorders>
    </w:tblPr>
    <w:tblStylePr w:type="firstRow">
      <w:pPr>
        <w:spacing w:before="0" w:after="0" w:line="240" w:lineRule="auto"/>
      </w:pPr>
      <w:rPr>
        <w:b/>
        <w:bCs/>
        <w:color w:val="FFFFFF" w:themeColor="background1"/>
      </w:rPr>
      <w:tblPr/>
      <w:tcPr>
        <w:tcBorders>
          <w:top w:val="single" w:sz="8" w:space="0" w:color="C4C6C6" w:themeColor="accent6" w:themeTint="BF"/>
          <w:left w:val="single" w:sz="8" w:space="0" w:color="C4C6C6" w:themeColor="accent6" w:themeTint="BF"/>
          <w:bottom w:val="single" w:sz="8" w:space="0" w:color="C4C6C6" w:themeColor="accent6" w:themeTint="BF"/>
          <w:right w:val="single" w:sz="8" w:space="0" w:color="C4C6C6" w:themeColor="accent6" w:themeTint="BF"/>
          <w:insideH w:val="nil"/>
          <w:insideV w:val="nil"/>
        </w:tcBorders>
        <w:shd w:val="clear" w:color="auto" w:fill="B1B3B3" w:themeFill="accent6"/>
      </w:tcPr>
    </w:tblStylePr>
    <w:tblStylePr w:type="lastRow">
      <w:pPr>
        <w:spacing w:before="0" w:after="0" w:line="240" w:lineRule="auto"/>
      </w:pPr>
      <w:rPr>
        <w:b/>
        <w:bCs/>
      </w:rPr>
      <w:tblPr/>
      <w:tcPr>
        <w:tcBorders>
          <w:top w:val="double" w:sz="6" w:space="0" w:color="C4C6C6" w:themeColor="accent6" w:themeTint="BF"/>
          <w:left w:val="single" w:sz="8" w:space="0" w:color="C4C6C6" w:themeColor="accent6" w:themeTint="BF"/>
          <w:bottom w:val="single" w:sz="8" w:space="0" w:color="C4C6C6" w:themeColor="accent6" w:themeTint="BF"/>
          <w:right w:val="single" w:sz="8" w:space="0" w:color="C4C6C6"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CEC" w:themeFill="accent6" w:themeFillTint="3F"/>
      </w:tcPr>
    </w:tblStylePr>
    <w:tblStylePr w:type="band1Horz">
      <w:tblPr/>
      <w:tcPr>
        <w:tcBorders>
          <w:insideH w:val="nil"/>
          <w:insideV w:val="nil"/>
        </w:tcBorders>
        <w:shd w:val="clear" w:color="auto" w:fill="EBECE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C17A3"/>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2C17A3"/>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9E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49EA5" w:themeFill="accent1"/>
      </w:tcPr>
    </w:tblStylePr>
    <w:tblStylePr w:type="lastCol">
      <w:rPr>
        <w:b/>
        <w:bCs/>
        <w:color w:val="FFFFFF" w:themeColor="background1"/>
      </w:rPr>
      <w:tblPr/>
      <w:tcPr>
        <w:tcBorders>
          <w:left w:val="nil"/>
          <w:right w:val="nil"/>
          <w:insideH w:val="nil"/>
          <w:insideV w:val="nil"/>
        </w:tcBorders>
        <w:shd w:val="clear" w:color="auto" w:fill="649E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2C17A3"/>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7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673B" w:themeFill="accent2"/>
      </w:tcPr>
    </w:tblStylePr>
    <w:tblStylePr w:type="lastCol">
      <w:rPr>
        <w:b/>
        <w:bCs/>
        <w:color w:val="FFFFFF" w:themeColor="background1"/>
      </w:rPr>
      <w:tblPr/>
      <w:tcPr>
        <w:tcBorders>
          <w:left w:val="nil"/>
          <w:right w:val="nil"/>
          <w:insideH w:val="nil"/>
          <w:insideV w:val="nil"/>
        </w:tcBorders>
        <w:shd w:val="clear" w:color="auto" w:fill="4B67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2C17A3"/>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A18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A189" w:themeFill="accent3"/>
      </w:tcPr>
    </w:tblStylePr>
    <w:tblStylePr w:type="lastCol">
      <w:rPr>
        <w:b/>
        <w:bCs/>
        <w:color w:val="FFFFFF" w:themeColor="background1"/>
      </w:rPr>
      <w:tblPr/>
      <w:tcPr>
        <w:tcBorders>
          <w:left w:val="nil"/>
          <w:right w:val="nil"/>
          <w:insideH w:val="nil"/>
          <w:insideV w:val="nil"/>
        </w:tcBorders>
        <w:shd w:val="clear" w:color="auto" w:fill="8EA18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2C17A3"/>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44A2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44A2C" w:themeFill="accent4"/>
      </w:tcPr>
    </w:tblStylePr>
    <w:tblStylePr w:type="lastCol">
      <w:rPr>
        <w:b/>
        <w:bCs/>
        <w:color w:val="FFFFFF" w:themeColor="background1"/>
      </w:rPr>
      <w:tblPr/>
      <w:tcPr>
        <w:tcBorders>
          <w:left w:val="nil"/>
          <w:right w:val="nil"/>
          <w:insideH w:val="nil"/>
          <w:insideV w:val="nil"/>
        </w:tcBorders>
        <w:shd w:val="clear" w:color="auto" w:fill="C44A2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2C17A3"/>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996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3996A" w:themeFill="accent5"/>
      </w:tcPr>
    </w:tblStylePr>
    <w:tblStylePr w:type="lastCol">
      <w:rPr>
        <w:b/>
        <w:bCs/>
        <w:color w:val="FFFFFF" w:themeColor="background1"/>
      </w:rPr>
      <w:tblPr/>
      <w:tcPr>
        <w:tcBorders>
          <w:left w:val="nil"/>
          <w:right w:val="nil"/>
          <w:insideH w:val="nil"/>
          <w:insideV w:val="nil"/>
        </w:tcBorders>
        <w:shd w:val="clear" w:color="auto" w:fill="C3996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2C17A3"/>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3B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3B3" w:themeFill="accent6"/>
      </w:tcPr>
    </w:tblStylePr>
    <w:tblStylePr w:type="lastCol">
      <w:rPr>
        <w:b/>
        <w:bCs/>
        <w:color w:val="FFFFFF" w:themeColor="background1"/>
      </w:rPr>
      <w:tblPr/>
      <w:tcPr>
        <w:tcBorders>
          <w:left w:val="nil"/>
          <w:right w:val="nil"/>
          <w:insideH w:val="nil"/>
          <w:insideV w:val="nil"/>
        </w:tcBorders>
        <w:shd w:val="clear" w:color="auto" w:fill="B1B3B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2C17A3"/>
    <w:rPr>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C17A3"/>
    <w:rPr>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C17A3"/>
    <w:rPr>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C17A3"/>
    <w:rPr>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C17A3"/>
    <w:rPr>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2C17A3"/>
    <w:pPr>
      <w:spacing w:line="240" w:lineRule="exact"/>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C17A3"/>
    <w:pPr>
      <w:spacing w:line="240" w:lineRule="exact"/>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C17A3"/>
    <w:pPr>
      <w:spacing w:line="240" w:lineRule="exact"/>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C17A3"/>
    <w:pPr>
      <w:spacing w:line="240" w:lineRule="exact"/>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C17A3"/>
    <w:pPr>
      <w:spacing w:line="240" w:lineRule="exact"/>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C17A3"/>
    <w:pPr>
      <w:spacing w:line="240" w:lineRule="exac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C17A3"/>
    <w:pPr>
      <w:spacing w:line="240" w:lineRule="exact"/>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C17A3"/>
    <w:pPr>
      <w:spacing w:line="240" w:lineRule="exac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C17A3"/>
    <w:pPr>
      <w:spacing w:line="240" w:lineRule="exact"/>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C17A3"/>
    <w:pPr>
      <w:spacing w:line="240" w:lineRule="exac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C17A3"/>
    <w:pPr>
      <w:spacing w:line="240" w:lineRule="exac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C17A3"/>
    <w:pPr>
      <w:spacing w:line="240" w:lineRule="exact"/>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C17A3"/>
    <w:pPr>
      <w:spacing w:line="240" w:lineRule="exac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C17A3"/>
    <w:pPr>
      <w:spacing w:line="240" w:lineRule="exact"/>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C17A3"/>
    <w:pPr>
      <w:spacing w:line="240" w:lineRule="exac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C17A3"/>
    <w:pPr>
      <w:spacing w:line="240" w:lineRule="exact"/>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C17A3"/>
    <w:pPr>
      <w:spacing w:line="240" w:lineRule="exac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C17A3"/>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C17A3"/>
    <w:pPr>
      <w:spacing w:line="240" w:lineRule="exact"/>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C17A3"/>
    <w:pPr>
      <w:spacing w:line="240" w:lineRule="exac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C17A3"/>
    <w:pPr>
      <w:spacing w:line="240" w:lineRule="exact"/>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C17A3"/>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C17A3"/>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C17A3"/>
    <w:pPr>
      <w:spacing w:line="240" w:lineRule="exac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C17A3"/>
    <w:pPr>
      <w:spacing w:line="240" w:lineRule="exac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C17A3"/>
    <w:rPr>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C17A3"/>
    <w:pPr>
      <w:spacing w:line="240" w:lineRule="exac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C17A3"/>
    <w:pPr>
      <w:spacing w:line="240" w:lineRule="exact"/>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C17A3"/>
    <w:pPr>
      <w:spacing w:line="240" w:lineRule="exact"/>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C17A3"/>
    <w:pPr>
      <w:spacing w:line="240" w:lineRule="exac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C17A3"/>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C17A3"/>
    <w:pPr>
      <w:spacing w:line="240" w:lineRule="exac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C17A3"/>
    <w:pPr>
      <w:spacing w:line="240" w:lineRule="exac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C17A3"/>
    <w:pPr>
      <w:spacing w:line="240" w:lineRule="exac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C17A3"/>
    <w:pPr>
      <w:spacing w:line="240" w:lineRule="exac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C17A3"/>
    <w:pPr>
      <w:spacing w:line="240" w:lineRule="exact"/>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C17A3"/>
    <w:pPr>
      <w:spacing w:line="240" w:lineRule="exact"/>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C17A3"/>
    <w:pPr>
      <w:spacing w:line="240" w:lineRule="exact"/>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C17A3"/>
    <w:pPr>
      <w:spacing w:line="240" w:lineRule="exact"/>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C17A3"/>
    <w:pPr>
      <w:spacing w:line="240" w:lineRule="exact"/>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C17A3"/>
    <w:pPr>
      <w:spacing w:line="240" w:lineRule="exac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C17A3"/>
    <w:pPr>
      <w:spacing w:line="240" w:lineRule="exac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C17A3"/>
    <w:pPr>
      <w:spacing w:line="240" w:lineRule="exac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C17A3"/>
    <w:pPr>
      <w:spacing w:line="240" w:lineRule="exac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eporttitle0">
    <w:name w:val="Report title"/>
    <w:uiPriority w:val="99"/>
    <w:semiHidden/>
    <w:rsid w:val="00DA6243"/>
    <w:rPr>
      <w:rFonts w:ascii="Aptos" w:hAnsi="Aptos"/>
      <w:b/>
      <w:color w:val="294654" w:themeColor="text2"/>
      <w:spacing w:val="-10"/>
      <w:sz w:val="44"/>
      <w:szCs w:val="48"/>
    </w:rPr>
  </w:style>
  <w:style w:type="paragraph" w:customStyle="1" w:styleId="SectionSubTitle">
    <w:name w:val="SectionSubTitle"/>
    <w:basedOn w:val="Normal"/>
    <w:uiPriority w:val="99"/>
    <w:semiHidden/>
    <w:rsid w:val="002C17A3"/>
    <w:pPr>
      <w:spacing w:after="120" w:line="240" w:lineRule="auto"/>
    </w:pPr>
    <w:rPr>
      <w:color w:val="4B673B" w:themeColor="accent2"/>
      <w:sz w:val="36"/>
    </w:rPr>
  </w:style>
  <w:style w:type="character" w:customStyle="1" w:styleId="1cs5bdp">
    <w:name w:val="___1cs5bdp"/>
    <w:basedOn w:val="DefaultParagraphFont"/>
    <w:rsid w:val="00940866"/>
  </w:style>
  <w:style w:type="paragraph" w:styleId="Revision">
    <w:name w:val="Revision"/>
    <w:hidden/>
    <w:uiPriority w:val="99"/>
    <w:semiHidden/>
    <w:rsid w:val="00A934E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11268">
      <w:marLeft w:val="0"/>
      <w:marRight w:val="0"/>
      <w:marTop w:val="0"/>
      <w:marBottom w:val="0"/>
      <w:divBdr>
        <w:top w:val="none" w:sz="0" w:space="0" w:color="auto"/>
        <w:left w:val="none" w:sz="0" w:space="0" w:color="auto"/>
        <w:bottom w:val="none" w:sz="0" w:space="0" w:color="auto"/>
        <w:right w:val="none" w:sz="0" w:space="0" w:color="auto"/>
      </w:divBdr>
    </w:div>
    <w:div w:id="1230001494">
      <w:bodyDiv w:val="1"/>
      <w:marLeft w:val="0"/>
      <w:marRight w:val="0"/>
      <w:marTop w:val="0"/>
      <w:marBottom w:val="0"/>
      <w:divBdr>
        <w:top w:val="none" w:sz="0" w:space="0" w:color="auto"/>
        <w:left w:val="none" w:sz="0" w:space="0" w:color="auto"/>
        <w:bottom w:val="none" w:sz="0" w:space="0" w:color="auto"/>
        <w:right w:val="none" w:sz="0" w:space="0" w:color="auto"/>
      </w:divBdr>
    </w:div>
    <w:div w:id="1336803894">
      <w:bodyDiv w:val="1"/>
      <w:marLeft w:val="0"/>
      <w:marRight w:val="0"/>
      <w:marTop w:val="0"/>
      <w:marBottom w:val="0"/>
      <w:divBdr>
        <w:top w:val="none" w:sz="0" w:space="0" w:color="auto"/>
        <w:left w:val="none" w:sz="0" w:space="0" w:color="auto"/>
        <w:bottom w:val="none" w:sz="0" w:space="0" w:color="auto"/>
        <w:right w:val="none" w:sz="0" w:space="0" w:color="auto"/>
      </w:divBdr>
    </w:div>
    <w:div w:id="1459836750">
      <w:bodyDiv w:val="1"/>
      <w:marLeft w:val="0"/>
      <w:marRight w:val="0"/>
      <w:marTop w:val="0"/>
      <w:marBottom w:val="0"/>
      <w:divBdr>
        <w:top w:val="none" w:sz="0" w:space="0" w:color="auto"/>
        <w:left w:val="none" w:sz="0" w:space="0" w:color="auto"/>
        <w:bottom w:val="none" w:sz="0" w:space="0" w:color="auto"/>
        <w:right w:val="none" w:sz="0" w:space="0" w:color="auto"/>
      </w:divBdr>
    </w:div>
    <w:div w:id="1631783884">
      <w:marLeft w:val="0"/>
      <w:marRight w:val="0"/>
      <w:marTop w:val="0"/>
      <w:marBottom w:val="0"/>
      <w:divBdr>
        <w:top w:val="none" w:sz="0" w:space="0" w:color="auto"/>
        <w:left w:val="none" w:sz="0" w:space="0" w:color="auto"/>
        <w:bottom w:val="none" w:sz="0" w:space="0" w:color="auto"/>
        <w:right w:val="none" w:sz="0" w:space="0" w:color="auto"/>
      </w:divBdr>
    </w:div>
    <w:div w:id="20314459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apsacademy.gov.au/news/aps-program-and-project-management-framewor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www.gov.uk/government/publications/project-delivery-functional-standard"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www.finance.gov.au/publications/resource-management-guides/guidance-assurance-reviews-process-rmg-106"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4BAD2E66AD437D8A3800CAF795F7C6"/>
        <w:category>
          <w:name w:val="General"/>
          <w:gallery w:val="placeholder"/>
        </w:category>
        <w:types>
          <w:type w:val="bbPlcHdr"/>
        </w:types>
        <w:behaviors>
          <w:behavior w:val="content"/>
        </w:behaviors>
        <w:guid w:val="{AF96CE00-358E-4132-A3D2-F7B9A283C796}"/>
      </w:docPartPr>
      <w:docPartBody>
        <w:p w:rsidR="004F000C" w:rsidRDefault="00742944">
          <w:pPr>
            <w:pStyle w:val="234BAD2E66AD437D8A3800CAF795F7C6"/>
          </w:pPr>
          <w:r>
            <w:rPr>
              <w:rStyle w:val="PlaceholderText"/>
            </w:rPr>
            <w:t>D</w:t>
          </w:r>
          <w:r w:rsidRPr="00C02501">
            <w:rPr>
              <w:rStyle w:val="PlaceholderText"/>
            </w:rPr>
            <w:t>ate</w:t>
          </w:r>
          <w:r>
            <w:rPr>
              <w:rStyle w:val="PlaceholderText"/>
            </w:rPr>
            <w:t xml:space="preserve"> picker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448"/>
    <w:rsid w:val="00025903"/>
    <w:rsid w:val="000A368C"/>
    <w:rsid w:val="0011793F"/>
    <w:rsid w:val="00153F6F"/>
    <w:rsid w:val="001A560B"/>
    <w:rsid w:val="001D4BC1"/>
    <w:rsid w:val="00201800"/>
    <w:rsid w:val="00217AAB"/>
    <w:rsid w:val="0027406B"/>
    <w:rsid w:val="002A2ECC"/>
    <w:rsid w:val="002C2C9E"/>
    <w:rsid w:val="002E395B"/>
    <w:rsid w:val="002F7448"/>
    <w:rsid w:val="00311E84"/>
    <w:rsid w:val="00327E8F"/>
    <w:rsid w:val="003835A1"/>
    <w:rsid w:val="00384CA6"/>
    <w:rsid w:val="003E3BEA"/>
    <w:rsid w:val="00426A7F"/>
    <w:rsid w:val="004F000C"/>
    <w:rsid w:val="005072A0"/>
    <w:rsid w:val="00522C7E"/>
    <w:rsid w:val="005538E8"/>
    <w:rsid w:val="00554082"/>
    <w:rsid w:val="0055629D"/>
    <w:rsid w:val="00556663"/>
    <w:rsid w:val="00600793"/>
    <w:rsid w:val="0062621F"/>
    <w:rsid w:val="006474B6"/>
    <w:rsid w:val="00664962"/>
    <w:rsid w:val="006B1542"/>
    <w:rsid w:val="006B2B4A"/>
    <w:rsid w:val="006B7E57"/>
    <w:rsid w:val="00742944"/>
    <w:rsid w:val="00782DD7"/>
    <w:rsid w:val="007902CF"/>
    <w:rsid w:val="007A7CFE"/>
    <w:rsid w:val="007B0914"/>
    <w:rsid w:val="007B4FD0"/>
    <w:rsid w:val="007E550E"/>
    <w:rsid w:val="00822734"/>
    <w:rsid w:val="008702EE"/>
    <w:rsid w:val="009030A0"/>
    <w:rsid w:val="009F1777"/>
    <w:rsid w:val="00A06D68"/>
    <w:rsid w:val="00A21595"/>
    <w:rsid w:val="00A34FF0"/>
    <w:rsid w:val="00A3617A"/>
    <w:rsid w:val="00A40F32"/>
    <w:rsid w:val="00A97BA1"/>
    <w:rsid w:val="00AC2B27"/>
    <w:rsid w:val="00B07AF1"/>
    <w:rsid w:val="00B14FD8"/>
    <w:rsid w:val="00B42027"/>
    <w:rsid w:val="00B523F3"/>
    <w:rsid w:val="00B8221E"/>
    <w:rsid w:val="00B95C18"/>
    <w:rsid w:val="00C33EA6"/>
    <w:rsid w:val="00C35713"/>
    <w:rsid w:val="00C36352"/>
    <w:rsid w:val="00C60107"/>
    <w:rsid w:val="00C72B65"/>
    <w:rsid w:val="00C81396"/>
    <w:rsid w:val="00C82E21"/>
    <w:rsid w:val="00CC01F1"/>
    <w:rsid w:val="00D059E7"/>
    <w:rsid w:val="00D20381"/>
    <w:rsid w:val="00D66A2E"/>
    <w:rsid w:val="00DB259A"/>
    <w:rsid w:val="00DC0DB9"/>
    <w:rsid w:val="00E27B38"/>
    <w:rsid w:val="00EA7CFF"/>
    <w:rsid w:val="00EE3ADF"/>
    <w:rsid w:val="00F001D5"/>
    <w:rsid w:val="00F22CB1"/>
    <w:rsid w:val="00F81160"/>
    <w:rsid w:val="00FA1A2C"/>
    <w:rsid w:val="00FA73E1"/>
    <w:rsid w:val="00FD7D55"/>
    <w:rsid w:val="00FE22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750E1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34BAD2E66AD437D8A3800CAF795F7C6">
    <w:name w:val="234BAD2E66AD437D8A3800CAF795F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rdaMentha">
  <a:themeElements>
    <a:clrScheme name="KM refresh">
      <a:dk1>
        <a:sysClr val="windowText" lastClr="000000"/>
      </a:dk1>
      <a:lt1>
        <a:sysClr val="window" lastClr="FFFFFF"/>
      </a:lt1>
      <a:dk2>
        <a:srgbClr val="294654"/>
      </a:dk2>
      <a:lt2>
        <a:srgbClr val="032432"/>
      </a:lt2>
      <a:accent1>
        <a:srgbClr val="649EA5"/>
      </a:accent1>
      <a:accent2>
        <a:srgbClr val="4B673B"/>
      </a:accent2>
      <a:accent3>
        <a:srgbClr val="8EA189"/>
      </a:accent3>
      <a:accent4>
        <a:srgbClr val="C44A2C"/>
      </a:accent4>
      <a:accent5>
        <a:srgbClr val="C3996A"/>
      </a:accent5>
      <a:accent6>
        <a:srgbClr val="B1B3B3"/>
      </a:accent6>
      <a:hlink>
        <a:srgbClr val="294654"/>
      </a:hlink>
      <a:folHlink>
        <a:srgbClr val="B1B3B3"/>
      </a:folHlink>
    </a:clrScheme>
    <a:fontScheme name="KM refresh">
      <a:majorFont>
        <a:latin typeface="Aptos Serif"/>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d18e9ac-17a3-4f29-a51e-4abaeb7d693c}" enabled="0" method="" siteId="{2d18e9ac-17a3-4f29-a51e-4abaeb7d6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10887</Words>
  <Characters>68158</Characters>
  <Application>Microsoft Office Word</Application>
  <DocSecurity>0</DocSecurity>
  <Lines>1099</Lines>
  <Paragraphs>548</Paragraphs>
  <ScaleCrop>false</ScaleCrop>
  <HeadingPairs>
    <vt:vector size="2" baseType="variant">
      <vt:variant>
        <vt:lpstr>Title</vt:lpstr>
      </vt:variant>
      <vt:variant>
        <vt:i4>1</vt:i4>
      </vt:variant>
    </vt:vector>
  </HeadingPairs>
  <TitlesOfParts>
    <vt:vector size="1" baseType="lpstr">
      <vt:lpstr>Independent Assessment – Capability Assessment of Housing Australia</vt:lpstr>
    </vt:vector>
  </TitlesOfParts>
  <Company/>
  <LinksUpToDate>false</LinksUpToDate>
  <CharactersWithSpaces>78497</CharactersWithSpaces>
  <SharedDoc>false</SharedDoc>
  <HLinks>
    <vt:vector size="222" baseType="variant">
      <vt:variant>
        <vt:i4>6881326</vt:i4>
      </vt:variant>
      <vt:variant>
        <vt:i4>207</vt:i4>
      </vt:variant>
      <vt:variant>
        <vt:i4>0</vt:i4>
      </vt:variant>
      <vt:variant>
        <vt:i4>5</vt:i4>
      </vt:variant>
      <vt:variant>
        <vt:lpwstr>https://www.gov.uk/government/publications/project-delivery-functional-standard</vt:lpwstr>
      </vt:variant>
      <vt:variant>
        <vt:lpwstr/>
      </vt:variant>
      <vt:variant>
        <vt:i4>6225994</vt:i4>
      </vt:variant>
      <vt:variant>
        <vt:i4>204</vt:i4>
      </vt:variant>
      <vt:variant>
        <vt:i4>0</vt:i4>
      </vt:variant>
      <vt:variant>
        <vt:i4>5</vt:i4>
      </vt:variant>
      <vt:variant>
        <vt:lpwstr>https://www.finance.gov.au/publications/resource-management-guides/guidance-assurance-reviews-process-rmg-106</vt:lpwstr>
      </vt:variant>
      <vt:variant>
        <vt:lpwstr/>
      </vt:variant>
      <vt:variant>
        <vt:i4>2359420</vt:i4>
      </vt:variant>
      <vt:variant>
        <vt:i4>201</vt:i4>
      </vt:variant>
      <vt:variant>
        <vt:i4>0</vt:i4>
      </vt:variant>
      <vt:variant>
        <vt:i4>5</vt:i4>
      </vt:variant>
      <vt:variant>
        <vt:lpwstr>https://www.apsacademy.gov.au/news/aps-program-and-project-management-framework</vt:lpwstr>
      </vt:variant>
      <vt:variant>
        <vt:lpwstr/>
      </vt:variant>
      <vt:variant>
        <vt:i4>1835068</vt:i4>
      </vt:variant>
      <vt:variant>
        <vt:i4>197</vt:i4>
      </vt:variant>
      <vt:variant>
        <vt:i4>0</vt:i4>
      </vt:variant>
      <vt:variant>
        <vt:i4>5</vt:i4>
      </vt:variant>
      <vt:variant>
        <vt:lpwstr/>
      </vt:variant>
      <vt:variant>
        <vt:lpwstr>_Toc238218729</vt:lpwstr>
      </vt:variant>
      <vt:variant>
        <vt:i4>1835068</vt:i4>
      </vt:variant>
      <vt:variant>
        <vt:i4>194</vt:i4>
      </vt:variant>
      <vt:variant>
        <vt:i4>0</vt:i4>
      </vt:variant>
      <vt:variant>
        <vt:i4>5</vt:i4>
      </vt:variant>
      <vt:variant>
        <vt:lpwstr/>
      </vt:variant>
      <vt:variant>
        <vt:lpwstr>_Toc238218728</vt:lpwstr>
      </vt:variant>
      <vt:variant>
        <vt:i4>1835068</vt:i4>
      </vt:variant>
      <vt:variant>
        <vt:i4>191</vt:i4>
      </vt:variant>
      <vt:variant>
        <vt:i4>0</vt:i4>
      </vt:variant>
      <vt:variant>
        <vt:i4>5</vt:i4>
      </vt:variant>
      <vt:variant>
        <vt:lpwstr/>
      </vt:variant>
      <vt:variant>
        <vt:lpwstr>_Toc238218727</vt:lpwstr>
      </vt:variant>
      <vt:variant>
        <vt:i4>1900605</vt:i4>
      </vt:variant>
      <vt:variant>
        <vt:i4>182</vt:i4>
      </vt:variant>
      <vt:variant>
        <vt:i4>0</vt:i4>
      </vt:variant>
      <vt:variant>
        <vt:i4>5</vt:i4>
      </vt:variant>
      <vt:variant>
        <vt:lpwstr/>
      </vt:variant>
      <vt:variant>
        <vt:lpwstr>_Toc238804757</vt:lpwstr>
      </vt:variant>
      <vt:variant>
        <vt:i4>1900605</vt:i4>
      </vt:variant>
      <vt:variant>
        <vt:i4>176</vt:i4>
      </vt:variant>
      <vt:variant>
        <vt:i4>0</vt:i4>
      </vt:variant>
      <vt:variant>
        <vt:i4>5</vt:i4>
      </vt:variant>
      <vt:variant>
        <vt:lpwstr/>
      </vt:variant>
      <vt:variant>
        <vt:lpwstr>_Toc238804756</vt:lpwstr>
      </vt:variant>
      <vt:variant>
        <vt:i4>1900605</vt:i4>
      </vt:variant>
      <vt:variant>
        <vt:i4>170</vt:i4>
      </vt:variant>
      <vt:variant>
        <vt:i4>0</vt:i4>
      </vt:variant>
      <vt:variant>
        <vt:i4>5</vt:i4>
      </vt:variant>
      <vt:variant>
        <vt:lpwstr/>
      </vt:variant>
      <vt:variant>
        <vt:lpwstr>_Toc238804755</vt:lpwstr>
      </vt:variant>
      <vt:variant>
        <vt:i4>1900605</vt:i4>
      </vt:variant>
      <vt:variant>
        <vt:i4>164</vt:i4>
      </vt:variant>
      <vt:variant>
        <vt:i4>0</vt:i4>
      </vt:variant>
      <vt:variant>
        <vt:i4>5</vt:i4>
      </vt:variant>
      <vt:variant>
        <vt:lpwstr/>
      </vt:variant>
      <vt:variant>
        <vt:lpwstr>_Toc238804754</vt:lpwstr>
      </vt:variant>
      <vt:variant>
        <vt:i4>1900605</vt:i4>
      </vt:variant>
      <vt:variant>
        <vt:i4>158</vt:i4>
      </vt:variant>
      <vt:variant>
        <vt:i4>0</vt:i4>
      </vt:variant>
      <vt:variant>
        <vt:i4>5</vt:i4>
      </vt:variant>
      <vt:variant>
        <vt:lpwstr/>
      </vt:variant>
      <vt:variant>
        <vt:lpwstr>_Toc238804753</vt:lpwstr>
      </vt:variant>
      <vt:variant>
        <vt:i4>1900605</vt:i4>
      </vt:variant>
      <vt:variant>
        <vt:i4>152</vt:i4>
      </vt:variant>
      <vt:variant>
        <vt:i4>0</vt:i4>
      </vt:variant>
      <vt:variant>
        <vt:i4>5</vt:i4>
      </vt:variant>
      <vt:variant>
        <vt:lpwstr/>
      </vt:variant>
      <vt:variant>
        <vt:lpwstr>_Toc238804752</vt:lpwstr>
      </vt:variant>
      <vt:variant>
        <vt:i4>1900605</vt:i4>
      </vt:variant>
      <vt:variant>
        <vt:i4>146</vt:i4>
      </vt:variant>
      <vt:variant>
        <vt:i4>0</vt:i4>
      </vt:variant>
      <vt:variant>
        <vt:i4>5</vt:i4>
      </vt:variant>
      <vt:variant>
        <vt:lpwstr/>
      </vt:variant>
      <vt:variant>
        <vt:lpwstr>_Toc238804751</vt:lpwstr>
      </vt:variant>
      <vt:variant>
        <vt:i4>1900605</vt:i4>
      </vt:variant>
      <vt:variant>
        <vt:i4>140</vt:i4>
      </vt:variant>
      <vt:variant>
        <vt:i4>0</vt:i4>
      </vt:variant>
      <vt:variant>
        <vt:i4>5</vt:i4>
      </vt:variant>
      <vt:variant>
        <vt:lpwstr/>
      </vt:variant>
      <vt:variant>
        <vt:lpwstr>_Toc238804750</vt:lpwstr>
      </vt:variant>
      <vt:variant>
        <vt:i4>1835069</vt:i4>
      </vt:variant>
      <vt:variant>
        <vt:i4>134</vt:i4>
      </vt:variant>
      <vt:variant>
        <vt:i4>0</vt:i4>
      </vt:variant>
      <vt:variant>
        <vt:i4>5</vt:i4>
      </vt:variant>
      <vt:variant>
        <vt:lpwstr/>
      </vt:variant>
      <vt:variant>
        <vt:lpwstr>_Toc238804749</vt:lpwstr>
      </vt:variant>
      <vt:variant>
        <vt:i4>1835069</vt:i4>
      </vt:variant>
      <vt:variant>
        <vt:i4>128</vt:i4>
      </vt:variant>
      <vt:variant>
        <vt:i4>0</vt:i4>
      </vt:variant>
      <vt:variant>
        <vt:i4>5</vt:i4>
      </vt:variant>
      <vt:variant>
        <vt:lpwstr/>
      </vt:variant>
      <vt:variant>
        <vt:lpwstr>_Toc238804748</vt:lpwstr>
      </vt:variant>
      <vt:variant>
        <vt:i4>1835069</vt:i4>
      </vt:variant>
      <vt:variant>
        <vt:i4>122</vt:i4>
      </vt:variant>
      <vt:variant>
        <vt:i4>0</vt:i4>
      </vt:variant>
      <vt:variant>
        <vt:i4>5</vt:i4>
      </vt:variant>
      <vt:variant>
        <vt:lpwstr/>
      </vt:variant>
      <vt:variant>
        <vt:lpwstr>_Toc238804747</vt:lpwstr>
      </vt:variant>
      <vt:variant>
        <vt:i4>1835069</vt:i4>
      </vt:variant>
      <vt:variant>
        <vt:i4>116</vt:i4>
      </vt:variant>
      <vt:variant>
        <vt:i4>0</vt:i4>
      </vt:variant>
      <vt:variant>
        <vt:i4>5</vt:i4>
      </vt:variant>
      <vt:variant>
        <vt:lpwstr/>
      </vt:variant>
      <vt:variant>
        <vt:lpwstr>_Toc238804746</vt:lpwstr>
      </vt:variant>
      <vt:variant>
        <vt:i4>1835069</vt:i4>
      </vt:variant>
      <vt:variant>
        <vt:i4>110</vt:i4>
      </vt:variant>
      <vt:variant>
        <vt:i4>0</vt:i4>
      </vt:variant>
      <vt:variant>
        <vt:i4>5</vt:i4>
      </vt:variant>
      <vt:variant>
        <vt:lpwstr/>
      </vt:variant>
      <vt:variant>
        <vt:lpwstr>_Toc238804745</vt:lpwstr>
      </vt:variant>
      <vt:variant>
        <vt:i4>1835069</vt:i4>
      </vt:variant>
      <vt:variant>
        <vt:i4>104</vt:i4>
      </vt:variant>
      <vt:variant>
        <vt:i4>0</vt:i4>
      </vt:variant>
      <vt:variant>
        <vt:i4>5</vt:i4>
      </vt:variant>
      <vt:variant>
        <vt:lpwstr/>
      </vt:variant>
      <vt:variant>
        <vt:lpwstr>_Toc238804744</vt:lpwstr>
      </vt:variant>
      <vt:variant>
        <vt:i4>1835069</vt:i4>
      </vt:variant>
      <vt:variant>
        <vt:i4>98</vt:i4>
      </vt:variant>
      <vt:variant>
        <vt:i4>0</vt:i4>
      </vt:variant>
      <vt:variant>
        <vt:i4>5</vt:i4>
      </vt:variant>
      <vt:variant>
        <vt:lpwstr/>
      </vt:variant>
      <vt:variant>
        <vt:lpwstr>_Toc238804743</vt:lpwstr>
      </vt:variant>
      <vt:variant>
        <vt:i4>1835069</vt:i4>
      </vt:variant>
      <vt:variant>
        <vt:i4>92</vt:i4>
      </vt:variant>
      <vt:variant>
        <vt:i4>0</vt:i4>
      </vt:variant>
      <vt:variant>
        <vt:i4>5</vt:i4>
      </vt:variant>
      <vt:variant>
        <vt:lpwstr/>
      </vt:variant>
      <vt:variant>
        <vt:lpwstr>_Toc238804742</vt:lpwstr>
      </vt:variant>
      <vt:variant>
        <vt:i4>1835069</vt:i4>
      </vt:variant>
      <vt:variant>
        <vt:i4>86</vt:i4>
      </vt:variant>
      <vt:variant>
        <vt:i4>0</vt:i4>
      </vt:variant>
      <vt:variant>
        <vt:i4>5</vt:i4>
      </vt:variant>
      <vt:variant>
        <vt:lpwstr/>
      </vt:variant>
      <vt:variant>
        <vt:lpwstr>_Toc238804741</vt:lpwstr>
      </vt:variant>
      <vt:variant>
        <vt:i4>1835069</vt:i4>
      </vt:variant>
      <vt:variant>
        <vt:i4>80</vt:i4>
      </vt:variant>
      <vt:variant>
        <vt:i4>0</vt:i4>
      </vt:variant>
      <vt:variant>
        <vt:i4>5</vt:i4>
      </vt:variant>
      <vt:variant>
        <vt:lpwstr/>
      </vt:variant>
      <vt:variant>
        <vt:lpwstr>_Toc238804740</vt:lpwstr>
      </vt:variant>
      <vt:variant>
        <vt:i4>1769533</vt:i4>
      </vt:variant>
      <vt:variant>
        <vt:i4>74</vt:i4>
      </vt:variant>
      <vt:variant>
        <vt:i4>0</vt:i4>
      </vt:variant>
      <vt:variant>
        <vt:i4>5</vt:i4>
      </vt:variant>
      <vt:variant>
        <vt:lpwstr/>
      </vt:variant>
      <vt:variant>
        <vt:lpwstr>_Toc238804739</vt:lpwstr>
      </vt:variant>
      <vt:variant>
        <vt:i4>1769533</vt:i4>
      </vt:variant>
      <vt:variant>
        <vt:i4>68</vt:i4>
      </vt:variant>
      <vt:variant>
        <vt:i4>0</vt:i4>
      </vt:variant>
      <vt:variant>
        <vt:i4>5</vt:i4>
      </vt:variant>
      <vt:variant>
        <vt:lpwstr/>
      </vt:variant>
      <vt:variant>
        <vt:lpwstr>_Toc238804738</vt:lpwstr>
      </vt:variant>
      <vt:variant>
        <vt:i4>1769533</vt:i4>
      </vt:variant>
      <vt:variant>
        <vt:i4>62</vt:i4>
      </vt:variant>
      <vt:variant>
        <vt:i4>0</vt:i4>
      </vt:variant>
      <vt:variant>
        <vt:i4>5</vt:i4>
      </vt:variant>
      <vt:variant>
        <vt:lpwstr/>
      </vt:variant>
      <vt:variant>
        <vt:lpwstr>_Toc238804737</vt:lpwstr>
      </vt:variant>
      <vt:variant>
        <vt:i4>1769533</vt:i4>
      </vt:variant>
      <vt:variant>
        <vt:i4>56</vt:i4>
      </vt:variant>
      <vt:variant>
        <vt:i4>0</vt:i4>
      </vt:variant>
      <vt:variant>
        <vt:i4>5</vt:i4>
      </vt:variant>
      <vt:variant>
        <vt:lpwstr/>
      </vt:variant>
      <vt:variant>
        <vt:lpwstr>_Toc238804736</vt:lpwstr>
      </vt:variant>
      <vt:variant>
        <vt:i4>1769533</vt:i4>
      </vt:variant>
      <vt:variant>
        <vt:i4>50</vt:i4>
      </vt:variant>
      <vt:variant>
        <vt:i4>0</vt:i4>
      </vt:variant>
      <vt:variant>
        <vt:i4>5</vt:i4>
      </vt:variant>
      <vt:variant>
        <vt:lpwstr/>
      </vt:variant>
      <vt:variant>
        <vt:lpwstr>_Toc238804735</vt:lpwstr>
      </vt:variant>
      <vt:variant>
        <vt:i4>1769533</vt:i4>
      </vt:variant>
      <vt:variant>
        <vt:i4>44</vt:i4>
      </vt:variant>
      <vt:variant>
        <vt:i4>0</vt:i4>
      </vt:variant>
      <vt:variant>
        <vt:i4>5</vt:i4>
      </vt:variant>
      <vt:variant>
        <vt:lpwstr/>
      </vt:variant>
      <vt:variant>
        <vt:lpwstr>_Toc238804734</vt:lpwstr>
      </vt:variant>
      <vt:variant>
        <vt:i4>1769533</vt:i4>
      </vt:variant>
      <vt:variant>
        <vt:i4>38</vt:i4>
      </vt:variant>
      <vt:variant>
        <vt:i4>0</vt:i4>
      </vt:variant>
      <vt:variant>
        <vt:i4>5</vt:i4>
      </vt:variant>
      <vt:variant>
        <vt:lpwstr/>
      </vt:variant>
      <vt:variant>
        <vt:lpwstr>_Toc238804733</vt:lpwstr>
      </vt:variant>
      <vt:variant>
        <vt:i4>1769533</vt:i4>
      </vt:variant>
      <vt:variant>
        <vt:i4>32</vt:i4>
      </vt:variant>
      <vt:variant>
        <vt:i4>0</vt:i4>
      </vt:variant>
      <vt:variant>
        <vt:i4>5</vt:i4>
      </vt:variant>
      <vt:variant>
        <vt:lpwstr/>
      </vt:variant>
      <vt:variant>
        <vt:lpwstr>_Toc238804732</vt:lpwstr>
      </vt:variant>
      <vt:variant>
        <vt:i4>1769533</vt:i4>
      </vt:variant>
      <vt:variant>
        <vt:i4>26</vt:i4>
      </vt:variant>
      <vt:variant>
        <vt:i4>0</vt:i4>
      </vt:variant>
      <vt:variant>
        <vt:i4>5</vt:i4>
      </vt:variant>
      <vt:variant>
        <vt:lpwstr/>
      </vt:variant>
      <vt:variant>
        <vt:lpwstr>_Toc238804731</vt:lpwstr>
      </vt:variant>
      <vt:variant>
        <vt:i4>1769533</vt:i4>
      </vt:variant>
      <vt:variant>
        <vt:i4>20</vt:i4>
      </vt:variant>
      <vt:variant>
        <vt:i4>0</vt:i4>
      </vt:variant>
      <vt:variant>
        <vt:i4>5</vt:i4>
      </vt:variant>
      <vt:variant>
        <vt:lpwstr/>
      </vt:variant>
      <vt:variant>
        <vt:lpwstr>_Toc238804730</vt:lpwstr>
      </vt:variant>
      <vt:variant>
        <vt:i4>1703997</vt:i4>
      </vt:variant>
      <vt:variant>
        <vt:i4>14</vt:i4>
      </vt:variant>
      <vt:variant>
        <vt:i4>0</vt:i4>
      </vt:variant>
      <vt:variant>
        <vt:i4>5</vt:i4>
      </vt:variant>
      <vt:variant>
        <vt:lpwstr/>
      </vt:variant>
      <vt:variant>
        <vt:lpwstr>_Toc238804729</vt:lpwstr>
      </vt:variant>
      <vt:variant>
        <vt:i4>1703997</vt:i4>
      </vt:variant>
      <vt:variant>
        <vt:i4>8</vt:i4>
      </vt:variant>
      <vt:variant>
        <vt:i4>0</vt:i4>
      </vt:variant>
      <vt:variant>
        <vt:i4>5</vt:i4>
      </vt:variant>
      <vt:variant>
        <vt:lpwstr/>
      </vt:variant>
      <vt:variant>
        <vt:lpwstr>_Toc238804728</vt:lpwstr>
      </vt:variant>
      <vt:variant>
        <vt:i4>1703997</vt:i4>
      </vt:variant>
      <vt:variant>
        <vt:i4>2</vt:i4>
      </vt:variant>
      <vt:variant>
        <vt:i4>0</vt:i4>
      </vt:variant>
      <vt:variant>
        <vt:i4>5</vt:i4>
      </vt:variant>
      <vt:variant>
        <vt:lpwstr/>
      </vt:variant>
      <vt:variant>
        <vt:lpwstr>_Toc238804727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Assessment – Capability Assessment of Housing Australia</dc:title>
  <dc:subject/>
  <dc:creator>Mr Ken Kanofski, with the support of KordaMentha</dc:creator>
  <cp:keywords/>
  <cp:lastModifiedBy/>
  <cp:revision>1</cp:revision>
  <dcterms:created xsi:type="dcterms:W3CDTF">2026-08-28T02:54:00Z</dcterms:created>
  <dcterms:modified xsi:type="dcterms:W3CDTF">2026-08-28T02:54:00Z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2026-08-28T02:54:52Z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5f77a92b-a904-47d1-9677-84032ceeefe4</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