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35592" w14:textId="460870AA" w:rsidR="008672BC" w:rsidRDefault="00EF2C09" w:rsidP="00570BC7">
      <w:pPr>
        <w:pStyle w:val="Factsheettitle"/>
      </w:pPr>
      <w:r>
        <w:t>Protecting Consumers and the Promise of Super</w:t>
      </w:r>
      <w:r w:rsidR="00A22134">
        <w:t>annuation in an Evolving Financial Ecosystem</w:t>
      </w:r>
    </w:p>
    <w:tbl>
      <w:tblPr>
        <w:tblStyle w:val="TableGrid"/>
        <w:tblW w:w="0" w:type="auto"/>
        <w:tblBorders>
          <w:top w:val="none" w:sz="0" w:space="0" w:color="auto"/>
          <w:left w:val="none" w:sz="0" w:space="0" w:color="auto"/>
          <w:bottom w:val="single" w:sz="12" w:space="0" w:color="2C384A" w:themeColor="accent1"/>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98"/>
      </w:tblGrid>
      <w:tr w:rsidR="008672BC" w14:paraId="0A05C4B3" w14:textId="77777777" w:rsidTr="002B4898">
        <w:tc>
          <w:tcPr>
            <w:tcW w:w="8498" w:type="dxa"/>
            <w:tcBorders>
              <w:bottom w:val="single" w:sz="2" w:space="0" w:color="2C384A" w:themeColor="accent1"/>
            </w:tcBorders>
          </w:tcPr>
          <w:p w14:paraId="148694C3" w14:textId="6143492B" w:rsidR="008672BC" w:rsidRPr="00E847A7" w:rsidRDefault="00476D6A" w:rsidP="0083237C">
            <w:pPr>
              <w:pStyle w:val="Introtext"/>
            </w:pPr>
            <w:r>
              <w:t xml:space="preserve">This </w:t>
            </w:r>
            <w:r w:rsidR="001D5280">
              <w:t xml:space="preserve">fact sheet provides further implementation details about the Government’s </w:t>
            </w:r>
            <w:r w:rsidR="00784951">
              <w:rPr>
                <w:i/>
                <w:iCs/>
              </w:rPr>
              <w:t xml:space="preserve">Protecting Consumers in the </w:t>
            </w:r>
            <w:r w:rsidR="00E81168">
              <w:rPr>
                <w:i/>
                <w:iCs/>
              </w:rPr>
              <w:t>Superannuation System</w:t>
            </w:r>
            <w:r w:rsidR="00E81168">
              <w:t xml:space="preserve"> measure</w:t>
            </w:r>
            <w:r w:rsidR="00305D46">
              <w:t xml:space="preserve">, building on the reforms </w:t>
            </w:r>
            <w:r w:rsidR="00E60015">
              <w:t xml:space="preserve">announced by the government in the 2026-27 </w:t>
            </w:r>
            <w:r w:rsidR="00FB6E95">
              <w:t>Budget</w:t>
            </w:r>
            <w:r w:rsidR="006D1DF6">
              <w:t xml:space="preserve">. </w:t>
            </w:r>
          </w:p>
        </w:tc>
      </w:tr>
    </w:tbl>
    <w:p w14:paraId="1A57C1EC" w14:textId="77777777" w:rsidR="00B05048" w:rsidRDefault="00B05048" w:rsidP="00B05048">
      <w:pPr>
        <w:pStyle w:val="NoSpacing"/>
      </w:pPr>
    </w:p>
    <w:p w14:paraId="26D0C28C" w14:textId="3D5DB7FA" w:rsidR="00C3042D" w:rsidRDefault="00A77EC0" w:rsidP="00FE5FD7">
      <w:pPr>
        <w:pStyle w:val="Heading1"/>
        <w:numPr>
          <w:ilvl w:val="6"/>
          <w:numId w:val="7"/>
        </w:numPr>
        <w:ind w:left="0" w:firstLine="0"/>
      </w:pPr>
      <w:r>
        <w:t>Protections for Members of APRA-Regulated Superannuation Funds</w:t>
      </w:r>
    </w:p>
    <w:p w14:paraId="7F179D83" w14:textId="03A0A6EF" w:rsidR="00B56DAF" w:rsidRDefault="00A77EC0" w:rsidP="00FE5FD7">
      <w:pPr>
        <w:pStyle w:val="Bullet"/>
        <w:numPr>
          <w:ilvl w:val="1"/>
          <w:numId w:val="30"/>
        </w:numPr>
        <w:spacing w:before="0" w:after="160" w:line="278" w:lineRule="auto"/>
      </w:pPr>
      <w:r>
        <w:t>Legislating an obligation on trustees to set and ensure compliance with caps on advice fee deductions from member accounts</w:t>
      </w:r>
      <w:r w:rsidR="009841C2">
        <w:t>.</w:t>
      </w:r>
    </w:p>
    <w:p w14:paraId="77AC61FC" w14:textId="7A127E64" w:rsidR="00A77EC0" w:rsidRDefault="00A77EC0" w:rsidP="008D291B">
      <w:pPr>
        <w:pStyle w:val="Bullet"/>
        <w:numPr>
          <w:ilvl w:val="1"/>
          <w:numId w:val="30"/>
        </w:numPr>
        <w:spacing w:before="0" w:after="160" w:line="278" w:lineRule="auto"/>
      </w:pPr>
      <w:r>
        <w:t xml:space="preserve">Amending the </w:t>
      </w:r>
      <w:r w:rsidR="1304E195">
        <w:t>Superannuation Industry (Supervision) Act</w:t>
      </w:r>
      <w:r>
        <w:t xml:space="preserve"> to increase maximum civil penalties to 50,000 (up from 2,400 units) penalty units for core breaches of trustee obligations</w:t>
      </w:r>
      <w:r w:rsidR="009841C2">
        <w:t>.</w:t>
      </w:r>
    </w:p>
    <w:p w14:paraId="6C62A421" w14:textId="11046D32" w:rsidR="00B56DAF" w:rsidRDefault="003625AA" w:rsidP="00FE5FD7">
      <w:pPr>
        <w:pStyle w:val="Bullet"/>
        <w:numPr>
          <w:ilvl w:val="1"/>
          <w:numId w:val="30"/>
        </w:numPr>
        <w:spacing w:before="0" w:after="160" w:line="278" w:lineRule="auto"/>
      </w:pPr>
      <w:r>
        <w:t>Supporting APRA’s ongoing platform governance work</w:t>
      </w:r>
      <w:r w:rsidR="0027136F">
        <w:t xml:space="preserve"> by p</w:t>
      </w:r>
      <w:r w:rsidR="00B20CA0">
        <w:t xml:space="preserve">roviding APRA </w:t>
      </w:r>
      <w:r w:rsidR="00481F04">
        <w:t xml:space="preserve">with </w:t>
      </w:r>
      <w:r w:rsidR="00B20CA0">
        <w:t>the power to set</w:t>
      </w:r>
      <w:r w:rsidR="00A77EC0">
        <w:t xml:space="preserve"> risk-based capital requirements for superannuation trustees offering </w:t>
      </w:r>
      <w:r w:rsidR="008B44FB">
        <w:t>high</w:t>
      </w:r>
      <w:r w:rsidR="009035DF">
        <w:t>er</w:t>
      </w:r>
      <w:r w:rsidR="008B44FB">
        <w:t xml:space="preserve">-risk </w:t>
      </w:r>
      <w:r w:rsidR="005D495A">
        <w:t xml:space="preserve">investment options </w:t>
      </w:r>
      <w:r w:rsidR="009F537C">
        <w:t>to their members</w:t>
      </w:r>
      <w:r w:rsidR="009841C2">
        <w:t>.</w:t>
      </w:r>
    </w:p>
    <w:p w14:paraId="486B0F5D" w14:textId="4384A37F" w:rsidR="00B56DAF" w:rsidRDefault="00A77EC0" w:rsidP="00B56DAF">
      <w:pPr>
        <w:pStyle w:val="Bullet"/>
        <w:numPr>
          <w:ilvl w:val="1"/>
          <w:numId w:val="30"/>
        </w:numPr>
        <w:spacing w:before="0" w:after="160" w:line="278" w:lineRule="auto"/>
      </w:pPr>
      <w:r>
        <w:t xml:space="preserve">Providing ASIC with </w:t>
      </w:r>
      <w:r w:rsidR="00B56DAF">
        <w:t>the</w:t>
      </w:r>
      <w:r>
        <w:t xml:space="preserve"> power to direct </w:t>
      </w:r>
      <w:r w:rsidR="00D11C5F">
        <w:t>superannuation trustees to commence a</w:t>
      </w:r>
      <w:r>
        <w:t xml:space="preserve"> remediation process when </w:t>
      </w:r>
      <w:r w:rsidR="00897D06">
        <w:t xml:space="preserve">an investment option fails and </w:t>
      </w:r>
      <w:r>
        <w:t>there is reason to suspect a failure of trustee obligations</w:t>
      </w:r>
      <w:r w:rsidR="009841C2">
        <w:t>.</w:t>
      </w:r>
      <w:r>
        <w:t xml:space="preserve"> </w:t>
      </w:r>
    </w:p>
    <w:p w14:paraId="7621E426" w14:textId="6D79FFA3" w:rsidR="00747411" w:rsidRDefault="00747411" w:rsidP="008D291B">
      <w:pPr>
        <w:pStyle w:val="Heading1"/>
        <w:numPr>
          <w:ilvl w:val="6"/>
          <w:numId w:val="24"/>
        </w:numPr>
        <w:ind w:left="0" w:firstLine="0"/>
      </w:pPr>
      <w:r w:rsidRPr="00747411">
        <w:t>Protection</w:t>
      </w:r>
      <w:r w:rsidR="008C3421">
        <w:t>s</w:t>
      </w:r>
      <w:r w:rsidRPr="00747411">
        <w:t xml:space="preserve"> in </w:t>
      </w:r>
      <w:r>
        <w:t>the Self-Managed Superannuation Fund Sector</w:t>
      </w:r>
    </w:p>
    <w:p w14:paraId="25B22EB9" w14:textId="77777777" w:rsidR="00B56DAF" w:rsidRDefault="00B56DAF" w:rsidP="00FE5FD7">
      <w:pPr>
        <w:pStyle w:val="Bullet"/>
        <w:numPr>
          <w:ilvl w:val="1"/>
          <w:numId w:val="31"/>
        </w:numPr>
        <w:spacing w:before="0" w:after="160" w:line="278" w:lineRule="auto"/>
      </w:pPr>
      <w:r>
        <w:t>Empowering the ATO to prevent rollovers to new SMSFs in situations where the ATO is investigating concerns of fraud, financial abuse, misconduct or potential harm.</w:t>
      </w:r>
    </w:p>
    <w:p w14:paraId="0D3A8124" w14:textId="7C50F25E" w:rsidR="00747411" w:rsidRDefault="00747411" w:rsidP="00FE5FD7">
      <w:pPr>
        <w:pStyle w:val="Bullet"/>
        <w:numPr>
          <w:ilvl w:val="1"/>
          <w:numId w:val="31"/>
        </w:numPr>
        <w:spacing w:before="0" w:after="160" w:line="278" w:lineRule="auto"/>
      </w:pPr>
      <w:r>
        <w:lastRenderedPageBreak/>
        <w:t>Introducing mandatory trustee education prior to SMSF registration</w:t>
      </w:r>
      <w:r w:rsidR="005D6182">
        <w:t xml:space="preserve">, and supporting industry-led </w:t>
      </w:r>
      <w:r w:rsidR="00AD504E">
        <w:t xml:space="preserve">initiatives to uplift standards across the sector. </w:t>
      </w:r>
    </w:p>
    <w:p w14:paraId="1878F4F5" w14:textId="445B0032" w:rsidR="00747411" w:rsidRDefault="00747411" w:rsidP="00FE5FD7">
      <w:pPr>
        <w:pStyle w:val="Bullet"/>
        <w:numPr>
          <w:ilvl w:val="1"/>
          <w:numId w:val="31"/>
        </w:numPr>
        <w:spacing w:before="0" w:after="160" w:line="278" w:lineRule="auto"/>
      </w:pPr>
      <w:r>
        <w:t>Requiring SMSFs to hold uniquely identifiable bank accounts</w:t>
      </w:r>
      <w:r w:rsidR="00590600">
        <w:t>.</w:t>
      </w:r>
    </w:p>
    <w:p w14:paraId="735A1B4A" w14:textId="191376EE" w:rsidR="00747411" w:rsidRDefault="00747411" w:rsidP="00FE5FD7">
      <w:pPr>
        <w:pStyle w:val="Bullet"/>
        <w:numPr>
          <w:ilvl w:val="1"/>
          <w:numId w:val="31"/>
        </w:numPr>
        <w:spacing w:before="0" w:after="160" w:line="278" w:lineRule="auto"/>
      </w:pPr>
      <w:r>
        <w:t>Improving the utility and integrity of SMSF investment strategies</w:t>
      </w:r>
      <w:r w:rsidR="009574C4">
        <w:t xml:space="preserve"> by requiring SMSFs to have a written investment strategy upfront</w:t>
      </w:r>
      <w:r w:rsidR="00B61949">
        <w:t xml:space="preserve"> </w:t>
      </w:r>
      <w:r w:rsidR="00B61949" w:rsidRPr="00B61949">
        <w:t>and consulting on options to uplift the quality of investment strategies</w:t>
      </w:r>
      <w:r w:rsidR="00FE5FD7">
        <w:t>.</w:t>
      </w:r>
    </w:p>
    <w:p w14:paraId="62F78F62" w14:textId="72CF9DF5" w:rsidR="00B56DAF" w:rsidRDefault="00747411" w:rsidP="00FE5FD7">
      <w:pPr>
        <w:pStyle w:val="Bullet"/>
        <w:numPr>
          <w:ilvl w:val="1"/>
          <w:numId w:val="31"/>
        </w:numPr>
        <w:spacing w:before="0" w:after="160" w:line="278" w:lineRule="auto"/>
      </w:pPr>
      <w:r>
        <w:t xml:space="preserve">Enabling the ATO to collect additional information on </w:t>
      </w:r>
      <w:r w:rsidR="00363481">
        <w:t xml:space="preserve">financial advisers and other </w:t>
      </w:r>
      <w:r>
        <w:t>entities involve</w:t>
      </w:r>
      <w:r w:rsidR="00773AF1">
        <w:t>d</w:t>
      </w:r>
      <w:r>
        <w:t xml:space="preserve"> in the establishment process and ongoing advice</w:t>
      </w:r>
      <w:r w:rsidR="00FE5FD7">
        <w:t xml:space="preserve"> fee deduction arrangements</w:t>
      </w:r>
      <w:r w:rsidR="00590600">
        <w:t>.</w:t>
      </w:r>
    </w:p>
    <w:p w14:paraId="0101BC7A" w14:textId="73EAD6E2" w:rsidR="00B56DAF" w:rsidRPr="00B56DAF" w:rsidRDefault="69E0DCB3" w:rsidP="00B56DAF">
      <w:pPr>
        <w:pStyle w:val="Bullet"/>
        <w:numPr>
          <w:ilvl w:val="1"/>
          <w:numId w:val="31"/>
        </w:numPr>
        <w:spacing w:before="0" w:after="160" w:line="278" w:lineRule="auto"/>
        <w:rPr>
          <w:rFonts w:cs="Calibri Light"/>
          <w:szCs w:val="22"/>
        </w:rPr>
      </w:pPr>
      <w:r w:rsidRPr="008D291B">
        <w:rPr>
          <w:rFonts w:eastAsia="Segoe UI" w:cs="Calibri Light"/>
          <w:szCs w:val="22"/>
        </w:rPr>
        <w:t xml:space="preserve">Aligning the SMSF supervisory levy with fund establishment and increasing the levy for the first time since 2013, from $259 to $295, to enable stronger consumer protection measures </w:t>
      </w:r>
      <w:r w:rsidR="00B56DAF">
        <w:rPr>
          <w:rFonts w:eastAsia="Segoe UI" w:cs="Calibri Light"/>
          <w:szCs w:val="22"/>
        </w:rPr>
        <w:t>to</w:t>
      </w:r>
      <w:r w:rsidRPr="008D291B">
        <w:rPr>
          <w:rFonts w:eastAsia="Segoe UI" w:cs="Calibri Light"/>
          <w:szCs w:val="22"/>
        </w:rPr>
        <w:t xml:space="preserve"> safeguard SMSF members from financial abuse, scams, fraud and misconduct.</w:t>
      </w:r>
    </w:p>
    <w:p w14:paraId="00018BDB" w14:textId="0BFB4CE3" w:rsidR="057DEBAA" w:rsidRDefault="057DEBAA" w:rsidP="008D291B">
      <w:pPr>
        <w:pStyle w:val="Bullet"/>
        <w:numPr>
          <w:ilvl w:val="1"/>
          <w:numId w:val="31"/>
        </w:numPr>
        <w:spacing w:before="0" w:after="160" w:line="278" w:lineRule="auto"/>
      </w:pPr>
      <w:r>
        <w:t>Supporting the ATO to provide greater visibility to SMSF trustees, in particular those with low balances, of their returns compared to members of APRA regulated funds.</w:t>
      </w:r>
    </w:p>
    <w:p w14:paraId="658E6BAE" w14:textId="477FB003" w:rsidR="0083629C" w:rsidRPr="00D9480D" w:rsidRDefault="00C97337" w:rsidP="00FE5FD7">
      <w:pPr>
        <w:pStyle w:val="Heading1"/>
        <w:numPr>
          <w:ilvl w:val="6"/>
          <w:numId w:val="25"/>
        </w:numPr>
        <w:ind w:left="0" w:firstLine="0"/>
      </w:pPr>
      <w:r>
        <w:t xml:space="preserve">Reforms to address harmful </w:t>
      </w:r>
      <w:r w:rsidR="0083629C" w:rsidRPr="00D9480D">
        <w:t>Lead Generation</w:t>
      </w:r>
    </w:p>
    <w:p w14:paraId="45D7DA85" w14:textId="17144FE9" w:rsidR="00B56DAF" w:rsidRDefault="00B56DAF" w:rsidP="00FE5FD7">
      <w:pPr>
        <w:pStyle w:val="Bullet"/>
        <w:numPr>
          <w:ilvl w:val="1"/>
          <w:numId w:val="32"/>
        </w:numPr>
        <w:spacing w:before="0" w:after="160" w:line="278" w:lineRule="auto"/>
      </w:pPr>
      <w:r>
        <w:t>Banning unlicensed real-time communication with consumers about superannuation, with targeted exemptions to protect advocacy, educational and employment communications.</w:t>
      </w:r>
    </w:p>
    <w:p w14:paraId="56775D96" w14:textId="15F552E1" w:rsidR="00B56DAF" w:rsidRDefault="0083629C" w:rsidP="00FE5FD7">
      <w:pPr>
        <w:pStyle w:val="Bullet"/>
        <w:numPr>
          <w:ilvl w:val="1"/>
          <w:numId w:val="32"/>
        </w:numPr>
        <w:spacing w:before="0" w:after="160" w:line="278" w:lineRule="auto"/>
      </w:pPr>
      <w:r>
        <w:t>Enhancing the requirements around the consent consumers must give to enable real-time contact</w:t>
      </w:r>
      <w:r w:rsidR="00CA5E8C">
        <w:t>.</w:t>
      </w:r>
    </w:p>
    <w:p w14:paraId="310827CC" w14:textId="77777777" w:rsidR="007A5059" w:rsidRPr="007A5059" w:rsidRDefault="007A5059" w:rsidP="007A5059">
      <w:pPr>
        <w:pStyle w:val="ListParagraph"/>
        <w:numPr>
          <w:ilvl w:val="1"/>
          <w:numId w:val="32"/>
        </w:numPr>
      </w:pPr>
      <w:r w:rsidRPr="007A5059">
        <w:t>Strengthening anti-hawking protections by limiting the existing exemption for financial advisers to existing client relationships, with consultation on targeted exemptions to ensure low risk arrangements and necessary contact with family members and third parties of existing clients are protected.</w:t>
      </w:r>
    </w:p>
    <w:p w14:paraId="23097E2E" w14:textId="6BB81673" w:rsidR="00B56DAF" w:rsidRDefault="0083629C" w:rsidP="00FE5FD7">
      <w:pPr>
        <w:pStyle w:val="Bullet"/>
        <w:numPr>
          <w:ilvl w:val="1"/>
          <w:numId w:val="32"/>
        </w:numPr>
        <w:spacing w:before="0" w:after="160" w:line="278" w:lineRule="auto"/>
      </w:pPr>
      <w:r>
        <w:t>Supporting more timely and scalable regulatory action by strengthening enforcement capability through the introduction of civil penalty provisions for breaches of the anti-hawking regime.</w:t>
      </w:r>
    </w:p>
    <w:p w14:paraId="54AF3E6D" w14:textId="67B17E6D" w:rsidR="00B56DAF" w:rsidRDefault="0083629C" w:rsidP="008D291B">
      <w:pPr>
        <w:pStyle w:val="Bullet"/>
        <w:numPr>
          <w:ilvl w:val="1"/>
          <w:numId w:val="32"/>
        </w:numPr>
        <w:spacing w:before="0" w:after="160" w:line="278" w:lineRule="auto"/>
      </w:pPr>
      <w:r>
        <w:t xml:space="preserve">Requiring </w:t>
      </w:r>
      <w:r w:rsidRPr="00135A2C">
        <w:t>licensees to take reasonable steps to ensure lead generation activitie</w:t>
      </w:r>
      <w:r>
        <w:t>s</w:t>
      </w:r>
      <w:r w:rsidRPr="00135A2C">
        <w:t xml:space="preserve"> are</w:t>
      </w:r>
      <w:r>
        <w:t xml:space="preserve"> </w:t>
      </w:r>
      <w:r w:rsidRPr="00135A2C">
        <w:t>undertaken in compliance with relevant regulatory and legal requirements, including undertaking appropriate due diligence, maintaining records, and exercising ongoing oversight of lead generation arrangements.</w:t>
      </w:r>
    </w:p>
    <w:p w14:paraId="52F15AB5" w14:textId="01C90A44" w:rsidR="00FE5FD7" w:rsidRDefault="00FE5FD7" w:rsidP="008D291B">
      <w:pPr>
        <w:pStyle w:val="Bullet"/>
        <w:numPr>
          <w:ilvl w:val="1"/>
          <w:numId w:val="32"/>
        </w:numPr>
        <w:spacing w:before="0" w:after="160" w:line="278" w:lineRule="auto"/>
      </w:pPr>
      <w:r>
        <w:t>Undertaking further targeted consultation on data harvesting and data broking</w:t>
      </w:r>
      <w:r w:rsidR="002668A8">
        <w:t xml:space="preserve"> in the financial sector</w:t>
      </w:r>
      <w:r>
        <w:t>, to determine potential high-risk forms of lead generation and consumer harm.</w:t>
      </w:r>
    </w:p>
    <w:p w14:paraId="41FF6B21" w14:textId="77777777" w:rsidR="0083629C" w:rsidRDefault="0083629C" w:rsidP="0083629C"/>
    <w:p w14:paraId="45F1106E" w14:textId="77777777" w:rsidR="00A24E1C" w:rsidRDefault="00A24E1C" w:rsidP="0083629C"/>
    <w:p w14:paraId="52DDCF76" w14:textId="77777777" w:rsidR="00A24E1C" w:rsidRDefault="00A24E1C" w:rsidP="0083629C"/>
    <w:p w14:paraId="7EBDB251" w14:textId="0D840D78" w:rsidR="0083629C" w:rsidRPr="00D9480D" w:rsidRDefault="008C40B9" w:rsidP="00FE5FD7">
      <w:pPr>
        <w:pStyle w:val="OutlineNumbered1"/>
        <w:numPr>
          <w:ilvl w:val="6"/>
          <w:numId w:val="27"/>
        </w:numPr>
        <w:ind w:left="0" w:firstLine="0"/>
      </w:pPr>
      <w:r>
        <w:lastRenderedPageBreak/>
        <w:t xml:space="preserve">Enhancing Governance of </w:t>
      </w:r>
      <w:r w:rsidR="0083629C" w:rsidRPr="00D9480D">
        <w:t>Managed Investment Schemes</w:t>
      </w:r>
    </w:p>
    <w:p w14:paraId="0B8B8E8C" w14:textId="7D9D6DF9" w:rsidR="0083629C" w:rsidRPr="001C65A1" w:rsidRDefault="004174E4" w:rsidP="00FE5FD7">
      <w:pPr>
        <w:pStyle w:val="Bullet"/>
        <w:numPr>
          <w:ilvl w:val="1"/>
          <w:numId w:val="34"/>
        </w:numPr>
        <w:spacing w:before="0" w:after="160" w:line="278" w:lineRule="auto"/>
        <w:ind w:left="357" w:hanging="357"/>
      </w:pPr>
      <w:r>
        <w:t>G</w:t>
      </w:r>
      <w:r w:rsidR="001D08D6">
        <w:t>iv</w:t>
      </w:r>
      <w:r w:rsidR="00431E52">
        <w:t>ing</w:t>
      </w:r>
      <w:r>
        <w:t xml:space="preserve"> the </w:t>
      </w:r>
      <w:r w:rsidR="004503F4">
        <w:t>Auditing and Assurance Standards Board</w:t>
      </w:r>
      <w:r w:rsidR="008C6DB4">
        <w:t xml:space="preserve"> (soon to become</w:t>
      </w:r>
      <w:r w:rsidR="004503F4">
        <w:t xml:space="preserve"> External Reporting Australia</w:t>
      </w:r>
      <w:r w:rsidR="008C6DB4">
        <w:t>)</w:t>
      </w:r>
      <w:r w:rsidR="004503F4">
        <w:t xml:space="preserve"> the power to make mandatory </w:t>
      </w:r>
      <w:r w:rsidR="00866E6E">
        <w:t xml:space="preserve">audit and assurance standards for auditors of </w:t>
      </w:r>
      <w:r w:rsidR="00381BA7">
        <w:t>MIS</w:t>
      </w:r>
      <w:r w:rsidR="000038C3">
        <w:t xml:space="preserve"> compliance plans</w:t>
      </w:r>
      <w:r w:rsidR="00381BA7">
        <w:t xml:space="preserve">. </w:t>
      </w:r>
    </w:p>
    <w:p w14:paraId="03E845C3" w14:textId="26088859" w:rsidR="0083629C" w:rsidRPr="001C65A1" w:rsidRDefault="0083629C" w:rsidP="00FE5FD7">
      <w:pPr>
        <w:pStyle w:val="Bullet"/>
        <w:numPr>
          <w:ilvl w:val="1"/>
          <w:numId w:val="34"/>
        </w:numPr>
        <w:spacing w:before="0" w:after="160" w:line="278" w:lineRule="auto"/>
        <w:ind w:left="357" w:hanging="357"/>
      </w:pPr>
      <w:r w:rsidRPr="001C65A1">
        <w:t>Requir</w:t>
      </w:r>
      <w:r w:rsidR="00431E52">
        <w:t>ing</w:t>
      </w:r>
      <w:r w:rsidRPr="001C65A1">
        <w:t xml:space="preserve"> </w:t>
      </w:r>
      <w:r w:rsidR="0024348F">
        <w:t>R</w:t>
      </w:r>
      <w:r w:rsidR="00BD0039">
        <w:t xml:space="preserve">esponsible </w:t>
      </w:r>
      <w:r w:rsidR="0024348F">
        <w:t>E</w:t>
      </w:r>
      <w:r w:rsidR="00BD0039">
        <w:t xml:space="preserve">ntities of MISs to notify ASIC </w:t>
      </w:r>
      <w:r w:rsidR="001B07D3">
        <w:t>when they freeze or limit an investor’s ability to make redemption</w:t>
      </w:r>
      <w:r w:rsidR="00010246">
        <w:t>s</w:t>
      </w:r>
      <w:r w:rsidR="001B07D3">
        <w:t xml:space="preserve">. </w:t>
      </w:r>
    </w:p>
    <w:p w14:paraId="5ABC2019" w14:textId="7FBC85D0" w:rsidR="00304041" w:rsidRPr="001C65A1" w:rsidRDefault="00BE4C59" w:rsidP="00FE5FD7">
      <w:pPr>
        <w:pStyle w:val="Bullet"/>
        <w:numPr>
          <w:ilvl w:val="1"/>
          <w:numId w:val="34"/>
        </w:numPr>
        <w:spacing w:before="0" w:after="160" w:line="278" w:lineRule="auto"/>
        <w:ind w:left="357" w:hanging="357"/>
      </w:pPr>
      <w:r>
        <w:t>As announced in the 2026-27 Budget, t</w:t>
      </w:r>
      <w:r w:rsidR="00304041">
        <w:t xml:space="preserve">he Government will </w:t>
      </w:r>
      <w:r w:rsidR="00BD467E">
        <w:t>also</w:t>
      </w:r>
      <w:r w:rsidR="00304041">
        <w:t xml:space="preserve"> soon consult on </w:t>
      </w:r>
      <w:r w:rsidR="002212E5">
        <w:t xml:space="preserve">options to improve </w:t>
      </w:r>
      <w:r w:rsidR="007767B8">
        <w:t xml:space="preserve">data collection </w:t>
      </w:r>
      <w:r w:rsidR="00756E72">
        <w:t xml:space="preserve">on the </w:t>
      </w:r>
      <w:r w:rsidR="007767B8">
        <w:t>MIS</w:t>
      </w:r>
      <w:r w:rsidR="00756E72">
        <w:t xml:space="preserve"> sector</w:t>
      </w:r>
      <w:r w:rsidR="007767B8">
        <w:t>.</w:t>
      </w:r>
      <w:r w:rsidR="008B3C2D">
        <w:t xml:space="preserve"> </w:t>
      </w:r>
    </w:p>
    <w:p w14:paraId="00C90676" w14:textId="77777777" w:rsidR="0083629C" w:rsidRPr="00676E5E" w:rsidRDefault="0083629C" w:rsidP="0083629C">
      <w:pPr>
        <w:rPr>
          <w:b/>
          <w:bCs/>
        </w:rPr>
      </w:pPr>
    </w:p>
    <w:p w14:paraId="3B098E52" w14:textId="7ADB9EC0" w:rsidR="0083629C" w:rsidRPr="00D9480D" w:rsidRDefault="0083629C" w:rsidP="00FE5FD7">
      <w:pPr>
        <w:pStyle w:val="OutlineNumbered1"/>
        <w:numPr>
          <w:ilvl w:val="6"/>
          <w:numId w:val="28"/>
        </w:numPr>
        <w:ind w:left="0" w:firstLine="0"/>
      </w:pPr>
      <w:r w:rsidRPr="00D9480D">
        <w:t>Financial Advice</w:t>
      </w:r>
    </w:p>
    <w:p w14:paraId="78A5B521" w14:textId="3674C796" w:rsidR="0083629C" w:rsidRDefault="00873B2B" w:rsidP="00FE5FD7">
      <w:pPr>
        <w:pStyle w:val="Bullet"/>
        <w:numPr>
          <w:ilvl w:val="1"/>
          <w:numId w:val="35"/>
        </w:numPr>
        <w:spacing w:before="0" w:after="160" w:line="278" w:lineRule="auto"/>
        <w:ind w:left="357" w:hanging="357"/>
      </w:pPr>
      <w:r>
        <w:t xml:space="preserve">Proceeding </w:t>
      </w:r>
      <w:r w:rsidR="0083629C">
        <w:t>with changes to intra-fund charging, targeted superannuation prompts and statements of advice as soon as possible</w:t>
      </w:r>
      <w:r w:rsidR="00454A6D">
        <w:t>.</w:t>
      </w:r>
    </w:p>
    <w:p w14:paraId="6DF881BB" w14:textId="438EB345" w:rsidR="00243D72" w:rsidRPr="00AC22FB" w:rsidRDefault="00721B90" w:rsidP="00FE5FD7">
      <w:pPr>
        <w:pStyle w:val="Bullet"/>
        <w:numPr>
          <w:ilvl w:val="1"/>
          <w:numId w:val="35"/>
        </w:numPr>
        <w:spacing w:before="0" w:after="160" w:line="278" w:lineRule="auto"/>
        <w:ind w:left="357" w:hanging="357"/>
      </w:pPr>
      <w:r>
        <w:t>I</w:t>
      </w:r>
      <w:r w:rsidR="00761C4D">
        <w:t>ntroducing</w:t>
      </w:r>
      <w:r w:rsidR="0083629C" w:rsidRPr="00AC22FB">
        <w:t xml:space="preserve"> the N</w:t>
      </w:r>
      <w:r w:rsidR="0083629C">
        <w:t>ew Class of Adviser</w:t>
      </w:r>
      <w:r w:rsidR="0083629C" w:rsidRPr="00AC22FB">
        <w:t xml:space="preserve"> regime to APRA-regulated superannuation and life insur</w:t>
      </w:r>
      <w:r w:rsidR="00873906">
        <w:t>ance entities</w:t>
      </w:r>
      <w:r>
        <w:t xml:space="preserve"> in the first instance</w:t>
      </w:r>
      <w:r w:rsidR="0083629C">
        <w:t xml:space="preserve">, </w:t>
      </w:r>
      <w:r w:rsidR="00C229D0">
        <w:t>supported by strong safeguards against v</w:t>
      </w:r>
      <w:r w:rsidR="00C229D0" w:rsidRPr="00B3799E">
        <w:t>ertical integration through prohibitions on commissions, bonuses and volume-based payments that are features</w:t>
      </w:r>
      <w:r w:rsidR="00C229D0">
        <w:t xml:space="preserve"> of sales-driven advice models. This measure will be subject to </w:t>
      </w:r>
      <w:r w:rsidR="0083629C">
        <w:t xml:space="preserve">a </w:t>
      </w:r>
      <w:r w:rsidR="0083629C" w:rsidRPr="001C65A1">
        <w:t>review three years after commencement</w:t>
      </w:r>
      <w:r w:rsidR="00EB1D2A">
        <w:t xml:space="preserve"> to evaluate the </w:t>
      </w:r>
      <w:r w:rsidR="00B56DAF">
        <w:t xml:space="preserve">scope and </w:t>
      </w:r>
      <w:r w:rsidR="00EB1D2A">
        <w:t>ope</w:t>
      </w:r>
      <w:r w:rsidR="00C111BB">
        <w:t>ration of t</w:t>
      </w:r>
      <w:r w:rsidR="00FF4BC9">
        <w:t>h</w:t>
      </w:r>
      <w:r w:rsidR="00C229D0">
        <w:t>e</w:t>
      </w:r>
      <w:r w:rsidR="00FF4BC9">
        <w:t xml:space="preserve"> reform</w:t>
      </w:r>
      <w:r w:rsidR="00AF64C4">
        <w:t>.</w:t>
      </w:r>
      <w:r w:rsidR="0083629C" w:rsidRPr="001C65A1">
        <w:t xml:space="preserve"> </w:t>
      </w:r>
    </w:p>
    <w:p w14:paraId="550369E4" w14:textId="33B600AC" w:rsidR="00631F12" w:rsidRDefault="0083629C">
      <w:pPr>
        <w:pStyle w:val="Bullet"/>
        <w:numPr>
          <w:ilvl w:val="1"/>
          <w:numId w:val="35"/>
        </w:numPr>
        <w:spacing w:before="0" w:after="160" w:line="278" w:lineRule="auto"/>
        <w:ind w:left="357" w:hanging="357"/>
      </w:pPr>
      <w:r w:rsidRPr="00AC22FB">
        <w:t>Simplify</w:t>
      </w:r>
      <w:r w:rsidR="00912C8F">
        <w:t>ing</w:t>
      </w:r>
      <w:r w:rsidRPr="00AC22FB">
        <w:t xml:space="preserve"> the </w:t>
      </w:r>
      <w:r w:rsidR="007179AF">
        <w:t>Best Interests Duty</w:t>
      </w:r>
      <w:r w:rsidR="007179AF" w:rsidRPr="00AC22FB">
        <w:t xml:space="preserve"> </w:t>
      </w:r>
      <w:r w:rsidRPr="00AC22FB">
        <w:t>reform</w:t>
      </w:r>
      <w:r w:rsidR="00E03B76">
        <w:t xml:space="preserve">, by maintaining the </w:t>
      </w:r>
      <w:r w:rsidR="0062262B">
        <w:t xml:space="preserve">existing </w:t>
      </w:r>
      <w:r w:rsidR="00723979">
        <w:t xml:space="preserve">obligation and safe harbour steps, and </w:t>
      </w:r>
      <w:r w:rsidR="005E59C1">
        <w:t xml:space="preserve">removing </w:t>
      </w:r>
      <w:r w:rsidR="00631F12">
        <w:t xml:space="preserve">only </w:t>
      </w:r>
      <w:r w:rsidRPr="00AC22FB">
        <w:t>the broadest safe-harbour step that is a barrier to scaled advice</w:t>
      </w:r>
      <w:r>
        <w:t>.</w:t>
      </w:r>
      <w:r w:rsidR="00791B64">
        <w:t xml:space="preserve"> </w:t>
      </w:r>
    </w:p>
    <w:p w14:paraId="077C0785" w14:textId="29DC8B87" w:rsidR="00B56DAF" w:rsidRPr="00E17A63" w:rsidRDefault="00631F12">
      <w:pPr>
        <w:pStyle w:val="Bullet"/>
        <w:numPr>
          <w:ilvl w:val="1"/>
          <w:numId w:val="35"/>
        </w:numPr>
        <w:spacing w:before="0" w:after="160" w:line="278" w:lineRule="auto"/>
        <w:ind w:left="357" w:hanging="357"/>
      </w:pPr>
      <w:r>
        <w:t xml:space="preserve">Progressing with the </w:t>
      </w:r>
      <w:r w:rsidR="00BA313D">
        <w:t>review of the</w:t>
      </w:r>
      <w:r w:rsidR="00931341">
        <w:t xml:space="preserve"> </w:t>
      </w:r>
      <w:r w:rsidR="00931341" w:rsidRPr="00FE5FD7">
        <w:t>Financial Planner and Adviser Code of Ethics 2019</w:t>
      </w:r>
      <w:r w:rsidR="00B5574D">
        <w:t xml:space="preserve">, </w:t>
      </w:r>
      <w:r w:rsidR="00760CF0">
        <w:t xml:space="preserve">to ensure that it </w:t>
      </w:r>
      <w:r w:rsidR="000D462C" w:rsidRPr="000D462C">
        <w:t>is</w:t>
      </w:r>
      <w:r w:rsidR="002576D1">
        <w:t xml:space="preserve"> fit for purpose</w:t>
      </w:r>
      <w:r w:rsidR="00FB039B">
        <w:t xml:space="preserve"> and</w:t>
      </w:r>
      <w:r w:rsidR="000660C6">
        <w:t xml:space="preserve"> </w:t>
      </w:r>
      <w:r w:rsidR="002B3003" w:rsidRPr="000D462C">
        <w:t xml:space="preserve">supports the safe provision of </w:t>
      </w:r>
      <w:r w:rsidR="000660C6">
        <w:t xml:space="preserve">scaled advice. </w:t>
      </w:r>
    </w:p>
    <w:p w14:paraId="4C009AC5" w14:textId="77777777" w:rsidR="00B56DAF" w:rsidRDefault="00F16D5D" w:rsidP="00B56DAF">
      <w:pPr>
        <w:pStyle w:val="Bullet"/>
        <w:numPr>
          <w:ilvl w:val="1"/>
          <w:numId w:val="35"/>
        </w:numPr>
        <w:spacing w:before="0" w:after="160" w:line="278" w:lineRule="auto"/>
        <w:ind w:left="357" w:hanging="357"/>
      </w:pPr>
      <w:r>
        <w:t xml:space="preserve">Progressing </w:t>
      </w:r>
      <w:r w:rsidR="003566F0">
        <w:t>r</w:t>
      </w:r>
      <w:r w:rsidR="008F27C3">
        <w:t>eforms to the education requirements for professional advisers to create a sust</w:t>
      </w:r>
      <w:r w:rsidR="001E2C56">
        <w:t>ainable pathway for new advisers to enter the profession.</w:t>
      </w:r>
    </w:p>
    <w:p w14:paraId="6FB02C24" w14:textId="757AD591" w:rsidR="19E990EE" w:rsidRDefault="19E990EE">
      <w:pPr>
        <w:pStyle w:val="Bullet"/>
        <w:numPr>
          <w:ilvl w:val="1"/>
          <w:numId w:val="35"/>
        </w:numPr>
        <w:spacing w:before="0" w:after="160" w:line="278" w:lineRule="auto"/>
        <w:ind w:left="357" w:hanging="357"/>
      </w:pPr>
      <w:r>
        <w:t xml:space="preserve">Supporting ASIC’s ongoing work on fee deductions and superannuation, to improve outcomes for superannuation fund members and </w:t>
      </w:r>
      <w:r w:rsidR="2B37DDD3">
        <w:t xml:space="preserve">SMSF trustees. </w:t>
      </w:r>
    </w:p>
    <w:p w14:paraId="2D3BA2A7" w14:textId="77777777" w:rsidR="00294A5E" w:rsidRDefault="00294A5E" w:rsidP="008D291B">
      <w:pPr>
        <w:pStyle w:val="Bullet"/>
        <w:numPr>
          <w:ilvl w:val="0"/>
          <w:numId w:val="0"/>
        </w:numPr>
        <w:spacing w:before="0" w:after="160" w:line="278" w:lineRule="auto"/>
        <w:ind w:left="357"/>
      </w:pPr>
    </w:p>
    <w:p w14:paraId="655FCD5F" w14:textId="70ECE36B" w:rsidR="004739CF" w:rsidRDefault="0083629C" w:rsidP="008D291B">
      <w:pPr>
        <w:pStyle w:val="OutlineNumbered1"/>
        <w:numPr>
          <w:ilvl w:val="6"/>
          <w:numId w:val="29"/>
        </w:numPr>
        <w:ind w:left="0" w:firstLine="0"/>
      </w:pPr>
      <w:r w:rsidRPr="001C65A1">
        <w:t>Compensation Scheme of Last Resort</w:t>
      </w:r>
    </w:p>
    <w:p w14:paraId="14BC95D0" w14:textId="77777777" w:rsidR="002F28F9" w:rsidRDefault="002F28F9" w:rsidP="00B56DAF">
      <w:pPr>
        <w:pStyle w:val="Bullet"/>
        <w:numPr>
          <w:ilvl w:val="1"/>
          <w:numId w:val="36"/>
        </w:numPr>
        <w:spacing w:before="0" w:after="160" w:line="278" w:lineRule="auto"/>
      </w:pPr>
      <w:r>
        <w:t xml:space="preserve">Limiting CSLR payments to actual losses for applications made to AFCA after 30 June 2027, without any change to AFCA entitlements. </w:t>
      </w:r>
    </w:p>
    <w:p w14:paraId="34958B85" w14:textId="2C8D4169" w:rsidR="00243D72" w:rsidRDefault="0083629C" w:rsidP="008D291B">
      <w:pPr>
        <w:pStyle w:val="Bullet"/>
        <w:numPr>
          <w:ilvl w:val="1"/>
          <w:numId w:val="36"/>
        </w:numPr>
        <w:spacing w:before="0" w:after="160" w:line="278" w:lineRule="auto"/>
      </w:pPr>
      <w:r>
        <w:t>Providing a more predictable framework for funding exceptional losses via the waterfall special levy mechanis</w:t>
      </w:r>
      <w:r w:rsidR="00544DF5">
        <w:t>m.</w:t>
      </w:r>
    </w:p>
    <w:p w14:paraId="4CFB536A" w14:textId="7607DA2C" w:rsidR="00243D72" w:rsidRDefault="0083629C" w:rsidP="00FE5FD7">
      <w:pPr>
        <w:pStyle w:val="Bullet"/>
        <w:numPr>
          <w:ilvl w:val="1"/>
          <w:numId w:val="36"/>
        </w:numPr>
        <w:spacing w:before="0" w:after="160" w:line="278" w:lineRule="auto"/>
      </w:pPr>
      <w:r>
        <w:t>Includ</w:t>
      </w:r>
      <w:r w:rsidR="0080133E">
        <w:t>ing</w:t>
      </w:r>
      <w:r>
        <w:t xml:space="preserve"> all SMSFs as </w:t>
      </w:r>
      <w:r w:rsidR="00881E7C">
        <w:t xml:space="preserve">Tier 3 </w:t>
      </w:r>
      <w:r>
        <w:t xml:space="preserve">levy payers </w:t>
      </w:r>
      <w:r w:rsidR="00881E7C">
        <w:t>in</w:t>
      </w:r>
      <w:r w:rsidR="00A928B0">
        <w:t xml:space="preserve"> the waterfall </w:t>
      </w:r>
      <w:r w:rsidR="00676607">
        <w:t>model</w:t>
      </w:r>
      <w:r w:rsidR="00A928B0">
        <w:t xml:space="preserve"> </w:t>
      </w:r>
      <w:r w:rsidR="005767D3">
        <w:t>in</w:t>
      </w:r>
      <w:r w:rsidR="00881E7C">
        <w:t xml:space="preserve"> </w:t>
      </w:r>
      <w:r w:rsidR="005767D3">
        <w:t>future</w:t>
      </w:r>
      <w:r w:rsidR="00881E7C">
        <w:t xml:space="preserve"> </w:t>
      </w:r>
      <w:r>
        <w:t>years when a special levy is required</w:t>
      </w:r>
      <w:r w:rsidR="00A928B0">
        <w:t>.</w:t>
      </w:r>
      <w:r>
        <w:t xml:space="preserve"> </w:t>
      </w:r>
      <w:r w:rsidR="00C5756D">
        <w:t xml:space="preserve">The </w:t>
      </w:r>
      <w:r>
        <w:t xml:space="preserve">total sector levy </w:t>
      </w:r>
      <w:r w:rsidR="00C5756D">
        <w:t xml:space="preserve">for SMSFs will be </w:t>
      </w:r>
      <w:r>
        <w:t xml:space="preserve">scaled relative to assets </w:t>
      </w:r>
      <w:r>
        <w:lastRenderedPageBreak/>
        <w:t>under management when compared to the broader superannuation trustees sub</w:t>
      </w:r>
      <w:r w:rsidR="004D38B7">
        <w:t>-</w:t>
      </w:r>
      <w:r>
        <w:t>sector</w:t>
      </w:r>
      <w:r w:rsidR="00544DF5">
        <w:t>, with a flat levy amount applying to all funds.</w:t>
      </w:r>
    </w:p>
    <w:p w14:paraId="64A0934E" w14:textId="0AE72BEA" w:rsidR="003A0308" w:rsidRDefault="00AA66BE" w:rsidP="003A0308">
      <w:pPr>
        <w:pStyle w:val="Bullet"/>
        <w:numPr>
          <w:ilvl w:val="1"/>
          <w:numId w:val="36"/>
        </w:numPr>
        <w:spacing w:before="0" w:after="160" w:line="278" w:lineRule="auto"/>
      </w:pPr>
      <w:r>
        <w:t>Allocating the FY26-27 special levy according to the waterfall model outlined in the Government’s consultation process</w:t>
      </w:r>
      <w:r w:rsidR="008C4519">
        <w:t>, with further</w:t>
      </w:r>
      <w:r w:rsidRPr="00C44F49">
        <w:t xml:space="preserve"> analysis, in consultation with relevant stakeholders, to support the Minister’s decision on </w:t>
      </w:r>
      <w:r w:rsidR="008C4519">
        <w:t xml:space="preserve">specific </w:t>
      </w:r>
      <w:r w:rsidRPr="00C44F49">
        <w:t>sub-sector allocations</w:t>
      </w:r>
      <w:r w:rsidR="008C4519">
        <w:t xml:space="preserve"> in Tier 1 and 2 of the waterfall</w:t>
      </w:r>
      <w:r>
        <w:t>.</w:t>
      </w:r>
      <w:r w:rsidR="003A0308">
        <w:t xml:space="preserve"> </w:t>
      </w:r>
    </w:p>
    <w:p w14:paraId="673247FC" w14:textId="5D66D8B5" w:rsidR="003A0308" w:rsidRDefault="003A0308" w:rsidP="003A0308">
      <w:pPr>
        <w:pStyle w:val="Bullet"/>
        <w:numPr>
          <w:ilvl w:val="1"/>
          <w:numId w:val="36"/>
        </w:numPr>
        <w:spacing w:before="0" w:after="160" w:line="278" w:lineRule="auto"/>
      </w:pPr>
      <w:r>
        <w:t>Supporting the</w:t>
      </w:r>
      <w:r w:rsidRPr="003A0308">
        <w:t xml:space="preserve"> Productivity Commission’s </w:t>
      </w:r>
      <w:r w:rsidR="00C259FA">
        <w:t xml:space="preserve">business dynamism </w:t>
      </w:r>
      <w:r w:rsidRPr="003A0308">
        <w:t>inquiry</w:t>
      </w:r>
      <w:r w:rsidR="00C259FA">
        <w:t>, including</w:t>
      </w:r>
      <w:r w:rsidRPr="003A0308">
        <w:t xml:space="preserve"> </w:t>
      </w:r>
      <w:r w:rsidR="009B039B">
        <w:t xml:space="preserve">its consideration </w:t>
      </w:r>
      <w:r w:rsidR="00433C86">
        <w:t>of</w:t>
      </w:r>
      <w:r w:rsidRPr="003A0308">
        <w:t xml:space="preserve"> insolvency frameworks, </w:t>
      </w:r>
      <w:r w:rsidR="00620DBC">
        <w:t>to help</w:t>
      </w:r>
      <w:r w:rsidRPr="003A0308">
        <w:t xml:space="preserve"> inform the Government’s</w:t>
      </w:r>
      <w:r w:rsidR="00494E16">
        <w:t xml:space="preserve"> </w:t>
      </w:r>
      <w:r w:rsidRPr="003A0308">
        <w:t>consideration of how those frameworks interact with the CSLR and whether further reforms could improve the recovery of AFCA determinations</w:t>
      </w:r>
      <w:r>
        <w:t>.</w:t>
      </w:r>
    </w:p>
    <w:p w14:paraId="7BFDA7C1" w14:textId="4763012A" w:rsidR="0083629C" w:rsidRDefault="0083629C" w:rsidP="00FE5FD7">
      <w:pPr>
        <w:pStyle w:val="Bullet"/>
        <w:numPr>
          <w:ilvl w:val="1"/>
          <w:numId w:val="36"/>
        </w:numPr>
        <w:spacing w:before="0" w:after="160" w:line="278" w:lineRule="auto"/>
      </w:pPr>
      <w:r>
        <w:t>Targeted reforms to improve the efficiency of the CSLR</w:t>
      </w:r>
      <w:r w:rsidR="00C5756D">
        <w:t xml:space="preserve">, </w:t>
      </w:r>
      <w:r w:rsidR="00681E3B">
        <w:t>including</w:t>
      </w:r>
      <w:r w:rsidR="00C5756D">
        <w:t>:</w:t>
      </w:r>
    </w:p>
    <w:p w14:paraId="7D657ABA" w14:textId="2B4FAFA4" w:rsidR="009806BE" w:rsidRDefault="5D6137B4" w:rsidP="418BBFD6">
      <w:pPr>
        <w:pStyle w:val="Bullet"/>
        <w:spacing w:before="0" w:after="160" w:line="278" w:lineRule="auto"/>
      </w:pPr>
      <w:r>
        <w:t>expanding the CSLR operator’s statutory recovery rights to additional available sources;</w:t>
      </w:r>
    </w:p>
    <w:p w14:paraId="4D197F0A" w14:textId="61860604" w:rsidR="42809D8B" w:rsidRDefault="42809D8B" w:rsidP="5E2B7BE7">
      <w:pPr>
        <w:pStyle w:val="Bullet"/>
        <w:spacing w:before="0" w:after="160" w:line="278" w:lineRule="auto"/>
      </w:pPr>
      <w:r>
        <w:t xml:space="preserve">allowing the CSLR operator to notify the Minister of a revised estimate before a levy period begins; </w:t>
      </w:r>
    </w:p>
    <w:p w14:paraId="662B7A12" w14:textId="1F5197C2" w:rsidR="42809D8B" w:rsidRDefault="42809D8B" w:rsidP="5E2B7BE7">
      <w:pPr>
        <w:pStyle w:val="Bullet"/>
        <w:spacing w:before="0" w:after="160" w:line="278" w:lineRule="auto"/>
      </w:pPr>
      <w:r>
        <w:t xml:space="preserve">reducing the disallowance period for CSLR levy instruments from 15 to 5 sitting days, consistent with ASIC levy instruments; </w:t>
      </w:r>
    </w:p>
    <w:p w14:paraId="2CF703C5" w14:textId="77777777" w:rsidR="0083629C" w:rsidRDefault="0083629C" w:rsidP="001C65A1">
      <w:pPr>
        <w:pStyle w:val="Bullet"/>
        <w:numPr>
          <w:ilvl w:val="1"/>
          <w:numId w:val="7"/>
        </w:numPr>
        <w:spacing w:before="0" w:after="160" w:line="278" w:lineRule="auto"/>
      </w:pPr>
      <w:r w:rsidRPr="00A20CE0">
        <w:t>remov</w:t>
      </w:r>
      <w:r>
        <w:t>ing</w:t>
      </w:r>
      <w:r w:rsidRPr="00A20CE0">
        <w:t xml:space="preserve"> the need for consumers to notify AFCA of non-payment where AFCA already knows the firm cannot pay; </w:t>
      </w:r>
    </w:p>
    <w:p w14:paraId="1B586061" w14:textId="3C307DE7" w:rsidR="0083629C" w:rsidRPr="005C05DB" w:rsidRDefault="0083629C" w:rsidP="001C65A1">
      <w:pPr>
        <w:pStyle w:val="Bullet"/>
        <w:numPr>
          <w:ilvl w:val="1"/>
          <w:numId w:val="7"/>
        </w:numPr>
        <w:spacing w:before="0" w:after="160" w:line="278" w:lineRule="auto"/>
      </w:pPr>
      <w:r w:rsidRPr="00A20CE0">
        <w:t>allow</w:t>
      </w:r>
      <w:r>
        <w:t>ing</w:t>
      </w:r>
      <w:r w:rsidRPr="00A20CE0">
        <w:t xml:space="preserve"> compensation to be paid to more than one account or payee where </w:t>
      </w:r>
      <w:r>
        <w:t>need be</w:t>
      </w:r>
      <w:r w:rsidR="006D16AC">
        <w:t>;</w:t>
      </w:r>
    </w:p>
    <w:p w14:paraId="28762B7A" w14:textId="77777777" w:rsidR="0083629C" w:rsidRPr="00797DD2" w:rsidRDefault="0083629C" w:rsidP="001C65A1">
      <w:pPr>
        <w:pStyle w:val="Bullet"/>
        <w:numPr>
          <w:ilvl w:val="1"/>
          <w:numId w:val="7"/>
        </w:numPr>
        <w:spacing w:before="0" w:after="160" w:line="278" w:lineRule="auto"/>
      </w:pPr>
      <w:r w:rsidRPr="00731D06">
        <w:t>develop</w:t>
      </w:r>
      <w:r>
        <w:t>ing</w:t>
      </w:r>
      <w:r w:rsidRPr="00731D06">
        <w:t xml:space="preserve"> </w:t>
      </w:r>
      <w:r w:rsidRPr="00797DD2">
        <w:t>a retail-facing metric for large securities and futures exchange participants,</w:t>
      </w:r>
      <w:r w:rsidRPr="001C65A1">
        <w:t xml:space="preserve"> </w:t>
      </w:r>
      <w:r w:rsidRPr="00797DD2">
        <w:t xml:space="preserve">reducing the </w:t>
      </w:r>
      <w:r>
        <w:t>potential distortion</w:t>
      </w:r>
      <w:r w:rsidRPr="00797DD2">
        <w:t xml:space="preserve"> of wholesale and institutional activity on special levies; </w:t>
      </w:r>
    </w:p>
    <w:p w14:paraId="586EB0AD" w14:textId="2B5AD1FF" w:rsidR="0083629C" w:rsidRPr="00797DD2" w:rsidRDefault="0083629C" w:rsidP="001C65A1">
      <w:pPr>
        <w:pStyle w:val="Bullet"/>
        <w:numPr>
          <w:ilvl w:val="1"/>
          <w:numId w:val="7"/>
        </w:numPr>
        <w:spacing w:before="0" w:after="160" w:line="278" w:lineRule="auto"/>
      </w:pPr>
      <w:r w:rsidRPr="00797DD2">
        <w:t>allow</w:t>
      </w:r>
      <w:r>
        <w:t>ing</w:t>
      </w:r>
      <w:r w:rsidRPr="00797DD2">
        <w:t xml:space="preserve"> firm-level levy metrics to be fixed at a defined point, so correcting one firm’s data does not require recalculation across the entire sub</w:t>
      </w:r>
      <w:r w:rsidR="004D53A7">
        <w:t xml:space="preserve"> </w:t>
      </w:r>
      <w:r w:rsidRPr="00797DD2">
        <w:t xml:space="preserve">sector; </w:t>
      </w:r>
    </w:p>
    <w:p w14:paraId="297CB005" w14:textId="77777777" w:rsidR="0083629C" w:rsidRPr="00797DD2" w:rsidRDefault="0083629C" w:rsidP="001C65A1">
      <w:pPr>
        <w:pStyle w:val="Bullet"/>
        <w:numPr>
          <w:ilvl w:val="1"/>
          <w:numId w:val="7"/>
        </w:numPr>
        <w:spacing w:before="0" w:after="160" w:line="278" w:lineRule="auto"/>
      </w:pPr>
      <w:r w:rsidRPr="00797DD2">
        <w:t>amend</w:t>
      </w:r>
      <w:r>
        <w:t>ing</w:t>
      </w:r>
      <w:r w:rsidRPr="00797DD2">
        <w:t xml:space="preserve"> the securities-dealer metric to capture all relevant transactions, including exchange-traded products that may not technically meet the statutory definition of a security; </w:t>
      </w:r>
      <w:r>
        <w:t>and</w:t>
      </w:r>
    </w:p>
    <w:p w14:paraId="2F797B1F" w14:textId="77777777" w:rsidR="0083629C" w:rsidRDefault="0083629C" w:rsidP="001C65A1">
      <w:pPr>
        <w:pStyle w:val="Bullet"/>
        <w:numPr>
          <w:ilvl w:val="1"/>
          <w:numId w:val="7"/>
        </w:numPr>
        <w:spacing w:before="0" w:after="160" w:line="278" w:lineRule="auto"/>
      </w:pPr>
      <w:r w:rsidRPr="00797DD2">
        <w:t>correct</w:t>
      </w:r>
      <w:r>
        <w:t>ing</w:t>
      </w:r>
      <w:r w:rsidRPr="00797DD2">
        <w:t xml:space="preserve"> the special levy formula so the intended $100 minimum operates, </w:t>
      </w:r>
      <w:r>
        <w:t xml:space="preserve">adjusted for </w:t>
      </w:r>
      <w:r w:rsidRPr="00797DD2">
        <w:t>appropriate treatment of SMSFs</w:t>
      </w:r>
      <w:r>
        <w:t>.</w:t>
      </w:r>
    </w:p>
    <w:p w14:paraId="7252B599" w14:textId="77777777" w:rsidR="007B06BE" w:rsidRDefault="007B06BE" w:rsidP="00531BB5">
      <w:pPr>
        <w:spacing w:before="0" w:after="0"/>
      </w:pPr>
    </w:p>
    <w:sectPr w:rsidR="007B06BE" w:rsidSect="00B30D3E">
      <w:headerReference w:type="default" r:id="rId8"/>
      <w:footerReference w:type="default" r:id="rId9"/>
      <w:headerReference w:type="first" r:id="rId10"/>
      <w:footerReference w:type="first" r:id="rId11"/>
      <w:pgSz w:w="11906" w:h="16838" w:code="9"/>
      <w:pgMar w:top="1701" w:right="1701" w:bottom="1021" w:left="1701" w:header="567" w:footer="249"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811D3" w14:textId="77777777" w:rsidR="00F71163" w:rsidRDefault="00F71163" w:rsidP="00886BC4">
      <w:r>
        <w:separator/>
      </w:r>
    </w:p>
    <w:p w14:paraId="54D0BEBE" w14:textId="77777777" w:rsidR="00F71163" w:rsidRDefault="00F71163"/>
  </w:endnote>
  <w:endnote w:type="continuationSeparator" w:id="0">
    <w:p w14:paraId="1187E7F6" w14:textId="77777777" w:rsidR="00F71163" w:rsidRDefault="00F71163" w:rsidP="00886BC4">
      <w:r>
        <w:continuationSeparator/>
      </w:r>
    </w:p>
    <w:p w14:paraId="25DA7B65" w14:textId="77777777" w:rsidR="00F71163" w:rsidRDefault="00F71163"/>
  </w:endnote>
  <w:endnote w:type="continuationNotice" w:id="1">
    <w:p w14:paraId="644FC61F" w14:textId="77777777" w:rsidR="00F71163" w:rsidRDefault="00F71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9999999">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Univers 45 Light">
    <w:altName w:val="Calibri"/>
    <w:charset w:val="00"/>
    <w:family w:val="auto"/>
    <w:pitch w:val="variable"/>
    <w:sig w:usb0="8000002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FBA6" w14:textId="14032BB5" w:rsidR="00A15DB7" w:rsidRPr="00E81A92" w:rsidRDefault="00E81A92" w:rsidP="007B06BE">
    <w:pPr>
      <w:pStyle w:val="Footer"/>
      <w:tabs>
        <w:tab w:val="clear" w:pos="4320"/>
        <w:tab w:val="center" w:pos="0"/>
      </w:tabs>
      <w:jc w:val="right"/>
    </w:pPr>
    <w:r w:rsidRPr="00AC3B66">
      <w:rPr>
        <w:noProof/>
        <w:position w:val="-10"/>
      </w:rPr>
      <w:drawing>
        <wp:inline distT="0" distB="0" distL="0" distR="0" wp14:anchorId="75497208" wp14:editId="1DA88728">
          <wp:extent cx="1324800" cy="201600"/>
          <wp:effectExtent l="0" t="0" r="0" b="8255"/>
          <wp:docPr id="1609895721" name="Picture 16098957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r w:rsidRPr="00565A52">
      <w:t xml:space="preserve">Last updated: </w:t>
    </w:r>
    <w:r>
      <w:fldChar w:fldCharType="begin"/>
    </w:r>
    <w:r>
      <w:instrText xml:space="preserve"> SAVEDATE  \@ "d MMMM yyyy"  \* MERGEFORMAT </w:instrText>
    </w:r>
    <w:r>
      <w:fldChar w:fldCharType="separate"/>
    </w:r>
    <w:r w:rsidR="002D1C98">
      <w:rPr>
        <w:noProof/>
      </w:rPr>
      <w:t>18 August 2026</w:t>
    </w:r>
    <w:r>
      <w:fldChar w:fldCharType="end"/>
    </w:r>
    <w:r>
      <w:t xml:space="preserve"> </w:t>
    </w:r>
    <w:r w:rsidR="007B06BE">
      <w:t xml:space="preserve"> </w:t>
    </w:r>
    <w:r>
      <w:t xml:space="preserve">| </w:t>
    </w:r>
    <w:r w:rsidRPr="00565A52">
      <w:t xml:space="preserve"> </w:t>
    </w:r>
    <w:r w:rsidRPr="00565A52">
      <w:fldChar w:fldCharType="begin"/>
    </w:r>
    <w:r w:rsidRPr="00565A52">
      <w:instrText xml:space="preserve"> PAGE   \* MERGEFORMAT </w:instrText>
    </w:r>
    <w:r w:rsidRPr="00565A52">
      <w:fldChar w:fldCharType="separate"/>
    </w:r>
    <w:r>
      <w:t>1</w:t>
    </w:r>
    <w:r w:rsidRPr="00565A5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5F1F0" w14:textId="78337317" w:rsidR="00300C95" w:rsidRPr="00E81A92" w:rsidRDefault="00E81A92" w:rsidP="00BA123B">
    <w:pPr>
      <w:pStyle w:val="Footer"/>
      <w:tabs>
        <w:tab w:val="clear" w:pos="4320"/>
        <w:tab w:val="clear" w:pos="8640"/>
        <w:tab w:val="center" w:pos="7938"/>
      </w:tabs>
      <w:jc w:val="right"/>
    </w:pPr>
    <w:r w:rsidRPr="00AC3B66">
      <w:rPr>
        <w:noProof/>
        <w:position w:val="-10"/>
      </w:rPr>
      <w:drawing>
        <wp:inline distT="0" distB="0" distL="0" distR="0" wp14:anchorId="743BC38E" wp14:editId="08794BF5">
          <wp:extent cx="1324800" cy="201600"/>
          <wp:effectExtent l="0" t="0" r="0" b="8255"/>
          <wp:docPr id="1383380980" name="Picture 13833809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t xml:space="preserve">| </w:t>
    </w:r>
    <w:r w:rsidRPr="00565A52">
      <w:t xml:space="preserve"> </w:t>
    </w:r>
    <w:r w:rsidRPr="00565A52">
      <w:fldChar w:fldCharType="begin"/>
    </w:r>
    <w:r w:rsidRPr="00565A52">
      <w:instrText xml:space="preserve"> PAGE   \* MERGEFORMAT </w:instrText>
    </w:r>
    <w:r w:rsidRPr="00565A52">
      <w:fldChar w:fldCharType="separate"/>
    </w:r>
    <w:r>
      <w:t>1</w:t>
    </w:r>
    <w:r w:rsidRPr="00565A5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9EB8E" w14:textId="77777777" w:rsidR="00F71163" w:rsidRDefault="00F71163" w:rsidP="00886BC4">
      <w:r>
        <w:separator/>
      </w:r>
    </w:p>
    <w:p w14:paraId="6D6E6479" w14:textId="77777777" w:rsidR="00F71163" w:rsidRDefault="00F71163"/>
  </w:footnote>
  <w:footnote w:type="continuationSeparator" w:id="0">
    <w:p w14:paraId="1C229251" w14:textId="77777777" w:rsidR="00F71163" w:rsidRDefault="00F71163" w:rsidP="00886BC4">
      <w:r>
        <w:continuationSeparator/>
      </w:r>
    </w:p>
    <w:p w14:paraId="7553E9F7" w14:textId="77777777" w:rsidR="00F71163" w:rsidRDefault="00F71163"/>
  </w:footnote>
  <w:footnote w:type="continuationNotice" w:id="1">
    <w:p w14:paraId="505BBA17" w14:textId="77777777" w:rsidR="00F71163" w:rsidRDefault="00F711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8DC4" w14:textId="38B0CAB0" w:rsidR="006D3EE7" w:rsidRPr="00B05048" w:rsidRDefault="00FC2E34" w:rsidP="00B05048">
    <w:pPr>
      <w:pStyle w:val="Header"/>
    </w:pPr>
    <w:r>
      <w:rPr>
        <w:noProof/>
      </w:rPr>
      <w:drawing>
        <wp:anchor distT="0" distB="0" distL="114300" distR="114300" simplePos="0" relativeHeight="251660289" behindDoc="1" locked="0" layoutInCell="1" allowOverlap="1" wp14:anchorId="69E2635A" wp14:editId="7DFDEFB1">
          <wp:simplePos x="0" y="0"/>
          <wp:positionH relativeFrom="margin">
            <wp:posOffset>-1100455</wp:posOffset>
          </wp:positionH>
          <wp:positionV relativeFrom="page">
            <wp:posOffset>9525</wp:posOffset>
          </wp:positionV>
          <wp:extent cx="7599600" cy="1047600"/>
          <wp:effectExtent l="0" t="0" r="1905" b="635"/>
          <wp:wrapNone/>
          <wp:docPr id="567247026" name="Picture 567247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9600" cy="1047600"/>
                  </a:xfrm>
                  <a:prstGeom prst="rect">
                    <a:avLst/>
                  </a:prstGeom>
                  <a:extLst>
                    <a:ext uri="{FAA26D3D-D897-4be2-8F04-BA451C77F1D7}">
                      <ma14:placeholderFlag xmlns:adec="http://schemas.microsoft.com/office/drawing/2017/decorativ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cei="http://schemas.microsoft.com/office/word/2026/wordml/cei"/>
                    </a:ext>
                  </a:extLst>
                </pic:spPr>
              </pic:pic>
            </a:graphicData>
          </a:graphic>
          <wp14:sizeRelH relativeFrom="page">
            <wp14:pctWidth>0</wp14:pctWidth>
          </wp14:sizeRelH>
          <wp14:sizeRelV relativeFrom="page">
            <wp14:pctHeight>0</wp14:pctHeight>
          </wp14:sizeRelV>
        </wp:anchor>
      </w:drawing>
    </w:r>
    <w:fldSimple w:instr="STYLEREF  &quot;Fact sheet title&quot;  \* MERGEFORMAT">
      <w:r w:rsidR="00A2009B">
        <w:rPr>
          <w:noProof/>
        </w:rPr>
        <w:t>Protecting Consumers and the Promise of Superannuation in an Evolving Financial Ecosystem</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34EE" w14:textId="77777777" w:rsidR="00436B1F" w:rsidRDefault="00300C95">
    <w:pPr>
      <w:pStyle w:val="Header"/>
    </w:pPr>
    <w:r>
      <w:rPr>
        <w:noProof/>
      </w:rPr>
      <w:drawing>
        <wp:anchor distT="0" distB="0" distL="114300" distR="114300" simplePos="0" relativeHeight="251658240" behindDoc="1" locked="0" layoutInCell="1" allowOverlap="0" wp14:anchorId="0DBBF157" wp14:editId="18BFF315">
          <wp:simplePos x="0" y="0"/>
          <wp:positionH relativeFrom="margin">
            <wp:align>center</wp:align>
          </wp:positionH>
          <wp:positionV relativeFrom="page">
            <wp:align>top</wp:align>
          </wp:positionV>
          <wp:extent cx="7599600" cy="1519200"/>
          <wp:effectExtent l="0" t="0" r="1905" b="5080"/>
          <wp:wrapNone/>
          <wp:docPr id="1761227704" name="Picture 17612277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9600" cy="151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B1A8F9A"/>
    <w:lvl w:ilvl="0">
      <w:start w:val="1"/>
      <w:numFmt w:val="bullet"/>
      <w:lvlText w:val="-"/>
      <w:lvlJc w:val="left"/>
      <w:pPr>
        <w:tabs>
          <w:tab w:val="num" w:pos="623"/>
        </w:tabs>
        <w:ind w:left="623" w:hanging="340"/>
      </w:pPr>
      <w:rPr>
        <w:rFonts w:ascii="9999999" w:hAnsi="9999999" w:cs="Courier New" w:hint="default"/>
      </w:rPr>
    </w:lvl>
  </w:abstractNum>
  <w:abstractNum w:abstractNumId="1"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 w15:restartNumberingAfterBreak="0">
    <w:nsid w:val="0E0C0FEA"/>
    <w:multiLevelType w:val="multilevel"/>
    <w:tmpl w:val="143A4AF6"/>
    <w:styleLink w:val="StyleBulletedSymbolsymbol11ptLeft4cmHanging05"/>
    <w:lvl w:ilvl="0">
      <w:start w:val="1"/>
      <w:numFmt w:val="bullet"/>
      <w:lvlText w:val=""/>
      <w:lvlJc w:val="left"/>
      <w:pPr>
        <w:tabs>
          <w:tab w:val="num" w:pos="340"/>
        </w:tabs>
        <w:ind w:left="340" w:hanging="340"/>
      </w:pPr>
      <w:rPr>
        <w:rFonts w:ascii="Calibri" w:hAnsi="Calibri"/>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19B0B7A"/>
    <w:multiLevelType w:val="hybridMultilevel"/>
    <w:tmpl w:val="443E8D6A"/>
    <w:lvl w:ilvl="0" w:tplc="07EEA39C">
      <w:start w:val="1"/>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B90233"/>
    <w:multiLevelType w:val="hybridMultilevel"/>
    <w:tmpl w:val="1FECE07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DB25BF8"/>
    <w:multiLevelType w:val="multilevel"/>
    <w:tmpl w:val="EE4C9B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7B55B3"/>
    <w:multiLevelType w:val="hybridMultilevel"/>
    <w:tmpl w:val="9E5CAD34"/>
    <w:lvl w:ilvl="0" w:tplc="73E21C80">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7B46D1"/>
    <w:multiLevelType w:val="singleLevel"/>
    <w:tmpl w:val="890880B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08C2710"/>
    <w:multiLevelType w:val="multilevel"/>
    <w:tmpl w:val="5804FFF0"/>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pStyle w:val="Dash"/>
      <w:lvlText w:val="–"/>
      <w:lvlJc w:val="left"/>
      <w:pPr>
        <w:tabs>
          <w:tab w:val="num" w:pos="567"/>
        </w:tabs>
        <w:ind w:left="567" w:hanging="284"/>
      </w:pPr>
      <w:rPr>
        <w:rFonts w:ascii="Times New Roman" w:hAnsi="Times New Roman" w:cs="Times New Roman" w:hint="default"/>
        <w:b w:val="0"/>
        <w:i w:val="0"/>
      </w:rPr>
    </w:lvl>
    <w:lvl w:ilvl="2">
      <w:start w:val="1"/>
      <w:numFmt w:val="bullet"/>
      <w:pStyle w:val="DoubleDo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9"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2D84219"/>
    <w:multiLevelType w:val="multilevel"/>
    <w:tmpl w:val="F3941A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0292EC4"/>
    <w:multiLevelType w:val="hybridMultilevel"/>
    <w:tmpl w:val="459E39CE"/>
    <w:lvl w:ilvl="0" w:tplc="74E85E8A">
      <w:start w:val="1"/>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BF4BB2"/>
    <w:multiLevelType w:val="multilevel"/>
    <w:tmpl w:val="791A7F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3483767"/>
    <w:multiLevelType w:val="multilevel"/>
    <w:tmpl w:val="428AF5B0"/>
    <w:lvl w:ilvl="0">
      <w:start w:val="5"/>
      <w:numFmt w:val="decimal"/>
      <w:lvlText w:val="%1"/>
      <w:lvlJc w:val="left"/>
      <w:pPr>
        <w:ind w:left="360" w:hanging="360"/>
      </w:pPr>
      <w:rPr>
        <w:rFonts w:hint="default"/>
      </w:rPr>
    </w:lvl>
    <w:lvl w:ilvl="1">
      <w:start w:val="1"/>
      <w:numFmt w:val="decimal"/>
      <w:lvlText w:val="%1.%2"/>
      <w:lvlJc w:val="left"/>
      <w:pPr>
        <w:ind w:left="880" w:hanging="36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600" w:hanging="1440"/>
      </w:pPr>
      <w:rPr>
        <w:rFonts w:hint="default"/>
      </w:rPr>
    </w:lvl>
  </w:abstractNum>
  <w:abstractNum w:abstractNumId="14" w15:restartNumberingAfterBreak="0">
    <w:nsid w:val="55F4430E"/>
    <w:multiLevelType w:val="hybridMultilevel"/>
    <w:tmpl w:val="7F4ABA52"/>
    <w:lvl w:ilvl="0" w:tplc="72B4F52E">
      <w:start w:val="1"/>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AD61FE"/>
    <w:multiLevelType w:val="singleLevel"/>
    <w:tmpl w:val="12BC0E2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5B8E0DED"/>
    <w:multiLevelType w:val="hybridMultilevel"/>
    <w:tmpl w:val="420E9DAE"/>
    <w:lvl w:ilvl="0" w:tplc="5BCC39D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CF45DC"/>
    <w:multiLevelType w:val="multilevel"/>
    <w:tmpl w:val="83AE229E"/>
    <w:name w:val="StandardNumberedList"/>
    <w:lvl w:ilvl="0">
      <w:start w:val="1"/>
      <w:numFmt w:val="decimal"/>
      <w:pStyle w:val="OutlineNumbered1"/>
      <w:lvlText w:val="%1."/>
      <w:lvlJc w:val="left"/>
      <w:pPr>
        <w:tabs>
          <w:tab w:val="num" w:pos="850"/>
        </w:tabs>
        <w:ind w:left="850" w:hanging="850"/>
      </w:pPr>
    </w:lvl>
    <w:lvl w:ilvl="1">
      <w:start w:val="1"/>
      <w:numFmt w:val="decimal"/>
      <w:pStyle w:val="OutlineNumbered2"/>
      <w:lvlText w:val="%1.%2."/>
      <w:lvlJc w:val="left"/>
      <w:pPr>
        <w:tabs>
          <w:tab w:val="num" w:pos="1700"/>
        </w:tabs>
        <w:ind w:left="1700" w:hanging="850"/>
      </w:pPr>
    </w:lvl>
    <w:lvl w:ilvl="2">
      <w:start w:val="1"/>
      <w:numFmt w:val="decimal"/>
      <w:pStyle w:val="OutlineNumbered3"/>
      <w:lvlText w:val="%1.%2.%3."/>
      <w:lvlJc w:val="left"/>
      <w:pPr>
        <w:tabs>
          <w:tab w:val="num" w:pos="2550"/>
        </w:tabs>
        <w:ind w:left="2550" w:hanging="85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0DC0F9E"/>
    <w:multiLevelType w:val="hybridMultilevel"/>
    <w:tmpl w:val="FFFFFFFF"/>
    <w:lvl w:ilvl="0" w:tplc="66FC5118">
      <w:start w:val="1"/>
      <w:numFmt w:val="bullet"/>
      <w:lvlText w:val="-"/>
      <w:lvlJc w:val="left"/>
      <w:pPr>
        <w:ind w:left="720" w:hanging="360"/>
      </w:pPr>
      <w:rPr>
        <w:rFonts w:ascii="Aptos" w:hAnsi="Aptos" w:hint="default"/>
      </w:rPr>
    </w:lvl>
    <w:lvl w:ilvl="1" w:tplc="9EFA6D14">
      <w:start w:val="1"/>
      <w:numFmt w:val="bullet"/>
      <w:lvlText w:val="o"/>
      <w:lvlJc w:val="left"/>
      <w:pPr>
        <w:ind w:left="1440" w:hanging="360"/>
      </w:pPr>
      <w:rPr>
        <w:rFonts w:ascii="Courier New" w:hAnsi="Courier New" w:hint="default"/>
      </w:rPr>
    </w:lvl>
    <w:lvl w:ilvl="2" w:tplc="2E6C6F08">
      <w:start w:val="1"/>
      <w:numFmt w:val="bullet"/>
      <w:lvlText w:val=""/>
      <w:lvlJc w:val="left"/>
      <w:pPr>
        <w:ind w:left="2160" w:hanging="360"/>
      </w:pPr>
      <w:rPr>
        <w:rFonts w:ascii="Wingdings" w:hAnsi="Wingdings" w:hint="default"/>
      </w:rPr>
    </w:lvl>
    <w:lvl w:ilvl="3" w:tplc="24ECF79A">
      <w:start w:val="1"/>
      <w:numFmt w:val="bullet"/>
      <w:lvlText w:val=""/>
      <w:lvlJc w:val="left"/>
      <w:pPr>
        <w:ind w:left="2880" w:hanging="360"/>
      </w:pPr>
      <w:rPr>
        <w:rFonts w:ascii="Symbol" w:hAnsi="Symbol" w:hint="default"/>
      </w:rPr>
    </w:lvl>
    <w:lvl w:ilvl="4" w:tplc="98E63258">
      <w:start w:val="1"/>
      <w:numFmt w:val="bullet"/>
      <w:lvlText w:val="o"/>
      <w:lvlJc w:val="left"/>
      <w:pPr>
        <w:ind w:left="3600" w:hanging="360"/>
      </w:pPr>
      <w:rPr>
        <w:rFonts w:ascii="Courier New" w:hAnsi="Courier New" w:hint="default"/>
      </w:rPr>
    </w:lvl>
    <w:lvl w:ilvl="5" w:tplc="C3FAC338">
      <w:start w:val="1"/>
      <w:numFmt w:val="bullet"/>
      <w:lvlText w:val=""/>
      <w:lvlJc w:val="left"/>
      <w:pPr>
        <w:ind w:left="4320" w:hanging="360"/>
      </w:pPr>
      <w:rPr>
        <w:rFonts w:ascii="Wingdings" w:hAnsi="Wingdings" w:hint="default"/>
      </w:rPr>
    </w:lvl>
    <w:lvl w:ilvl="6" w:tplc="C212C538">
      <w:start w:val="1"/>
      <w:numFmt w:val="bullet"/>
      <w:lvlText w:val=""/>
      <w:lvlJc w:val="left"/>
      <w:pPr>
        <w:ind w:left="5040" w:hanging="360"/>
      </w:pPr>
      <w:rPr>
        <w:rFonts w:ascii="Symbol" w:hAnsi="Symbol" w:hint="default"/>
      </w:rPr>
    </w:lvl>
    <w:lvl w:ilvl="7" w:tplc="8B3ABA80">
      <w:start w:val="1"/>
      <w:numFmt w:val="bullet"/>
      <w:lvlText w:val="o"/>
      <w:lvlJc w:val="left"/>
      <w:pPr>
        <w:ind w:left="5760" w:hanging="360"/>
      </w:pPr>
      <w:rPr>
        <w:rFonts w:ascii="Courier New" w:hAnsi="Courier New" w:hint="default"/>
      </w:rPr>
    </w:lvl>
    <w:lvl w:ilvl="8" w:tplc="3ABEF5C8">
      <w:start w:val="1"/>
      <w:numFmt w:val="bullet"/>
      <w:lvlText w:val=""/>
      <w:lvlJc w:val="left"/>
      <w:pPr>
        <w:ind w:left="6480" w:hanging="360"/>
      </w:pPr>
      <w:rPr>
        <w:rFonts w:ascii="Wingdings" w:hAnsi="Wingdings" w:hint="default"/>
      </w:rPr>
    </w:lvl>
  </w:abstractNum>
  <w:abstractNum w:abstractNumId="19" w15:restartNumberingAfterBreak="0">
    <w:nsid w:val="657F007C"/>
    <w:multiLevelType w:val="multilevel"/>
    <w:tmpl w:val="6D0CFE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5D72B52"/>
    <w:multiLevelType w:val="hybridMultilevel"/>
    <w:tmpl w:val="920EA26C"/>
    <w:lvl w:ilvl="0" w:tplc="55645E92">
      <w:start w:val="1"/>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7334467"/>
    <w:multiLevelType w:val="multilevel"/>
    <w:tmpl w:val="F37ECF38"/>
    <w:styleLink w:val="StyleBulletedSymbolsymbol11ptLeft4cmHanging051"/>
    <w:lvl w:ilvl="0">
      <w:start w:val="1"/>
      <w:numFmt w:val="bullet"/>
      <w:lvlText w:val=""/>
      <w:lvlJc w:val="left"/>
      <w:pPr>
        <w:tabs>
          <w:tab w:val="num" w:pos="340"/>
        </w:tabs>
        <w:ind w:left="340" w:hanging="34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D6B5224"/>
    <w:multiLevelType w:val="multilevel"/>
    <w:tmpl w:val="58D0B304"/>
    <w:lvl w:ilvl="0">
      <w:start w:val="1"/>
      <w:numFmt w:val="bullet"/>
      <w:pStyle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9164FD"/>
    <w:multiLevelType w:val="multilevel"/>
    <w:tmpl w:val="F5E4EEA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F2343C5"/>
    <w:multiLevelType w:val="multilevel"/>
    <w:tmpl w:val="52A6206E"/>
    <w:lvl w:ilvl="0">
      <w:start w:val="4"/>
      <w:numFmt w:val="decimal"/>
      <w:lvlText w:val="%1"/>
      <w:lvlJc w:val="left"/>
      <w:pPr>
        <w:ind w:left="360" w:hanging="360"/>
      </w:pPr>
      <w:rPr>
        <w:rFonts w:hint="default"/>
      </w:rPr>
    </w:lvl>
    <w:lvl w:ilvl="1">
      <w:start w:val="1"/>
      <w:numFmt w:val="decimal"/>
      <w:lvlText w:val="%1.%2"/>
      <w:lvlJc w:val="left"/>
      <w:pPr>
        <w:ind w:left="880" w:hanging="36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600" w:hanging="1440"/>
      </w:pPr>
      <w:rPr>
        <w:rFonts w:hint="default"/>
      </w:rPr>
    </w:lvl>
  </w:abstractNum>
  <w:num w:numId="1" w16cid:durableId="862938207">
    <w:abstractNumId w:val="2"/>
  </w:num>
  <w:num w:numId="2" w16cid:durableId="96337980">
    <w:abstractNumId w:val="21"/>
  </w:num>
  <w:num w:numId="3" w16cid:durableId="1889341095">
    <w:abstractNumId w:val="15"/>
  </w:num>
  <w:num w:numId="4" w16cid:durableId="216212289">
    <w:abstractNumId w:val="16"/>
  </w:num>
  <w:num w:numId="5" w16cid:durableId="2008171716">
    <w:abstractNumId w:val="7"/>
  </w:num>
  <w:num w:numId="6" w16cid:durableId="1880582053">
    <w:abstractNumId w:val="0"/>
  </w:num>
  <w:num w:numId="7" w16cid:durableId="1278635914">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610306">
    <w:abstractNumId w:val="1"/>
  </w:num>
  <w:num w:numId="9" w16cid:durableId="690108307">
    <w:abstractNumId w:val="8"/>
  </w:num>
  <w:num w:numId="10" w16cid:durableId="741878267">
    <w:abstractNumId w:val="6"/>
  </w:num>
  <w:num w:numId="11" w16cid:durableId="1739129519">
    <w:abstractNumId w:val="9"/>
    <w:lvlOverride w:ilvl="0">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2" w16cid:durableId="2101676890">
    <w:abstractNumId w:val="9"/>
  </w:num>
  <w:num w:numId="13" w16cid:durableId="1191380896">
    <w:abstractNumId w:val="11"/>
  </w:num>
  <w:num w:numId="14" w16cid:durableId="1944223705">
    <w:abstractNumId w:val="3"/>
  </w:num>
  <w:num w:numId="15" w16cid:durableId="265894776">
    <w:abstractNumId w:val="20"/>
  </w:num>
  <w:num w:numId="16" w16cid:durableId="32000209">
    <w:abstractNumId w:val="14"/>
  </w:num>
  <w:num w:numId="17" w16cid:durableId="637226043">
    <w:abstractNumId w:val="18"/>
  </w:num>
  <w:num w:numId="18" w16cid:durableId="793214658">
    <w:abstractNumId w:val="4"/>
  </w:num>
  <w:num w:numId="19" w16cid:durableId="1223176918">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9842514">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539805">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126858">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4719573">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63056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num>
  <w:num w:numId="25" w16cid:durableId="20452505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26" w16cid:durableId="1255817295">
    <w:abstractNumId w:val="17"/>
  </w:num>
  <w:num w:numId="27" w16cid:durableId="7992236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28" w16cid:durableId="14569505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 w:numId="29" w16cid:durableId="3101326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num>
  <w:num w:numId="30" w16cid:durableId="807625426">
    <w:abstractNumId w:val="12"/>
  </w:num>
  <w:num w:numId="31" w16cid:durableId="1136987904">
    <w:abstractNumId w:val="19"/>
  </w:num>
  <w:num w:numId="32" w16cid:durableId="1512838706">
    <w:abstractNumId w:val="5"/>
  </w:num>
  <w:num w:numId="33" w16cid:durableId="1256091419">
    <w:abstractNumId w:val="24"/>
  </w:num>
  <w:num w:numId="34" w16cid:durableId="1126852648">
    <w:abstractNumId w:val="10"/>
  </w:num>
  <w:num w:numId="35" w16cid:durableId="278879771">
    <w:abstractNumId w:val="13"/>
  </w:num>
  <w:num w:numId="36" w16cid:durableId="1789737049">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83629C"/>
    <w:rsid w:val="0000252B"/>
    <w:rsid w:val="00002BF7"/>
    <w:rsid w:val="000038C3"/>
    <w:rsid w:val="00005F05"/>
    <w:rsid w:val="00006E3C"/>
    <w:rsid w:val="000077A2"/>
    <w:rsid w:val="000077D5"/>
    <w:rsid w:val="00007BF6"/>
    <w:rsid w:val="00010246"/>
    <w:rsid w:val="000107A9"/>
    <w:rsid w:val="0001129A"/>
    <w:rsid w:val="00011CD1"/>
    <w:rsid w:val="00011F2D"/>
    <w:rsid w:val="00012162"/>
    <w:rsid w:val="000121C2"/>
    <w:rsid w:val="000137FB"/>
    <w:rsid w:val="000138AD"/>
    <w:rsid w:val="00014092"/>
    <w:rsid w:val="0001485F"/>
    <w:rsid w:val="00015939"/>
    <w:rsid w:val="00016670"/>
    <w:rsid w:val="00016B6C"/>
    <w:rsid w:val="00017058"/>
    <w:rsid w:val="00017393"/>
    <w:rsid w:val="000177E1"/>
    <w:rsid w:val="000209DE"/>
    <w:rsid w:val="0002151A"/>
    <w:rsid w:val="000216A8"/>
    <w:rsid w:val="00022880"/>
    <w:rsid w:val="000247ED"/>
    <w:rsid w:val="00024E5F"/>
    <w:rsid w:val="000275D8"/>
    <w:rsid w:val="00027622"/>
    <w:rsid w:val="000307E2"/>
    <w:rsid w:val="000308BB"/>
    <w:rsid w:val="000315B7"/>
    <w:rsid w:val="00032131"/>
    <w:rsid w:val="00032211"/>
    <w:rsid w:val="000324D1"/>
    <w:rsid w:val="00032C42"/>
    <w:rsid w:val="000336C7"/>
    <w:rsid w:val="00033942"/>
    <w:rsid w:val="00033FC3"/>
    <w:rsid w:val="000345C6"/>
    <w:rsid w:val="00035644"/>
    <w:rsid w:val="00037441"/>
    <w:rsid w:val="000402AF"/>
    <w:rsid w:val="00041734"/>
    <w:rsid w:val="000421F9"/>
    <w:rsid w:val="00042335"/>
    <w:rsid w:val="0004288E"/>
    <w:rsid w:val="00042E4F"/>
    <w:rsid w:val="0004324B"/>
    <w:rsid w:val="00043564"/>
    <w:rsid w:val="00043D13"/>
    <w:rsid w:val="00044E6A"/>
    <w:rsid w:val="00045AA8"/>
    <w:rsid w:val="00045C24"/>
    <w:rsid w:val="00046885"/>
    <w:rsid w:val="0004733B"/>
    <w:rsid w:val="00047C7D"/>
    <w:rsid w:val="00051B8A"/>
    <w:rsid w:val="00052CED"/>
    <w:rsid w:val="00052F31"/>
    <w:rsid w:val="000536D6"/>
    <w:rsid w:val="00054DA3"/>
    <w:rsid w:val="00055922"/>
    <w:rsid w:val="00055989"/>
    <w:rsid w:val="000562E0"/>
    <w:rsid w:val="000566DD"/>
    <w:rsid w:val="000579B3"/>
    <w:rsid w:val="000600B3"/>
    <w:rsid w:val="00060393"/>
    <w:rsid w:val="00060C76"/>
    <w:rsid w:val="000614F0"/>
    <w:rsid w:val="000641FD"/>
    <w:rsid w:val="00065200"/>
    <w:rsid w:val="00065458"/>
    <w:rsid w:val="00065F98"/>
    <w:rsid w:val="000660C6"/>
    <w:rsid w:val="00066115"/>
    <w:rsid w:val="000663DC"/>
    <w:rsid w:val="00067E65"/>
    <w:rsid w:val="0007021A"/>
    <w:rsid w:val="0007027E"/>
    <w:rsid w:val="000705FC"/>
    <w:rsid w:val="00070E94"/>
    <w:rsid w:val="00070FA6"/>
    <w:rsid w:val="0007425D"/>
    <w:rsid w:val="000753CE"/>
    <w:rsid w:val="00075418"/>
    <w:rsid w:val="00075B38"/>
    <w:rsid w:val="000777F3"/>
    <w:rsid w:val="00077BE5"/>
    <w:rsid w:val="000808F6"/>
    <w:rsid w:val="00081696"/>
    <w:rsid w:val="00081B58"/>
    <w:rsid w:val="00083AE6"/>
    <w:rsid w:val="000841F9"/>
    <w:rsid w:val="000846EE"/>
    <w:rsid w:val="0008474D"/>
    <w:rsid w:val="00084CCC"/>
    <w:rsid w:val="000853E8"/>
    <w:rsid w:val="0008594F"/>
    <w:rsid w:val="000876FF"/>
    <w:rsid w:val="00090ECD"/>
    <w:rsid w:val="00093652"/>
    <w:rsid w:val="000945F2"/>
    <w:rsid w:val="000952CC"/>
    <w:rsid w:val="00095437"/>
    <w:rsid w:val="000955BD"/>
    <w:rsid w:val="000957F0"/>
    <w:rsid w:val="00095F57"/>
    <w:rsid w:val="0009683A"/>
    <w:rsid w:val="000A012C"/>
    <w:rsid w:val="000A15E5"/>
    <w:rsid w:val="000A1683"/>
    <w:rsid w:val="000A1C31"/>
    <w:rsid w:val="000A26B1"/>
    <w:rsid w:val="000A3836"/>
    <w:rsid w:val="000A3EF3"/>
    <w:rsid w:val="000A4D2D"/>
    <w:rsid w:val="000A59D2"/>
    <w:rsid w:val="000A64E1"/>
    <w:rsid w:val="000A68C4"/>
    <w:rsid w:val="000A6B16"/>
    <w:rsid w:val="000B1AF6"/>
    <w:rsid w:val="000B1DB8"/>
    <w:rsid w:val="000B1EC3"/>
    <w:rsid w:val="000B348E"/>
    <w:rsid w:val="000B354A"/>
    <w:rsid w:val="000B37EB"/>
    <w:rsid w:val="000B39B9"/>
    <w:rsid w:val="000B3C90"/>
    <w:rsid w:val="000B4379"/>
    <w:rsid w:val="000B43E9"/>
    <w:rsid w:val="000B46F3"/>
    <w:rsid w:val="000B4C31"/>
    <w:rsid w:val="000B5401"/>
    <w:rsid w:val="000B63DF"/>
    <w:rsid w:val="000B6FC3"/>
    <w:rsid w:val="000C02C9"/>
    <w:rsid w:val="000C1737"/>
    <w:rsid w:val="000C253F"/>
    <w:rsid w:val="000C43ED"/>
    <w:rsid w:val="000C4930"/>
    <w:rsid w:val="000D179B"/>
    <w:rsid w:val="000D2770"/>
    <w:rsid w:val="000D280A"/>
    <w:rsid w:val="000D33F2"/>
    <w:rsid w:val="000D3B4D"/>
    <w:rsid w:val="000D3D99"/>
    <w:rsid w:val="000D3EA6"/>
    <w:rsid w:val="000D462C"/>
    <w:rsid w:val="000D49AE"/>
    <w:rsid w:val="000D52D0"/>
    <w:rsid w:val="000D6114"/>
    <w:rsid w:val="000D6F01"/>
    <w:rsid w:val="000D7A2F"/>
    <w:rsid w:val="000D7D2F"/>
    <w:rsid w:val="000E21C2"/>
    <w:rsid w:val="000E29A0"/>
    <w:rsid w:val="000E2FC5"/>
    <w:rsid w:val="000E324C"/>
    <w:rsid w:val="000E36C8"/>
    <w:rsid w:val="000E6758"/>
    <w:rsid w:val="000E6DBE"/>
    <w:rsid w:val="000E7335"/>
    <w:rsid w:val="000E7775"/>
    <w:rsid w:val="000E7F88"/>
    <w:rsid w:val="000F05A2"/>
    <w:rsid w:val="000F05AE"/>
    <w:rsid w:val="000F08B0"/>
    <w:rsid w:val="000F0FAC"/>
    <w:rsid w:val="000F20D2"/>
    <w:rsid w:val="000F2451"/>
    <w:rsid w:val="000F2493"/>
    <w:rsid w:val="000F2562"/>
    <w:rsid w:val="000F2A8D"/>
    <w:rsid w:val="000F33C9"/>
    <w:rsid w:val="000F3D7E"/>
    <w:rsid w:val="000F49B4"/>
    <w:rsid w:val="000F5AF9"/>
    <w:rsid w:val="000F6292"/>
    <w:rsid w:val="000F6915"/>
    <w:rsid w:val="000F7465"/>
    <w:rsid w:val="001001BA"/>
    <w:rsid w:val="0010028C"/>
    <w:rsid w:val="00102238"/>
    <w:rsid w:val="001036E5"/>
    <w:rsid w:val="0010431C"/>
    <w:rsid w:val="00104B70"/>
    <w:rsid w:val="00104F3E"/>
    <w:rsid w:val="0010515D"/>
    <w:rsid w:val="00105645"/>
    <w:rsid w:val="00105EBE"/>
    <w:rsid w:val="00106FF1"/>
    <w:rsid w:val="001076BE"/>
    <w:rsid w:val="00107A45"/>
    <w:rsid w:val="00107AB9"/>
    <w:rsid w:val="00110768"/>
    <w:rsid w:val="00111AFA"/>
    <w:rsid w:val="00113042"/>
    <w:rsid w:val="001133A6"/>
    <w:rsid w:val="001134F0"/>
    <w:rsid w:val="001145FD"/>
    <w:rsid w:val="001151D5"/>
    <w:rsid w:val="00115951"/>
    <w:rsid w:val="00115A35"/>
    <w:rsid w:val="00115B2E"/>
    <w:rsid w:val="0011628E"/>
    <w:rsid w:val="00116BB1"/>
    <w:rsid w:val="0012021C"/>
    <w:rsid w:val="001215E4"/>
    <w:rsid w:val="001234FF"/>
    <w:rsid w:val="00123844"/>
    <w:rsid w:val="0012405B"/>
    <w:rsid w:val="00124081"/>
    <w:rsid w:val="00124DE1"/>
    <w:rsid w:val="001253EA"/>
    <w:rsid w:val="00126DA2"/>
    <w:rsid w:val="001326FA"/>
    <w:rsid w:val="001333EC"/>
    <w:rsid w:val="001345B2"/>
    <w:rsid w:val="001348B6"/>
    <w:rsid w:val="00135239"/>
    <w:rsid w:val="0013525F"/>
    <w:rsid w:val="00135266"/>
    <w:rsid w:val="00135767"/>
    <w:rsid w:val="00135B00"/>
    <w:rsid w:val="00135E91"/>
    <w:rsid w:val="001363E7"/>
    <w:rsid w:val="001369E7"/>
    <w:rsid w:val="001376CC"/>
    <w:rsid w:val="00140560"/>
    <w:rsid w:val="00140697"/>
    <w:rsid w:val="0014178A"/>
    <w:rsid w:val="00142295"/>
    <w:rsid w:val="0014268F"/>
    <w:rsid w:val="001427E9"/>
    <w:rsid w:val="00142CCF"/>
    <w:rsid w:val="001441E8"/>
    <w:rsid w:val="00144467"/>
    <w:rsid w:val="00144AE0"/>
    <w:rsid w:val="00144B84"/>
    <w:rsid w:val="00144B9F"/>
    <w:rsid w:val="00144FFA"/>
    <w:rsid w:val="0014543F"/>
    <w:rsid w:val="001455D8"/>
    <w:rsid w:val="00145B34"/>
    <w:rsid w:val="0014623D"/>
    <w:rsid w:val="0014686E"/>
    <w:rsid w:val="001477CB"/>
    <w:rsid w:val="0015079C"/>
    <w:rsid w:val="001523AA"/>
    <w:rsid w:val="00152821"/>
    <w:rsid w:val="0015282A"/>
    <w:rsid w:val="001538FA"/>
    <w:rsid w:val="00154D2E"/>
    <w:rsid w:val="00155A73"/>
    <w:rsid w:val="001563B4"/>
    <w:rsid w:val="00156D83"/>
    <w:rsid w:val="0015700C"/>
    <w:rsid w:val="00160A84"/>
    <w:rsid w:val="00160D55"/>
    <w:rsid w:val="0016173D"/>
    <w:rsid w:val="00161921"/>
    <w:rsid w:val="0016296D"/>
    <w:rsid w:val="001649D1"/>
    <w:rsid w:val="00166434"/>
    <w:rsid w:val="001664E9"/>
    <w:rsid w:val="00166A45"/>
    <w:rsid w:val="001707B7"/>
    <w:rsid w:val="001707BB"/>
    <w:rsid w:val="001707FC"/>
    <w:rsid w:val="00170C09"/>
    <w:rsid w:val="00170D5E"/>
    <w:rsid w:val="00174954"/>
    <w:rsid w:val="00177025"/>
    <w:rsid w:val="00177BB7"/>
    <w:rsid w:val="00177FAE"/>
    <w:rsid w:val="00180615"/>
    <w:rsid w:val="00180954"/>
    <w:rsid w:val="00181C1F"/>
    <w:rsid w:val="00182104"/>
    <w:rsid w:val="00182E9E"/>
    <w:rsid w:val="00183F40"/>
    <w:rsid w:val="00185EB0"/>
    <w:rsid w:val="00187908"/>
    <w:rsid w:val="00187F7C"/>
    <w:rsid w:val="00190D7B"/>
    <w:rsid w:val="00190D82"/>
    <w:rsid w:val="00192367"/>
    <w:rsid w:val="0019286D"/>
    <w:rsid w:val="001929D8"/>
    <w:rsid w:val="00193406"/>
    <w:rsid w:val="001937E7"/>
    <w:rsid w:val="00193905"/>
    <w:rsid w:val="00194BE1"/>
    <w:rsid w:val="00195A26"/>
    <w:rsid w:val="00196A21"/>
    <w:rsid w:val="00196AA5"/>
    <w:rsid w:val="00197414"/>
    <w:rsid w:val="001974E1"/>
    <w:rsid w:val="00197A62"/>
    <w:rsid w:val="001A022A"/>
    <w:rsid w:val="001A140E"/>
    <w:rsid w:val="001A3DF3"/>
    <w:rsid w:val="001A47A0"/>
    <w:rsid w:val="001A5155"/>
    <w:rsid w:val="001A594D"/>
    <w:rsid w:val="001A5DCC"/>
    <w:rsid w:val="001A647C"/>
    <w:rsid w:val="001A652F"/>
    <w:rsid w:val="001A6768"/>
    <w:rsid w:val="001A76E1"/>
    <w:rsid w:val="001B0655"/>
    <w:rsid w:val="001B07D3"/>
    <w:rsid w:val="001B136E"/>
    <w:rsid w:val="001B2641"/>
    <w:rsid w:val="001B3A29"/>
    <w:rsid w:val="001B512A"/>
    <w:rsid w:val="001B540E"/>
    <w:rsid w:val="001B5C39"/>
    <w:rsid w:val="001B6D5E"/>
    <w:rsid w:val="001B7C95"/>
    <w:rsid w:val="001C014D"/>
    <w:rsid w:val="001C19B8"/>
    <w:rsid w:val="001C2CC4"/>
    <w:rsid w:val="001C30BF"/>
    <w:rsid w:val="001C3B93"/>
    <w:rsid w:val="001C4776"/>
    <w:rsid w:val="001C5033"/>
    <w:rsid w:val="001C5117"/>
    <w:rsid w:val="001C568F"/>
    <w:rsid w:val="001C5A78"/>
    <w:rsid w:val="001C65A1"/>
    <w:rsid w:val="001C78AE"/>
    <w:rsid w:val="001C7AFF"/>
    <w:rsid w:val="001D0610"/>
    <w:rsid w:val="001D08D6"/>
    <w:rsid w:val="001D0BD0"/>
    <w:rsid w:val="001D1382"/>
    <w:rsid w:val="001D15DA"/>
    <w:rsid w:val="001D1AF2"/>
    <w:rsid w:val="001D248B"/>
    <w:rsid w:val="001D2DBF"/>
    <w:rsid w:val="001D340E"/>
    <w:rsid w:val="001D3B2F"/>
    <w:rsid w:val="001D3CEC"/>
    <w:rsid w:val="001D45A4"/>
    <w:rsid w:val="001D510E"/>
    <w:rsid w:val="001D5280"/>
    <w:rsid w:val="001D5E26"/>
    <w:rsid w:val="001D6393"/>
    <w:rsid w:val="001D7E62"/>
    <w:rsid w:val="001E073C"/>
    <w:rsid w:val="001E0887"/>
    <w:rsid w:val="001E1D07"/>
    <w:rsid w:val="001E2C56"/>
    <w:rsid w:val="001E2F25"/>
    <w:rsid w:val="001E2F5C"/>
    <w:rsid w:val="001E35B0"/>
    <w:rsid w:val="001E3C04"/>
    <w:rsid w:val="001E4941"/>
    <w:rsid w:val="001E5623"/>
    <w:rsid w:val="001E5F02"/>
    <w:rsid w:val="001E5FC3"/>
    <w:rsid w:val="001E6423"/>
    <w:rsid w:val="001E679C"/>
    <w:rsid w:val="001E6DC2"/>
    <w:rsid w:val="001E7840"/>
    <w:rsid w:val="001E7CF5"/>
    <w:rsid w:val="001F0999"/>
    <w:rsid w:val="001F125E"/>
    <w:rsid w:val="001F206D"/>
    <w:rsid w:val="001F2672"/>
    <w:rsid w:val="001F3E5F"/>
    <w:rsid w:val="001F3FA7"/>
    <w:rsid w:val="001F4561"/>
    <w:rsid w:val="001F50DA"/>
    <w:rsid w:val="001F5BBC"/>
    <w:rsid w:val="001F5CE2"/>
    <w:rsid w:val="001F60A0"/>
    <w:rsid w:val="001F6337"/>
    <w:rsid w:val="00202ED5"/>
    <w:rsid w:val="00203245"/>
    <w:rsid w:val="00203670"/>
    <w:rsid w:val="00204B98"/>
    <w:rsid w:val="00205D23"/>
    <w:rsid w:val="00205F44"/>
    <w:rsid w:val="00206BAD"/>
    <w:rsid w:val="00207BB9"/>
    <w:rsid w:val="00207E08"/>
    <w:rsid w:val="00210139"/>
    <w:rsid w:val="002105F8"/>
    <w:rsid w:val="00211644"/>
    <w:rsid w:val="0021255A"/>
    <w:rsid w:val="00215EE7"/>
    <w:rsid w:val="00216070"/>
    <w:rsid w:val="002207A3"/>
    <w:rsid w:val="00221040"/>
    <w:rsid w:val="002212E5"/>
    <w:rsid w:val="002217AC"/>
    <w:rsid w:val="002224E5"/>
    <w:rsid w:val="00222DD1"/>
    <w:rsid w:val="00223081"/>
    <w:rsid w:val="00223D87"/>
    <w:rsid w:val="002241AD"/>
    <w:rsid w:val="00224A17"/>
    <w:rsid w:val="002257B7"/>
    <w:rsid w:val="002261A3"/>
    <w:rsid w:val="002268AB"/>
    <w:rsid w:val="00226C0D"/>
    <w:rsid w:val="00226F00"/>
    <w:rsid w:val="0022749C"/>
    <w:rsid w:val="002276B8"/>
    <w:rsid w:val="00227C77"/>
    <w:rsid w:val="00227FE0"/>
    <w:rsid w:val="00230C30"/>
    <w:rsid w:val="00231423"/>
    <w:rsid w:val="00231AFC"/>
    <w:rsid w:val="00232446"/>
    <w:rsid w:val="002329A7"/>
    <w:rsid w:val="00233887"/>
    <w:rsid w:val="00233A88"/>
    <w:rsid w:val="0023413F"/>
    <w:rsid w:val="00234626"/>
    <w:rsid w:val="00236964"/>
    <w:rsid w:val="00236F26"/>
    <w:rsid w:val="002379A6"/>
    <w:rsid w:val="002407DE"/>
    <w:rsid w:val="0024126C"/>
    <w:rsid w:val="00241B9A"/>
    <w:rsid w:val="0024226F"/>
    <w:rsid w:val="002423E7"/>
    <w:rsid w:val="002426D3"/>
    <w:rsid w:val="00242941"/>
    <w:rsid w:val="0024348F"/>
    <w:rsid w:val="00243B59"/>
    <w:rsid w:val="00243D72"/>
    <w:rsid w:val="00244394"/>
    <w:rsid w:val="002446F3"/>
    <w:rsid w:val="00244C54"/>
    <w:rsid w:val="00245342"/>
    <w:rsid w:val="002460CA"/>
    <w:rsid w:val="002462BD"/>
    <w:rsid w:val="002465F6"/>
    <w:rsid w:val="002466BB"/>
    <w:rsid w:val="00250A00"/>
    <w:rsid w:val="00251525"/>
    <w:rsid w:val="00251895"/>
    <w:rsid w:val="00251EC5"/>
    <w:rsid w:val="00252395"/>
    <w:rsid w:val="002523CA"/>
    <w:rsid w:val="0025336F"/>
    <w:rsid w:val="002533E9"/>
    <w:rsid w:val="00253A38"/>
    <w:rsid w:val="002542A9"/>
    <w:rsid w:val="00255056"/>
    <w:rsid w:val="002553B6"/>
    <w:rsid w:val="0025567C"/>
    <w:rsid w:val="00255BCF"/>
    <w:rsid w:val="00255C26"/>
    <w:rsid w:val="00255D4B"/>
    <w:rsid w:val="002576D1"/>
    <w:rsid w:val="00257808"/>
    <w:rsid w:val="00257B4D"/>
    <w:rsid w:val="00257EBA"/>
    <w:rsid w:val="00260108"/>
    <w:rsid w:val="00260712"/>
    <w:rsid w:val="00261DD8"/>
    <w:rsid w:val="00262C65"/>
    <w:rsid w:val="002632E6"/>
    <w:rsid w:val="00263339"/>
    <w:rsid w:val="00264180"/>
    <w:rsid w:val="00264DC9"/>
    <w:rsid w:val="002657B0"/>
    <w:rsid w:val="00265A6A"/>
    <w:rsid w:val="002668A8"/>
    <w:rsid w:val="002668E8"/>
    <w:rsid w:val="00267742"/>
    <w:rsid w:val="0027136F"/>
    <w:rsid w:val="002737F7"/>
    <w:rsid w:val="0027432C"/>
    <w:rsid w:val="00274FBB"/>
    <w:rsid w:val="002756A9"/>
    <w:rsid w:val="002764C1"/>
    <w:rsid w:val="00276C9E"/>
    <w:rsid w:val="002806CA"/>
    <w:rsid w:val="0028070B"/>
    <w:rsid w:val="002809F6"/>
    <w:rsid w:val="00280DEF"/>
    <w:rsid w:val="00283303"/>
    <w:rsid w:val="00284DE6"/>
    <w:rsid w:val="002852E7"/>
    <w:rsid w:val="0028658D"/>
    <w:rsid w:val="0028679F"/>
    <w:rsid w:val="0028704B"/>
    <w:rsid w:val="00287062"/>
    <w:rsid w:val="00287F32"/>
    <w:rsid w:val="00290F7C"/>
    <w:rsid w:val="002911A2"/>
    <w:rsid w:val="0029134D"/>
    <w:rsid w:val="0029153E"/>
    <w:rsid w:val="0029176B"/>
    <w:rsid w:val="00291CEC"/>
    <w:rsid w:val="00291F60"/>
    <w:rsid w:val="00291FE2"/>
    <w:rsid w:val="00292F21"/>
    <w:rsid w:val="00293929"/>
    <w:rsid w:val="00293E4E"/>
    <w:rsid w:val="0029466D"/>
    <w:rsid w:val="00294A5E"/>
    <w:rsid w:val="00295F9E"/>
    <w:rsid w:val="00296907"/>
    <w:rsid w:val="002978C8"/>
    <w:rsid w:val="002A0B32"/>
    <w:rsid w:val="002A0F0C"/>
    <w:rsid w:val="002A2A39"/>
    <w:rsid w:val="002A47E6"/>
    <w:rsid w:val="002A4832"/>
    <w:rsid w:val="002A4A84"/>
    <w:rsid w:val="002A4B83"/>
    <w:rsid w:val="002A576E"/>
    <w:rsid w:val="002A5964"/>
    <w:rsid w:val="002A6291"/>
    <w:rsid w:val="002A6430"/>
    <w:rsid w:val="002A79C5"/>
    <w:rsid w:val="002B0165"/>
    <w:rsid w:val="002B02AC"/>
    <w:rsid w:val="002B070D"/>
    <w:rsid w:val="002B0723"/>
    <w:rsid w:val="002B0945"/>
    <w:rsid w:val="002B0DD8"/>
    <w:rsid w:val="002B16FA"/>
    <w:rsid w:val="002B21AF"/>
    <w:rsid w:val="002B2C04"/>
    <w:rsid w:val="002B3003"/>
    <w:rsid w:val="002B33ED"/>
    <w:rsid w:val="002B3C8E"/>
    <w:rsid w:val="002B4061"/>
    <w:rsid w:val="002B4898"/>
    <w:rsid w:val="002B4E7B"/>
    <w:rsid w:val="002B5D64"/>
    <w:rsid w:val="002B6BF3"/>
    <w:rsid w:val="002C01B9"/>
    <w:rsid w:val="002C0B6B"/>
    <w:rsid w:val="002C26D9"/>
    <w:rsid w:val="002C2E0E"/>
    <w:rsid w:val="002C358A"/>
    <w:rsid w:val="002C3B56"/>
    <w:rsid w:val="002C3F83"/>
    <w:rsid w:val="002C404D"/>
    <w:rsid w:val="002C4418"/>
    <w:rsid w:val="002C4B4C"/>
    <w:rsid w:val="002C4BAE"/>
    <w:rsid w:val="002C6F8A"/>
    <w:rsid w:val="002D1C98"/>
    <w:rsid w:val="002D273F"/>
    <w:rsid w:val="002D3952"/>
    <w:rsid w:val="002D4480"/>
    <w:rsid w:val="002D470A"/>
    <w:rsid w:val="002D49D1"/>
    <w:rsid w:val="002D50FE"/>
    <w:rsid w:val="002D51DA"/>
    <w:rsid w:val="002D5494"/>
    <w:rsid w:val="002D5B53"/>
    <w:rsid w:val="002D620D"/>
    <w:rsid w:val="002D6BBB"/>
    <w:rsid w:val="002E0354"/>
    <w:rsid w:val="002E063B"/>
    <w:rsid w:val="002E2525"/>
    <w:rsid w:val="002E2BAC"/>
    <w:rsid w:val="002E3997"/>
    <w:rsid w:val="002E3A06"/>
    <w:rsid w:val="002E3A73"/>
    <w:rsid w:val="002E3C45"/>
    <w:rsid w:val="002E5A22"/>
    <w:rsid w:val="002E5E21"/>
    <w:rsid w:val="002E5EF9"/>
    <w:rsid w:val="002F0425"/>
    <w:rsid w:val="002F074A"/>
    <w:rsid w:val="002F0C1E"/>
    <w:rsid w:val="002F21FD"/>
    <w:rsid w:val="002F28F9"/>
    <w:rsid w:val="002F2EE8"/>
    <w:rsid w:val="002F417B"/>
    <w:rsid w:val="002F55D4"/>
    <w:rsid w:val="002F55F4"/>
    <w:rsid w:val="002F5E8B"/>
    <w:rsid w:val="002F692A"/>
    <w:rsid w:val="002F6980"/>
    <w:rsid w:val="002F6A84"/>
    <w:rsid w:val="002F6ADC"/>
    <w:rsid w:val="00300253"/>
    <w:rsid w:val="00300C95"/>
    <w:rsid w:val="003029B3"/>
    <w:rsid w:val="00302CA9"/>
    <w:rsid w:val="00302E2E"/>
    <w:rsid w:val="00303B81"/>
    <w:rsid w:val="00304041"/>
    <w:rsid w:val="003054A8"/>
    <w:rsid w:val="00305D46"/>
    <w:rsid w:val="00306770"/>
    <w:rsid w:val="00307624"/>
    <w:rsid w:val="003079AD"/>
    <w:rsid w:val="00307DA3"/>
    <w:rsid w:val="0031094B"/>
    <w:rsid w:val="00310A86"/>
    <w:rsid w:val="003112ED"/>
    <w:rsid w:val="00311DF5"/>
    <w:rsid w:val="00312592"/>
    <w:rsid w:val="00312E44"/>
    <w:rsid w:val="00313B18"/>
    <w:rsid w:val="00314F5A"/>
    <w:rsid w:val="003154FB"/>
    <w:rsid w:val="00315BFB"/>
    <w:rsid w:val="003165C5"/>
    <w:rsid w:val="00316E0D"/>
    <w:rsid w:val="00316FAF"/>
    <w:rsid w:val="00316FF4"/>
    <w:rsid w:val="00317451"/>
    <w:rsid w:val="003174DF"/>
    <w:rsid w:val="00317E23"/>
    <w:rsid w:val="00320024"/>
    <w:rsid w:val="0032140D"/>
    <w:rsid w:val="003229CA"/>
    <w:rsid w:val="00323567"/>
    <w:rsid w:val="00323B6B"/>
    <w:rsid w:val="00325975"/>
    <w:rsid w:val="00325F98"/>
    <w:rsid w:val="00326AB0"/>
    <w:rsid w:val="00327D31"/>
    <w:rsid w:val="00327F09"/>
    <w:rsid w:val="003305CA"/>
    <w:rsid w:val="00330AF4"/>
    <w:rsid w:val="00330BD0"/>
    <w:rsid w:val="0033127C"/>
    <w:rsid w:val="00332127"/>
    <w:rsid w:val="00332ACA"/>
    <w:rsid w:val="0033335D"/>
    <w:rsid w:val="0033427E"/>
    <w:rsid w:val="003343B7"/>
    <w:rsid w:val="003345AD"/>
    <w:rsid w:val="00334A83"/>
    <w:rsid w:val="00334DB0"/>
    <w:rsid w:val="003364BE"/>
    <w:rsid w:val="00336CA8"/>
    <w:rsid w:val="00336ECC"/>
    <w:rsid w:val="003376FF"/>
    <w:rsid w:val="0034016A"/>
    <w:rsid w:val="0034064A"/>
    <w:rsid w:val="003409EC"/>
    <w:rsid w:val="00341D97"/>
    <w:rsid w:val="0034427A"/>
    <w:rsid w:val="0034488E"/>
    <w:rsid w:val="00344F80"/>
    <w:rsid w:val="00345176"/>
    <w:rsid w:val="003453F8"/>
    <w:rsid w:val="00345513"/>
    <w:rsid w:val="0034564D"/>
    <w:rsid w:val="00345BDC"/>
    <w:rsid w:val="003503D7"/>
    <w:rsid w:val="00350774"/>
    <w:rsid w:val="003507D8"/>
    <w:rsid w:val="00351214"/>
    <w:rsid w:val="00352611"/>
    <w:rsid w:val="00353390"/>
    <w:rsid w:val="00353BDF"/>
    <w:rsid w:val="00353EAF"/>
    <w:rsid w:val="003552AE"/>
    <w:rsid w:val="003559A2"/>
    <w:rsid w:val="003566F0"/>
    <w:rsid w:val="00356FE2"/>
    <w:rsid w:val="0035734D"/>
    <w:rsid w:val="00357842"/>
    <w:rsid w:val="00357AC1"/>
    <w:rsid w:val="00360406"/>
    <w:rsid w:val="00360D5E"/>
    <w:rsid w:val="003610FF"/>
    <w:rsid w:val="003625AA"/>
    <w:rsid w:val="003628B2"/>
    <w:rsid w:val="00363481"/>
    <w:rsid w:val="00363D51"/>
    <w:rsid w:val="00363E37"/>
    <w:rsid w:val="00366A47"/>
    <w:rsid w:val="0036714F"/>
    <w:rsid w:val="0037085C"/>
    <w:rsid w:val="00371674"/>
    <w:rsid w:val="00371F1D"/>
    <w:rsid w:val="00372AC1"/>
    <w:rsid w:val="0037351D"/>
    <w:rsid w:val="003737C3"/>
    <w:rsid w:val="00373863"/>
    <w:rsid w:val="003739A7"/>
    <w:rsid w:val="00377D60"/>
    <w:rsid w:val="0038018E"/>
    <w:rsid w:val="00380282"/>
    <w:rsid w:val="003802F4"/>
    <w:rsid w:val="0038141A"/>
    <w:rsid w:val="00381595"/>
    <w:rsid w:val="00381BA7"/>
    <w:rsid w:val="003827F5"/>
    <w:rsid w:val="0038315D"/>
    <w:rsid w:val="003831AB"/>
    <w:rsid w:val="0038365D"/>
    <w:rsid w:val="00384AAA"/>
    <w:rsid w:val="00386A18"/>
    <w:rsid w:val="00386E99"/>
    <w:rsid w:val="003903B1"/>
    <w:rsid w:val="00390C06"/>
    <w:rsid w:val="00390E67"/>
    <w:rsid w:val="00390FC9"/>
    <w:rsid w:val="00392286"/>
    <w:rsid w:val="00392BA6"/>
    <w:rsid w:val="0039368D"/>
    <w:rsid w:val="00394091"/>
    <w:rsid w:val="003A0308"/>
    <w:rsid w:val="003A0E48"/>
    <w:rsid w:val="003A1F18"/>
    <w:rsid w:val="003A202D"/>
    <w:rsid w:val="003A2B57"/>
    <w:rsid w:val="003A2E12"/>
    <w:rsid w:val="003A32B8"/>
    <w:rsid w:val="003A486B"/>
    <w:rsid w:val="003A5150"/>
    <w:rsid w:val="003A5D5F"/>
    <w:rsid w:val="003A63D1"/>
    <w:rsid w:val="003B02EB"/>
    <w:rsid w:val="003B0555"/>
    <w:rsid w:val="003B09A3"/>
    <w:rsid w:val="003B1315"/>
    <w:rsid w:val="003B1968"/>
    <w:rsid w:val="003B21C2"/>
    <w:rsid w:val="003B5508"/>
    <w:rsid w:val="003B564E"/>
    <w:rsid w:val="003B724D"/>
    <w:rsid w:val="003B79D9"/>
    <w:rsid w:val="003C00DA"/>
    <w:rsid w:val="003C01C0"/>
    <w:rsid w:val="003C047D"/>
    <w:rsid w:val="003C052C"/>
    <w:rsid w:val="003C098A"/>
    <w:rsid w:val="003C0A63"/>
    <w:rsid w:val="003C0E6E"/>
    <w:rsid w:val="003C21C4"/>
    <w:rsid w:val="003C30CF"/>
    <w:rsid w:val="003C4F86"/>
    <w:rsid w:val="003C5FAE"/>
    <w:rsid w:val="003C654C"/>
    <w:rsid w:val="003C65ED"/>
    <w:rsid w:val="003C6D1F"/>
    <w:rsid w:val="003C6EE1"/>
    <w:rsid w:val="003C789B"/>
    <w:rsid w:val="003C794C"/>
    <w:rsid w:val="003C7AFA"/>
    <w:rsid w:val="003C7D2D"/>
    <w:rsid w:val="003D0708"/>
    <w:rsid w:val="003D3811"/>
    <w:rsid w:val="003D516B"/>
    <w:rsid w:val="003D60E9"/>
    <w:rsid w:val="003D6CD0"/>
    <w:rsid w:val="003E0FE9"/>
    <w:rsid w:val="003E1F51"/>
    <w:rsid w:val="003E2251"/>
    <w:rsid w:val="003E26C5"/>
    <w:rsid w:val="003E3119"/>
    <w:rsid w:val="003E36DF"/>
    <w:rsid w:val="003E3ECA"/>
    <w:rsid w:val="003E460D"/>
    <w:rsid w:val="003E4C6C"/>
    <w:rsid w:val="003E7021"/>
    <w:rsid w:val="003E79A7"/>
    <w:rsid w:val="003F2794"/>
    <w:rsid w:val="003F2E2F"/>
    <w:rsid w:val="003F3097"/>
    <w:rsid w:val="003F31DC"/>
    <w:rsid w:val="003F424B"/>
    <w:rsid w:val="003F4647"/>
    <w:rsid w:val="003F4B4D"/>
    <w:rsid w:val="003F4C7C"/>
    <w:rsid w:val="003F515F"/>
    <w:rsid w:val="003F6C38"/>
    <w:rsid w:val="003F6F88"/>
    <w:rsid w:val="003F7459"/>
    <w:rsid w:val="003F74DA"/>
    <w:rsid w:val="003F7BF1"/>
    <w:rsid w:val="003F7D74"/>
    <w:rsid w:val="00400EBD"/>
    <w:rsid w:val="004013C3"/>
    <w:rsid w:val="00401CA9"/>
    <w:rsid w:val="00403A08"/>
    <w:rsid w:val="00403DAE"/>
    <w:rsid w:val="00404C60"/>
    <w:rsid w:val="00405A72"/>
    <w:rsid w:val="00406235"/>
    <w:rsid w:val="00413162"/>
    <w:rsid w:val="00414B15"/>
    <w:rsid w:val="00416469"/>
    <w:rsid w:val="00417106"/>
    <w:rsid w:val="004174E4"/>
    <w:rsid w:val="004217FC"/>
    <w:rsid w:val="00421889"/>
    <w:rsid w:val="00421C9F"/>
    <w:rsid w:val="00422000"/>
    <w:rsid w:val="00422CFE"/>
    <w:rsid w:val="004248AA"/>
    <w:rsid w:val="0042493E"/>
    <w:rsid w:val="00425C99"/>
    <w:rsid w:val="00425E05"/>
    <w:rsid w:val="0042794B"/>
    <w:rsid w:val="00430153"/>
    <w:rsid w:val="0043043B"/>
    <w:rsid w:val="0043080A"/>
    <w:rsid w:val="004310A2"/>
    <w:rsid w:val="00431E52"/>
    <w:rsid w:val="00431E69"/>
    <w:rsid w:val="00433634"/>
    <w:rsid w:val="00433C86"/>
    <w:rsid w:val="00433DEC"/>
    <w:rsid w:val="00435E97"/>
    <w:rsid w:val="004365C0"/>
    <w:rsid w:val="00436B1F"/>
    <w:rsid w:val="0044099E"/>
    <w:rsid w:val="00440C49"/>
    <w:rsid w:val="00441D83"/>
    <w:rsid w:val="00442C7E"/>
    <w:rsid w:val="004433B6"/>
    <w:rsid w:val="00443DA0"/>
    <w:rsid w:val="004457C0"/>
    <w:rsid w:val="00446D6D"/>
    <w:rsid w:val="00446F9A"/>
    <w:rsid w:val="004477AB"/>
    <w:rsid w:val="004503F4"/>
    <w:rsid w:val="00450790"/>
    <w:rsid w:val="00450CCE"/>
    <w:rsid w:val="0045266F"/>
    <w:rsid w:val="00452DBB"/>
    <w:rsid w:val="00452F00"/>
    <w:rsid w:val="004531F9"/>
    <w:rsid w:val="004542B7"/>
    <w:rsid w:val="004543E8"/>
    <w:rsid w:val="004546DC"/>
    <w:rsid w:val="00454A6D"/>
    <w:rsid w:val="00454CDB"/>
    <w:rsid w:val="00455228"/>
    <w:rsid w:val="00455DCB"/>
    <w:rsid w:val="004568C9"/>
    <w:rsid w:val="00456B8F"/>
    <w:rsid w:val="004576B4"/>
    <w:rsid w:val="0045790B"/>
    <w:rsid w:val="004601C4"/>
    <w:rsid w:val="00460950"/>
    <w:rsid w:val="00460A07"/>
    <w:rsid w:val="00460CE9"/>
    <w:rsid w:val="0046137C"/>
    <w:rsid w:val="004619D2"/>
    <w:rsid w:val="0046204B"/>
    <w:rsid w:val="00462800"/>
    <w:rsid w:val="0046280E"/>
    <w:rsid w:val="00463129"/>
    <w:rsid w:val="004637A1"/>
    <w:rsid w:val="004639D3"/>
    <w:rsid w:val="00463D4E"/>
    <w:rsid w:val="00464C57"/>
    <w:rsid w:val="00466000"/>
    <w:rsid w:val="00466321"/>
    <w:rsid w:val="004664D4"/>
    <w:rsid w:val="004705DF"/>
    <w:rsid w:val="004706C5"/>
    <w:rsid w:val="00470BA0"/>
    <w:rsid w:val="004715E8"/>
    <w:rsid w:val="004716B9"/>
    <w:rsid w:val="00471E55"/>
    <w:rsid w:val="0047218F"/>
    <w:rsid w:val="004730DB"/>
    <w:rsid w:val="0047383F"/>
    <w:rsid w:val="004739CF"/>
    <w:rsid w:val="00473BAD"/>
    <w:rsid w:val="00473F53"/>
    <w:rsid w:val="0047443B"/>
    <w:rsid w:val="004748CA"/>
    <w:rsid w:val="00474E7F"/>
    <w:rsid w:val="0047507F"/>
    <w:rsid w:val="0047574F"/>
    <w:rsid w:val="0047595E"/>
    <w:rsid w:val="00476D6A"/>
    <w:rsid w:val="00477439"/>
    <w:rsid w:val="0047785F"/>
    <w:rsid w:val="00481BAB"/>
    <w:rsid w:val="00481F04"/>
    <w:rsid w:val="00482003"/>
    <w:rsid w:val="004827CA"/>
    <w:rsid w:val="00482C2A"/>
    <w:rsid w:val="00483EAB"/>
    <w:rsid w:val="00484128"/>
    <w:rsid w:val="004850D9"/>
    <w:rsid w:val="00485A3D"/>
    <w:rsid w:val="00485AB9"/>
    <w:rsid w:val="00485ADD"/>
    <w:rsid w:val="00486B7C"/>
    <w:rsid w:val="00487177"/>
    <w:rsid w:val="00487AA7"/>
    <w:rsid w:val="00490C62"/>
    <w:rsid w:val="004913CC"/>
    <w:rsid w:val="004915B0"/>
    <w:rsid w:val="00491D30"/>
    <w:rsid w:val="00492C93"/>
    <w:rsid w:val="00492D30"/>
    <w:rsid w:val="004938A6"/>
    <w:rsid w:val="004941B8"/>
    <w:rsid w:val="00494BCE"/>
    <w:rsid w:val="00494E16"/>
    <w:rsid w:val="004950F4"/>
    <w:rsid w:val="00496135"/>
    <w:rsid w:val="0049673E"/>
    <w:rsid w:val="00496C34"/>
    <w:rsid w:val="004A065F"/>
    <w:rsid w:val="004A0CD8"/>
    <w:rsid w:val="004A2AFD"/>
    <w:rsid w:val="004A2E49"/>
    <w:rsid w:val="004A37EA"/>
    <w:rsid w:val="004A4424"/>
    <w:rsid w:val="004A4D43"/>
    <w:rsid w:val="004A51EA"/>
    <w:rsid w:val="004A62DB"/>
    <w:rsid w:val="004A6479"/>
    <w:rsid w:val="004A715A"/>
    <w:rsid w:val="004A7E25"/>
    <w:rsid w:val="004B031E"/>
    <w:rsid w:val="004B08DC"/>
    <w:rsid w:val="004B1F82"/>
    <w:rsid w:val="004B21B5"/>
    <w:rsid w:val="004B549D"/>
    <w:rsid w:val="004B56B0"/>
    <w:rsid w:val="004B647A"/>
    <w:rsid w:val="004B748C"/>
    <w:rsid w:val="004B79AF"/>
    <w:rsid w:val="004C191D"/>
    <w:rsid w:val="004C251B"/>
    <w:rsid w:val="004C4553"/>
    <w:rsid w:val="004C5917"/>
    <w:rsid w:val="004C5E48"/>
    <w:rsid w:val="004C645E"/>
    <w:rsid w:val="004C665B"/>
    <w:rsid w:val="004C670A"/>
    <w:rsid w:val="004C71F1"/>
    <w:rsid w:val="004C7BE7"/>
    <w:rsid w:val="004D0778"/>
    <w:rsid w:val="004D117D"/>
    <w:rsid w:val="004D1ED0"/>
    <w:rsid w:val="004D1FAF"/>
    <w:rsid w:val="004D2B96"/>
    <w:rsid w:val="004D38B7"/>
    <w:rsid w:val="004D53A7"/>
    <w:rsid w:val="004D688D"/>
    <w:rsid w:val="004D75F6"/>
    <w:rsid w:val="004D7B14"/>
    <w:rsid w:val="004E0191"/>
    <w:rsid w:val="004E0871"/>
    <w:rsid w:val="004E08BC"/>
    <w:rsid w:val="004E0948"/>
    <w:rsid w:val="004E13E6"/>
    <w:rsid w:val="004E2033"/>
    <w:rsid w:val="004E25C4"/>
    <w:rsid w:val="004E26F6"/>
    <w:rsid w:val="004E362D"/>
    <w:rsid w:val="004E3AAA"/>
    <w:rsid w:val="004E424B"/>
    <w:rsid w:val="004E6596"/>
    <w:rsid w:val="004E6C19"/>
    <w:rsid w:val="004E71FE"/>
    <w:rsid w:val="004F01F8"/>
    <w:rsid w:val="004F0486"/>
    <w:rsid w:val="004F08B5"/>
    <w:rsid w:val="004F1CC4"/>
    <w:rsid w:val="004F24D0"/>
    <w:rsid w:val="004F2512"/>
    <w:rsid w:val="004F2C2A"/>
    <w:rsid w:val="004F2C4C"/>
    <w:rsid w:val="004F3F86"/>
    <w:rsid w:val="004F43A0"/>
    <w:rsid w:val="004F65CE"/>
    <w:rsid w:val="004F6D13"/>
    <w:rsid w:val="004F7B17"/>
    <w:rsid w:val="00500AF6"/>
    <w:rsid w:val="00501443"/>
    <w:rsid w:val="00501A45"/>
    <w:rsid w:val="00502925"/>
    <w:rsid w:val="00502DCA"/>
    <w:rsid w:val="00502E10"/>
    <w:rsid w:val="00502E6C"/>
    <w:rsid w:val="005038F5"/>
    <w:rsid w:val="0050390F"/>
    <w:rsid w:val="00504438"/>
    <w:rsid w:val="00505009"/>
    <w:rsid w:val="005051A2"/>
    <w:rsid w:val="00506080"/>
    <w:rsid w:val="0050629E"/>
    <w:rsid w:val="00506BF4"/>
    <w:rsid w:val="00507097"/>
    <w:rsid w:val="0050749A"/>
    <w:rsid w:val="00507502"/>
    <w:rsid w:val="0050767A"/>
    <w:rsid w:val="00510D7C"/>
    <w:rsid w:val="00510F70"/>
    <w:rsid w:val="00511608"/>
    <w:rsid w:val="00512033"/>
    <w:rsid w:val="00512318"/>
    <w:rsid w:val="005128D7"/>
    <w:rsid w:val="00512BBD"/>
    <w:rsid w:val="00513789"/>
    <w:rsid w:val="00513E0C"/>
    <w:rsid w:val="0051490E"/>
    <w:rsid w:val="0051600D"/>
    <w:rsid w:val="00516FB2"/>
    <w:rsid w:val="00517ECD"/>
    <w:rsid w:val="005209A7"/>
    <w:rsid w:val="00521225"/>
    <w:rsid w:val="0052128C"/>
    <w:rsid w:val="005213B7"/>
    <w:rsid w:val="00521DF7"/>
    <w:rsid w:val="00521E83"/>
    <w:rsid w:val="00522191"/>
    <w:rsid w:val="005228EF"/>
    <w:rsid w:val="00523917"/>
    <w:rsid w:val="00523952"/>
    <w:rsid w:val="00524496"/>
    <w:rsid w:val="00524DCE"/>
    <w:rsid w:val="00525050"/>
    <w:rsid w:val="005250F3"/>
    <w:rsid w:val="0052567A"/>
    <w:rsid w:val="00525B77"/>
    <w:rsid w:val="00526EA3"/>
    <w:rsid w:val="00527AD1"/>
    <w:rsid w:val="0053110F"/>
    <w:rsid w:val="00531BB5"/>
    <w:rsid w:val="005324D9"/>
    <w:rsid w:val="005325D2"/>
    <w:rsid w:val="00532A38"/>
    <w:rsid w:val="00532C5E"/>
    <w:rsid w:val="00533FEF"/>
    <w:rsid w:val="00534254"/>
    <w:rsid w:val="00534523"/>
    <w:rsid w:val="00534AC8"/>
    <w:rsid w:val="0053533A"/>
    <w:rsid w:val="00535C81"/>
    <w:rsid w:val="00535DDE"/>
    <w:rsid w:val="005365E6"/>
    <w:rsid w:val="00536E4D"/>
    <w:rsid w:val="00537AB0"/>
    <w:rsid w:val="00542474"/>
    <w:rsid w:val="00542565"/>
    <w:rsid w:val="00542AF2"/>
    <w:rsid w:val="00542FE2"/>
    <w:rsid w:val="00544B46"/>
    <w:rsid w:val="00544B8C"/>
    <w:rsid w:val="00544DF5"/>
    <w:rsid w:val="00545D21"/>
    <w:rsid w:val="0054632C"/>
    <w:rsid w:val="0054634E"/>
    <w:rsid w:val="00546D8E"/>
    <w:rsid w:val="00546E96"/>
    <w:rsid w:val="00546FDD"/>
    <w:rsid w:val="005472E1"/>
    <w:rsid w:val="00550265"/>
    <w:rsid w:val="0055049E"/>
    <w:rsid w:val="005511F9"/>
    <w:rsid w:val="00551340"/>
    <w:rsid w:val="005513E5"/>
    <w:rsid w:val="00551C57"/>
    <w:rsid w:val="005520D7"/>
    <w:rsid w:val="0055243A"/>
    <w:rsid w:val="00553629"/>
    <w:rsid w:val="00553B11"/>
    <w:rsid w:val="00554891"/>
    <w:rsid w:val="00555F8F"/>
    <w:rsid w:val="00556059"/>
    <w:rsid w:val="00557659"/>
    <w:rsid w:val="0056009C"/>
    <w:rsid w:val="00560106"/>
    <w:rsid w:val="005606FD"/>
    <w:rsid w:val="00560C3A"/>
    <w:rsid w:val="005613BD"/>
    <w:rsid w:val="005613D8"/>
    <w:rsid w:val="00562F7B"/>
    <w:rsid w:val="00563217"/>
    <w:rsid w:val="00564AD8"/>
    <w:rsid w:val="00565942"/>
    <w:rsid w:val="00565A52"/>
    <w:rsid w:val="00565AEA"/>
    <w:rsid w:val="00565D1C"/>
    <w:rsid w:val="005663BF"/>
    <w:rsid w:val="00566AD8"/>
    <w:rsid w:val="00567966"/>
    <w:rsid w:val="00567B1C"/>
    <w:rsid w:val="00567F23"/>
    <w:rsid w:val="00570099"/>
    <w:rsid w:val="005703A1"/>
    <w:rsid w:val="00570B86"/>
    <w:rsid w:val="00570BC7"/>
    <w:rsid w:val="00570FC7"/>
    <w:rsid w:val="00571906"/>
    <w:rsid w:val="005723D4"/>
    <w:rsid w:val="00572FF0"/>
    <w:rsid w:val="005732EB"/>
    <w:rsid w:val="0057338C"/>
    <w:rsid w:val="0057393E"/>
    <w:rsid w:val="00573BD1"/>
    <w:rsid w:val="00573EE8"/>
    <w:rsid w:val="00574981"/>
    <w:rsid w:val="005755B9"/>
    <w:rsid w:val="005755DF"/>
    <w:rsid w:val="005767D3"/>
    <w:rsid w:val="0057760D"/>
    <w:rsid w:val="00577A9C"/>
    <w:rsid w:val="00577C02"/>
    <w:rsid w:val="005803BF"/>
    <w:rsid w:val="00580527"/>
    <w:rsid w:val="00581A94"/>
    <w:rsid w:val="00581D09"/>
    <w:rsid w:val="00582E24"/>
    <w:rsid w:val="00582FAD"/>
    <w:rsid w:val="005830C0"/>
    <w:rsid w:val="005836EE"/>
    <w:rsid w:val="0058558B"/>
    <w:rsid w:val="00585A43"/>
    <w:rsid w:val="00585F7E"/>
    <w:rsid w:val="00586273"/>
    <w:rsid w:val="0058721D"/>
    <w:rsid w:val="00587447"/>
    <w:rsid w:val="0059007E"/>
    <w:rsid w:val="00590600"/>
    <w:rsid w:val="00590FC2"/>
    <w:rsid w:val="00592782"/>
    <w:rsid w:val="005928BB"/>
    <w:rsid w:val="005928F2"/>
    <w:rsid w:val="00592FB3"/>
    <w:rsid w:val="00593E47"/>
    <w:rsid w:val="00593E71"/>
    <w:rsid w:val="00594ABF"/>
    <w:rsid w:val="00594BD2"/>
    <w:rsid w:val="00594E28"/>
    <w:rsid w:val="0059662C"/>
    <w:rsid w:val="00597BD3"/>
    <w:rsid w:val="005A11E6"/>
    <w:rsid w:val="005A2010"/>
    <w:rsid w:val="005A2294"/>
    <w:rsid w:val="005A2484"/>
    <w:rsid w:val="005A251D"/>
    <w:rsid w:val="005A27E2"/>
    <w:rsid w:val="005A28CE"/>
    <w:rsid w:val="005A2EA6"/>
    <w:rsid w:val="005A310C"/>
    <w:rsid w:val="005A315B"/>
    <w:rsid w:val="005A3488"/>
    <w:rsid w:val="005A3A93"/>
    <w:rsid w:val="005A3BBE"/>
    <w:rsid w:val="005A3DF9"/>
    <w:rsid w:val="005A3FA2"/>
    <w:rsid w:val="005A5F1D"/>
    <w:rsid w:val="005A6A61"/>
    <w:rsid w:val="005A782F"/>
    <w:rsid w:val="005B0461"/>
    <w:rsid w:val="005B0968"/>
    <w:rsid w:val="005B207E"/>
    <w:rsid w:val="005B2484"/>
    <w:rsid w:val="005B3541"/>
    <w:rsid w:val="005B35E3"/>
    <w:rsid w:val="005B3871"/>
    <w:rsid w:val="005B428A"/>
    <w:rsid w:val="005B4BE2"/>
    <w:rsid w:val="005B659D"/>
    <w:rsid w:val="005B684A"/>
    <w:rsid w:val="005B6A97"/>
    <w:rsid w:val="005B6B98"/>
    <w:rsid w:val="005B6E13"/>
    <w:rsid w:val="005B6E81"/>
    <w:rsid w:val="005B74FE"/>
    <w:rsid w:val="005C1326"/>
    <w:rsid w:val="005C1BB5"/>
    <w:rsid w:val="005C2473"/>
    <w:rsid w:val="005C2A8A"/>
    <w:rsid w:val="005C2C0B"/>
    <w:rsid w:val="005C2CFF"/>
    <w:rsid w:val="005C318D"/>
    <w:rsid w:val="005C3527"/>
    <w:rsid w:val="005C373F"/>
    <w:rsid w:val="005C3A3E"/>
    <w:rsid w:val="005C3FF0"/>
    <w:rsid w:val="005C46D8"/>
    <w:rsid w:val="005C4B02"/>
    <w:rsid w:val="005C52EB"/>
    <w:rsid w:val="005C5C7F"/>
    <w:rsid w:val="005C6AEF"/>
    <w:rsid w:val="005C6C68"/>
    <w:rsid w:val="005C7301"/>
    <w:rsid w:val="005C7F32"/>
    <w:rsid w:val="005D05B9"/>
    <w:rsid w:val="005D0A13"/>
    <w:rsid w:val="005D10BE"/>
    <w:rsid w:val="005D18C0"/>
    <w:rsid w:val="005D2827"/>
    <w:rsid w:val="005D2AA1"/>
    <w:rsid w:val="005D34F9"/>
    <w:rsid w:val="005D35D7"/>
    <w:rsid w:val="005D3E31"/>
    <w:rsid w:val="005D495A"/>
    <w:rsid w:val="005D4FEA"/>
    <w:rsid w:val="005D51CE"/>
    <w:rsid w:val="005D60E8"/>
    <w:rsid w:val="005D6182"/>
    <w:rsid w:val="005D7DA4"/>
    <w:rsid w:val="005E0501"/>
    <w:rsid w:val="005E0E07"/>
    <w:rsid w:val="005E0EC6"/>
    <w:rsid w:val="005E28DD"/>
    <w:rsid w:val="005E5375"/>
    <w:rsid w:val="005E5410"/>
    <w:rsid w:val="005E59C1"/>
    <w:rsid w:val="005E5B6E"/>
    <w:rsid w:val="005E5D1F"/>
    <w:rsid w:val="005E62D6"/>
    <w:rsid w:val="005E7FB3"/>
    <w:rsid w:val="005F02BE"/>
    <w:rsid w:val="005F0FBF"/>
    <w:rsid w:val="005F1B72"/>
    <w:rsid w:val="005F2BA1"/>
    <w:rsid w:val="005F37A6"/>
    <w:rsid w:val="005F3EC8"/>
    <w:rsid w:val="005F6CF4"/>
    <w:rsid w:val="005F7DBB"/>
    <w:rsid w:val="0060004C"/>
    <w:rsid w:val="00600A53"/>
    <w:rsid w:val="006014A0"/>
    <w:rsid w:val="0060174E"/>
    <w:rsid w:val="006018A6"/>
    <w:rsid w:val="006036C9"/>
    <w:rsid w:val="00603980"/>
    <w:rsid w:val="006048B2"/>
    <w:rsid w:val="00605115"/>
    <w:rsid w:val="00606880"/>
    <w:rsid w:val="006078D5"/>
    <w:rsid w:val="00607DC4"/>
    <w:rsid w:val="0061151C"/>
    <w:rsid w:val="00613C22"/>
    <w:rsid w:val="00614971"/>
    <w:rsid w:val="00614BDF"/>
    <w:rsid w:val="00615775"/>
    <w:rsid w:val="00616ACA"/>
    <w:rsid w:val="006179C9"/>
    <w:rsid w:val="00620458"/>
    <w:rsid w:val="00620DBC"/>
    <w:rsid w:val="00621A19"/>
    <w:rsid w:val="0062262B"/>
    <w:rsid w:val="00622760"/>
    <w:rsid w:val="00622850"/>
    <w:rsid w:val="006232EE"/>
    <w:rsid w:val="006233B0"/>
    <w:rsid w:val="00626173"/>
    <w:rsid w:val="00626EBA"/>
    <w:rsid w:val="00627218"/>
    <w:rsid w:val="00627AAE"/>
    <w:rsid w:val="00630540"/>
    <w:rsid w:val="00630AFE"/>
    <w:rsid w:val="00631B17"/>
    <w:rsid w:val="00631F12"/>
    <w:rsid w:val="006324D8"/>
    <w:rsid w:val="006331EC"/>
    <w:rsid w:val="00633A32"/>
    <w:rsid w:val="006355D1"/>
    <w:rsid w:val="00635DD4"/>
    <w:rsid w:val="00636254"/>
    <w:rsid w:val="00637692"/>
    <w:rsid w:val="00637C78"/>
    <w:rsid w:val="00640534"/>
    <w:rsid w:val="006406F0"/>
    <w:rsid w:val="0064219D"/>
    <w:rsid w:val="00642432"/>
    <w:rsid w:val="00642473"/>
    <w:rsid w:val="00643300"/>
    <w:rsid w:val="00643D20"/>
    <w:rsid w:val="0064526C"/>
    <w:rsid w:val="0064534F"/>
    <w:rsid w:val="0064616C"/>
    <w:rsid w:val="0064658F"/>
    <w:rsid w:val="00646E61"/>
    <w:rsid w:val="00646F0B"/>
    <w:rsid w:val="0064704A"/>
    <w:rsid w:val="0064733A"/>
    <w:rsid w:val="006475FD"/>
    <w:rsid w:val="00650C32"/>
    <w:rsid w:val="0065154F"/>
    <w:rsid w:val="00654168"/>
    <w:rsid w:val="006558E5"/>
    <w:rsid w:val="006559EE"/>
    <w:rsid w:val="00655AAF"/>
    <w:rsid w:val="00660FB8"/>
    <w:rsid w:val="00661F2A"/>
    <w:rsid w:val="00662D69"/>
    <w:rsid w:val="00663652"/>
    <w:rsid w:val="00663EF3"/>
    <w:rsid w:val="0066506A"/>
    <w:rsid w:val="006666B6"/>
    <w:rsid w:val="00667659"/>
    <w:rsid w:val="00667BD6"/>
    <w:rsid w:val="00670A86"/>
    <w:rsid w:val="00671C60"/>
    <w:rsid w:val="006724F1"/>
    <w:rsid w:val="0067263A"/>
    <w:rsid w:val="00672B4C"/>
    <w:rsid w:val="006745E0"/>
    <w:rsid w:val="006746CE"/>
    <w:rsid w:val="006747AC"/>
    <w:rsid w:val="00674B94"/>
    <w:rsid w:val="00675E64"/>
    <w:rsid w:val="006764EB"/>
    <w:rsid w:val="00676607"/>
    <w:rsid w:val="0067662E"/>
    <w:rsid w:val="0067694E"/>
    <w:rsid w:val="0067727C"/>
    <w:rsid w:val="00677B3D"/>
    <w:rsid w:val="00680333"/>
    <w:rsid w:val="00680AB6"/>
    <w:rsid w:val="00681651"/>
    <w:rsid w:val="00681E3B"/>
    <w:rsid w:val="00682F1F"/>
    <w:rsid w:val="006835D6"/>
    <w:rsid w:val="0068395B"/>
    <w:rsid w:val="00683A5B"/>
    <w:rsid w:val="006842C8"/>
    <w:rsid w:val="00684517"/>
    <w:rsid w:val="00684AE5"/>
    <w:rsid w:val="00685F81"/>
    <w:rsid w:val="006860DA"/>
    <w:rsid w:val="00687245"/>
    <w:rsid w:val="006872AD"/>
    <w:rsid w:val="006873F7"/>
    <w:rsid w:val="0069089E"/>
    <w:rsid w:val="006916AD"/>
    <w:rsid w:val="00691BBD"/>
    <w:rsid w:val="0069369D"/>
    <w:rsid w:val="006936F4"/>
    <w:rsid w:val="006938D2"/>
    <w:rsid w:val="00694B4F"/>
    <w:rsid w:val="00694BCD"/>
    <w:rsid w:val="006964EE"/>
    <w:rsid w:val="0069737F"/>
    <w:rsid w:val="006A118D"/>
    <w:rsid w:val="006A31EE"/>
    <w:rsid w:val="006A3972"/>
    <w:rsid w:val="006A5F58"/>
    <w:rsid w:val="006A6C37"/>
    <w:rsid w:val="006A712D"/>
    <w:rsid w:val="006A781C"/>
    <w:rsid w:val="006B0191"/>
    <w:rsid w:val="006B2699"/>
    <w:rsid w:val="006B2D50"/>
    <w:rsid w:val="006B3864"/>
    <w:rsid w:val="006B3A1F"/>
    <w:rsid w:val="006B3AAD"/>
    <w:rsid w:val="006B56C0"/>
    <w:rsid w:val="006B7B59"/>
    <w:rsid w:val="006B7F9F"/>
    <w:rsid w:val="006C0414"/>
    <w:rsid w:val="006C08C7"/>
    <w:rsid w:val="006C0D07"/>
    <w:rsid w:val="006C0FE4"/>
    <w:rsid w:val="006C14C1"/>
    <w:rsid w:val="006C273B"/>
    <w:rsid w:val="006C302D"/>
    <w:rsid w:val="006C36B8"/>
    <w:rsid w:val="006C3784"/>
    <w:rsid w:val="006C3F81"/>
    <w:rsid w:val="006C50D9"/>
    <w:rsid w:val="006C57B0"/>
    <w:rsid w:val="006C6003"/>
    <w:rsid w:val="006C6BDC"/>
    <w:rsid w:val="006C752A"/>
    <w:rsid w:val="006C75D3"/>
    <w:rsid w:val="006C7A8F"/>
    <w:rsid w:val="006C7ACB"/>
    <w:rsid w:val="006D05C9"/>
    <w:rsid w:val="006D06B1"/>
    <w:rsid w:val="006D06D8"/>
    <w:rsid w:val="006D0D18"/>
    <w:rsid w:val="006D16AC"/>
    <w:rsid w:val="006D1DF6"/>
    <w:rsid w:val="006D1F2B"/>
    <w:rsid w:val="006D22E3"/>
    <w:rsid w:val="006D27A6"/>
    <w:rsid w:val="006D27BB"/>
    <w:rsid w:val="006D3EE7"/>
    <w:rsid w:val="006D40BA"/>
    <w:rsid w:val="006D48B8"/>
    <w:rsid w:val="006D5A04"/>
    <w:rsid w:val="006D5B44"/>
    <w:rsid w:val="006D618A"/>
    <w:rsid w:val="006D6960"/>
    <w:rsid w:val="006D6E67"/>
    <w:rsid w:val="006D7793"/>
    <w:rsid w:val="006E0975"/>
    <w:rsid w:val="006E0A15"/>
    <w:rsid w:val="006E101D"/>
    <w:rsid w:val="006E1E6D"/>
    <w:rsid w:val="006E2696"/>
    <w:rsid w:val="006E2783"/>
    <w:rsid w:val="006E2A27"/>
    <w:rsid w:val="006E2D86"/>
    <w:rsid w:val="006E42ED"/>
    <w:rsid w:val="006E5ACA"/>
    <w:rsid w:val="006E5C45"/>
    <w:rsid w:val="006E6196"/>
    <w:rsid w:val="006E6759"/>
    <w:rsid w:val="006E6CDD"/>
    <w:rsid w:val="006E6F8C"/>
    <w:rsid w:val="006E76BE"/>
    <w:rsid w:val="006E7B3F"/>
    <w:rsid w:val="006F0918"/>
    <w:rsid w:val="006F101C"/>
    <w:rsid w:val="006F13A6"/>
    <w:rsid w:val="006F3297"/>
    <w:rsid w:val="006F35C3"/>
    <w:rsid w:val="006F45C0"/>
    <w:rsid w:val="006F56A2"/>
    <w:rsid w:val="006F6E04"/>
    <w:rsid w:val="006F6E9A"/>
    <w:rsid w:val="007003B0"/>
    <w:rsid w:val="007009B3"/>
    <w:rsid w:val="007009B6"/>
    <w:rsid w:val="007010D3"/>
    <w:rsid w:val="007012F4"/>
    <w:rsid w:val="007033B9"/>
    <w:rsid w:val="00704767"/>
    <w:rsid w:val="00704A61"/>
    <w:rsid w:val="00705339"/>
    <w:rsid w:val="00705AD6"/>
    <w:rsid w:val="00705D6B"/>
    <w:rsid w:val="00706067"/>
    <w:rsid w:val="007063DC"/>
    <w:rsid w:val="00706AC8"/>
    <w:rsid w:val="00706DEE"/>
    <w:rsid w:val="00706E8D"/>
    <w:rsid w:val="00707213"/>
    <w:rsid w:val="0070797C"/>
    <w:rsid w:val="00707D13"/>
    <w:rsid w:val="00712BEA"/>
    <w:rsid w:val="00714096"/>
    <w:rsid w:val="00714A6A"/>
    <w:rsid w:val="00715682"/>
    <w:rsid w:val="007156BE"/>
    <w:rsid w:val="00716847"/>
    <w:rsid w:val="0071693F"/>
    <w:rsid w:val="00716E0F"/>
    <w:rsid w:val="00717086"/>
    <w:rsid w:val="00717148"/>
    <w:rsid w:val="00717216"/>
    <w:rsid w:val="007176AF"/>
    <w:rsid w:val="007179AF"/>
    <w:rsid w:val="00717A91"/>
    <w:rsid w:val="00721B90"/>
    <w:rsid w:val="00722CE0"/>
    <w:rsid w:val="00722F56"/>
    <w:rsid w:val="00723979"/>
    <w:rsid w:val="0072400D"/>
    <w:rsid w:val="0072403E"/>
    <w:rsid w:val="0072500A"/>
    <w:rsid w:val="00725161"/>
    <w:rsid w:val="007260B7"/>
    <w:rsid w:val="00726211"/>
    <w:rsid w:val="0072681A"/>
    <w:rsid w:val="00726ABC"/>
    <w:rsid w:val="0072720A"/>
    <w:rsid w:val="007303A9"/>
    <w:rsid w:val="00730DEB"/>
    <w:rsid w:val="00731410"/>
    <w:rsid w:val="00732B1C"/>
    <w:rsid w:val="00733643"/>
    <w:rsid w:val="007336F5"/>
    <w:rsid w:val="0073383C"/>
    <w:rsid w:val="007343B8"/>
    <w:rsid w:val="007358AF"/>
    <w:rsid w:val="00735E20"/>
    <w:rsid w:val="007360A1"/>
    <w:rsid w:val="00736715"/>
    <w:rsid w:val="00736FFC"/>
    <w:rsid w:val="007405EA"/>
    <w:rsid w:val="00740AB0"/>
    <w:rsid w:val="007414A6"/>
    <w:rsid w:val="00743305"/>
    <w:rsid w:val="00743308"/>
    <w:rsid w:val="00743E97"/>
    <w:rsid w:val="00743EC7"/>
    <w:rsid w:val="007448FE"/>
    <w:rsid w:val="00744D3B"/>
    <w:rsid w:val="00745295"/>
    <w:rsid w:val="007456E7"/>
    <w:rsid w:val="0074634A"/>
    <w:rsid w:val="00746ED3"/>
    <w:rsid w:val="00747411"/>
    <w:rsid w:val="00747ED8"/>
    <w:rsid w:val="00750358"/>
    <w:rsid w:val="007507DB"/>
    <w:rsid w:val="00750861"/>
    <w:rsid w:val="00751D57"/>
    <w:rsid w:val="0075314C"/>
    <w:rsid w:val="00754108"/>
    <w:rsid w:val="00754FF9"/>
    <w:rsid w:val="007563CE"/>
    <w:rsid w:val="00756C39"/>
    <w:rsid w:val="00756E72"/>
    <w:rsid w:val="007570B5"/>
    <w:rsid w:val="0075781B"/>
    <w:rsid w:val="007600FA"/>
    <w:rsid w:val="0076093D"/>
    <w:rsid w:val="00760CF0"/>
    <w:rsid w:val="00761C4D"/>
    <w:rsid w:val="00761DA0"/>
    <w:rsid w:val="007622D7"/>
    <w:rsid w:val="007629E0"/>
    <w:rsid w:val="0076476F"/>
    <w:rsid w:val="00764777"/>
    <w:rsid w:val="00765217"/>
    <w:rsid w:val="00770188"/>
    <w:rsid w:val="00770598"/>
    <w:rsid w:val="0077118E"/>
    <w:rsid w:val="00771BDC"/>
    <w:rsid w:val="00772B67"/>
    <w:rsid w:val="007733E8"/>
    <w:rsid w:val="00773AF1"/>
    <w:rsid w:val="00773B1C"/>
    <w:rsid w:val="00775462"/>
    <w:rsid w:val="007754F3"/>
    <w:rsid w:val="007767B8"/>
    <w:rsid w:val="00777772"/>
    <w:rsid w:val="007802F1"/>
    <w:rsid w:val="00780546"/>
    <w:rsid w:val="007807A9"/>
    <w:rsid w:val="00781AFE"/>
    <w:rsid w:val="007825F2"/>
    <w:rsid w:val="007826DD"/>
    <w:rsid w:val="00783C97"/>
    <w:rsid w:val="00784951"/>
    <w:rsid w:val="00784A3C"/>
    <w:rsid w:val="0078554D"/>
    <w:rsid w:val="00786C30"/>
    <w:rsid w:val="00786E2B"/>
    <w:rsid w:val="0078782E"/>
    <w:rsid w:val="0079154A"/>
    <w:rsid w:val="00791B64"/>
    <w:rsid w:val="00791B7E"/>
    <w:rsid w:val="00793028"/>
    <w:rsid w:val="00793346"/>
    <w:rsid w:val="00793663"/>
    <w:rsid w:val="00793BD7"/>
    <w:rsid w:val="00793EE2"/>
    <w:rsid w:val="007940C5"/>
    <w:rsid w:val="0079466D"/>
    <w:rsid w:val="0079546B"/>
    <w:rsid w:val="00796134"/>
    <w:rsid w:val="007A0E1F"/>
    <w:rsid w:val="007A1279"/>
    <w:rsid w:val="007A1A36"/>
    <w:rsid w:val="007A4195"/>
    <w:rsid w:val="007A4358"/>
    <w:rsid w:val="007A4D92"/>
    <w:rsid w:val="007A5059"/>
    <w:rsid w:val="007A6E4D"/>
    <w:rsid w:val="007A72CA"/>
    <w:rsid w:val="007A7B08"/>
    <w:rsid w:val="007A7C60"/>
    <w:rsid w:val="007B06BE"/>
    <w:rsid w:val="007B0CFB"/>
    <w:rsid w:val="007B1B99"/>
    <w:rsid w:val="007B29A0"/>
    <w:rsid w:val="007B29DA"/>
    <w:rsid w:val="007B2CBB"/>
    <w:rsid w:val="007B5662"/>
    <w:rsid w:val="007B5F8F"/>
    <w:rsid w:val="007B66C3"/>
    <w:rsid w:val="007B67B0"/>
    <w:rsid w:val="007B6953"/>
    <w:rsid w:val="007B7784"/>
    <w:rsid w:val="007C1094"/>
    <w:rsid w:val="007C12B1"/>
    <w:rsid w:val="007C163D"/>
    <w:rsid w:val="007C3CD0"/>
    <w:rsid w:val="007C49D3"/>
    <w:rsid w:val="007C5F59"/>
    <w:rsid w:val="007C6BB2"/>
    <w:rsid w:val="007C6E4A"/>
    <w:rsid w:val="007D0C0A"/>
    <w:rsid w:val="007D1049"/>
    <w:rsid w:val="007D1F5E"/>
    <w:rsid w:val="007D2874"/>
    <w:rsid w:val="007D2E15"/>
    <w:rsid w:val="007D3B70"/>
    <w:rsid w:val="007D46A5"/>
    <w:rsid w:val="007D4EB7"/>
    <w:rsid w:val="007D6189"/>
    <w:rsid w:val="007D6F47"/>
    <w:rsid w:val="007D7F4B"/>
    <w:rsid w:val="007E013D"/>
    <w:rsid w:val="007E0975"/>
    <w:rsid w:val="007E0C7F"/>
    <w:rsid w:val="007E10AF"/>
    <w:rsid w:val="007E1815"/>
    <w:rsid w:val="007E2424"/>
    <w:rsid w:val="007E254A"/>
    <w:rsid w:val="007E3275"/>
    <w:rsid w:val="007E36E4"/>
    <w:rsid w:val="007E36EE"/>
    <w:rsid w:val="007E5458"/>
    <w:rsid w:val="007E57DB"/>
    <w:rsid w:val="007E5B3F"/>
    <w:rsid w:val="007E5DA7"/>
    <w:rsid w:val="007E5E07"/>
    <w:rsid w:val="007E6B2B"/>
    <w:rsid w:val="007E7046"/>
    <w:rsid w:val="007E7AC2"/>
    <w:rsid w:val="007F0401"/>
    <w:rsid w:val="007F0DC9"/>
    <w:rsid w:val="007F1A65"/>
    <w:rsid w:val="007F1FCE"/>
    <w:rsid w:val="007F3B99"/>
    <w:rsid w:val="007F41D9"/>
    <w:rsid w:val="007F49B4"/>
    <w:rsid w:val="007F4D8B"/>
    <w:rsid w:val="007F508C"/>
    <w:rsid w:val="007F5164"/>
    <w:rsid w:val="007F53C0"/>
    <w:rsid w:val="007F5E0B"/>
    <w:rsid w:val="007F61E3"/>
    <w:rsid w:val="007F7A72"/>
    <w:rsid w:val="0080133E"/>
    <w:rsid w:val="00801475"/>
    <w:rsid w:val="00803C4D"/>
    <w:rsid w:val="00804767"/>
    <w:rsid w:val="00807754"/>
    <w:rsid w:val="00810699"/>
    <w:rsid w:val="008111D6"/>
    <w:rsid w:val="008116B7"/>
    <w:rsid w:val="00811AF9"/>
    <w:rsid w:val="008122AA"/>
    <w:rsid w:val="00812696"/>
    <w:rsid w:val="00812758"/>
    <w:rsid w:val="00812958"/>
    <w:rsid w:val="00813066"/>
    <w:rsid w:val="008138AA"/>
    <w:rsid w:val="008139FB"/>
    <w:rsid w:val="0081575F"/>
    <w:rsid w:val="0081613D"/>
    <w:rsid w:val="008170A0"/>
    <w:rsid w:val="00817BE1"/>
    <w:rsid w:val="00820B43"/>
    <w:rsid w:val="0082272F"/>
    <w:rsid w:val="008229E9"/>
    <w:rsid w:val="008231E6"/>
    <w:rsid w:val="0082733C"/>
    <w:rsid w:val="00830F07"/>
    <w:rsid w:val="00830F24"/>
    <w:rsid w:val="00831561"/>
    <w:rsid w:val="008316FA"/>
    <w:rsid w:val="00831D4A"/>
    <w:rsid w:val="00831D8A"/>
    <w:rsid w:val="00831F0E"/>
    <w:rsid w:val="0083237C"/>
    <w:rsid w:val="008335CE"/>
    <w:rsid w:val="00833E66"/>
    <w:rsid w:val="008358DA"/>
    <w:rsid w:val="0083629C"/>
    <w:rsid w:val="008370F5"/>
    <w:rsid w:val="00837B17"/>
    <w:rsid w:val="00840180"/>
    <w:rsid w:val="00841C5E"/>
    <w:rsid w:val="008424C6"/>
    <w:rsid w:val="0084307D"/>
    <w:rsid w:val="00844BC1"/>
    <w:rsid w:val="00845A39"/>
    <w:rsid w:val="00845EDF"/>
    <w:rsid w:val="008475DF"/>
    <w:rsid w:val="00847719"/>
    <w:rsid w:val="0084794A"/>
    <w:rsid w:val="008500BF"/>
    <w:rsid w:val="0085105A"/>
    <w:rsid w:val="008511A2"/>
    <w:rsid w:val="0085189B"/>
    <w:rsid w:val="00854655"/>
    <w:rsid w:val="00854A52"/>
    <w:rsid w:val="00855A4C"/>
    <w:rsid w:val="00855AF8"/>
    <w:rsid w:val="00856866"/>
    <w:rsid w:val="0085757E"/>
    <w:rsid w:val="0085774F"/>
    <w:rsid w:val="00857AF0"/>
    <w:rsid w:val="00860031"/>
    <w:rsid w:val="00861041"/>
    <w:rsid w:val="008616B9"/>
    <w:rsid w:val="008622E2"/>
    <w:rsid w:val="008627E0"/>
    <w:rsid w:val="00864443"/>
    <w:rsid w:val="00864B38"/>
    <w:rsid w:val="0086506F"/>
    <w:rsid w:val="008667F1"/>
    <w:rsid w:val="00866A77"/>
    <w:rsid w:val="00866E6E"/>
    <w:rsid w:val="008672BC"/>
    <w:rsid w:val="008701B6"/>
    <w:rsid w:val="00872304"/>
    <w:rsid w:val="00872F66"/>
    <w:rsid w:val="008731AA"/>
    <w:rsid w:val="00873906"/>
    <w:rsid w:val="00873B2B"/>
    <w:rsid w:val="0087484B"/>
    <w:rsid w:val="00876670"/>
    <w:rsid w:val="008770F6"/>
    <w:rsid w:val="00877125"/>
    <w:rsid w:val="0088159C"/>
    <w:rsid w:val="00881E7C"/>
    <w:rsid w:val="0088211A"/>
    <w:rsid w:val="008824BE"/>
    <w:rsid w:val="008828A3"/>
    <w:rsid w:val="00882CFB"/>
    <w:rsid w:val="00883261"/>
    <w:rsid w:val="0088399B"/>
    <w:rsid w:val="00884F56"/>
    <w:rsid w:val="008854F6"/>
    <w:rsid w:val="00886667"/>
    <w:rsid w:val="00886BC4"/>
    <w:rsid w:val="0088720F"/>
    <w:rsid w:val="00890567"/>
    <w:rsid w:val="00890B0C"/>
    <w:rsid w:val="008917B9"/>
    <w:rsid w:val="00891947"/>
    <w:rsid w:val="00891B74"/>
    <w:rsid w:val="00892E96"/>
    <w:rsid w:val="008930AF"/>
    <w:rsid w:val="00893473"/>
    <w:rsid w:val="00895D69"/>
    <w:rsid w:val="008960C4"/>
    <w:rsid w:val="008972E4"/>
    <w:rsid w:val="00897660"/>
    <w:rsid w:val="00897D06"/>
    <w:rsid w:val="008A02F3"/>
    <w:rsid w:val="008A0DE7"/>
    <w:rsid w:val="008A1C1D"/>
    <w:rsid w:val="008A2209"/>
    <w:rsid w:val="008A256B"/>
    <w:rsid w:val="008A2B6E"/>
    <w:rsid w:val="008A3D02"/>
    <w:rsid w:val="008A40FE"/>
    <w:rsid w:val="008A428E"/>
    <w:rsid w:val="008A455B"/>
    <w:rsid w:val="008A48CA"/>
    <w:rsid w:val="008A564A"/>
    <w:rsid w:val="008A5900"/>
    <w:rsid w:val="008A681F"/>
    <w:rsid w:val="008A719A"/>
    <w:rsid w:val="008A75F2"/>
    <w:rsid w:val="008A7718"/>
    <w:rsid w:val="008A7B1A"/>
    <w:rsid w:val="008B1016"/>
    <w:rsid w:val="008B2938"/>
    <w:rsid w:val="008B395C"/>
    <w:rsid w:val="008B3C2D"/>
    <w:rsid w:val="008B3EB0"/>
    <w:rsid w:val="008B44FB"/>
    <w:rsid w:val="008B4922"/>
    <w:rsid w:val="008B692D"/>
    <w:rsid w:val="008B6D0F"/>
    <w:rsid w:val="008B6E1E"/>
    <w:rsid w:val="008B7590"/>
    <w:rsid w:val="008C0FC6"/>
    <w:rsid w:val="008C1430"/>
    <w:rsid w:val="008C3421"/>
    <w:rsid w:val="008C3768"/>
    <w:rsid w:val="008C37E5"/>
    <w:rsid w:val="008C40B9"/>
    <w:rsid w:val="008C439E"/>
    <w:rsid w:val="008C4440"/>
    <w:rsid w:val="008C4519"/>
    <w:rsid w:val="008C570A"/>
    <w:rsid w:val="008C5773"/>
    <w:rsid w:val="008C58EC"/>
    <w:rsid w:val="008C6D34"/>
    <w:rsid w:val="008C6DB4"/>
    <w:rsid w:val="008C7079"/>
    <w:rsid w:val="008D006E"/>
    <w:rsid w:val="008D0093"/>
    <w:rsid w:val="008D0CA6"/>
    <w:rsid w:val="008D291B"/>
    <w:rsid w:val="008D2BBD"/>
    <w:rsid w:val="008D3006"/>
    <w:rsid w:val="008D36E8"/>
    <w:rsid w:val="008D47F8"/>
    <w:rsid w:val="008D4CD0"/>
    <w:rsid w:val="008D5177"/>
    <w:rsid w:val="008D5358"/>
    <w:rsid w:val="008D5E55"/>
    <w:rsid w:val="008D6305"/>
    <w:rsid w:val="008D6BF0"/>
    <w:rsid w:val="008D7548"/>
    <w:rsid w:val="008D7A28"/>
    <w:rsid w:val="008D7E09"/>
    <w:rsid w:val="008E0180"/>
    <w:rsid w:val="008E04BD"/>
    <w:rsid w:val="008E1086"/>
    <w:rsid w:val="008E10CC"/>
    <w:rsid w:val="008E2001"/>
    <w:rsid w:val="008E2498"/>
    <w:rsid w:val="008E35A5"/>
    <w:rsid w:val="008E44BD"/>
    <w:rsid w:val="008E4E26"/>
    <w:rsid w:val="008E5B19"/>
    <w:rsid w:val="008E5FEE"/>
    <w:rsid w:val="008E649A"/>
    <w:rsid w:val="008E6A99"/>
    <w:rsid w:val="008F02FE"/>
    <w:rsid w:val="008F0B15"/>
    <w:rsid w:val="008F18F6"/>
    <w:rsid w:val="008F190D"/>
    <w:rsid w:val="008F1AA6"/>
    <w:rsid w:val="008F2120"/>
    <w:rsid w:val="008F2212"/>
    <w:rsid w:val="008F27C3"/>
    <w:rsid w:val="008F2B0C"/>
    <w:rsid w:val="008F3287"/>
    <w:rsid w:val="008F3CB7"/>
    <w:rsid w:val="008F453A"/>
    <w:rsid w:val="008F655D"/>
    <w:rsid w:val="008F6E24"/>
    <w:rsid w:val="008F73C8"/>
    <w:rsid w:val="008F7E69"/>
    <w:rsid w:val="0090040A"/>
    <w:rsid w:val="00900618"/>
    <w:rsid w:val="009022E2"/>
    <w:rsid w:val="00902D46"/>
    <w:rsid w:val="00902FA0"/>
    <w:rsid w:val="009035DF"/>
    <w:rsid w:val="00903786"/>
    <w:rsid w:val="00903AB2"/>
    <w:rsid w:val="00904B6E"/>
    <w:rsid w:val="00905F29"/>
    <w:rsid w:val="00906FBA"/>
    <w:rsid w:val="0090719E"/>
    <w:rsid w:val="009075F3"/>
    <w:rsid w:val="009077B1"/>
    <w:rsid w:val="009105B3"/>
    <w:rsid w:val="009109AA"/>
    <w:rsid w:val="00912803"/>
    <w:rsid w:val="00912C04"/>
    <w:rsid w:val="00912C8F"/>
    <w:rsid w:val="00913360"/>
    <w:rsid w:val="00913AEE"/>
    <w:rsid w:val="009141E7"/>
    <w:rsid w:val="009142B4"/>
    <w:rsid w:val="00914A72"/>
    <w:rsid w:val="00914DD5"/>
    <w:rsid w:val="00915949"/>
    <w:rsid w:val="00915CF3"/>
    <w:rsid w:val="00920149"/>
    <w:rsid w:val="0092127F"/>
    <w:rsid w:val="00921DC9"/>
    <w:rsid w:val="009228C7"/>
    <w:rsid w:val="0092341F"/>
    <w:rsid w:val="0092437D"/>
    <w:rsid w:val="00924535"/>
    <w:rsid w:val="009267F5"/>
    <w:rsid w:val="00926879"/>
    <w:rsid w:val="00927AC5"/>
    <w:rsid w:val="00927C30"/>
    <w:rsid w:val="00930842"/>
    <w:rsid w:val="00930C99"/>
    <w:rsid w:val="00930CA5"/>
    <w:rsid w:val="00930EF3"/>
    <w:rsid w:val="00931341"/>
    <w:rsid w:val="00931A44"/>
    <w:rsid w:val="00932226"/>
    <w:rsid w:val="009326A1"/>
    <w:rsid w:val="009331CF"/>
    <w:rsid w:val="0093358C"/>
    <w:rsid w:val="00933C8C"/>
    <w:rsid w:val="00934A9A"/>
    <w:rsid w:val="009351F7"/>
    <w:rsid w:val="00935DBE"/>
    <w:rsid w:val="009367F6"/>
    <w:rsid w:val="009372FC"/>
    <w:rsid w:val="0093741D"/>
    <w:rsid w:val="00937B3A"/>
    <w:rsid w:val="009406E4"/>
    <w:rsid w:val="00940B05"/>
    <w:rsid w:val="00942CB3"/>
    <w:rsid w:val="00943362"/>
    <w:rsid w:val="00944174"/>
    <w:rsid w:val="00944D02"/>
    <w:rsid w:val="009456DF"/>
    <w:rsid w:val="00945907"/>
    <w:rsid w:val="00945A6B"/>
    <w:rsid w:val="00947720"/>
    <w:rsid w:val="00947B41"/>
    <w:rsid w:val="00950A01"/>
    <w:rsid w:val="00951652"/>
    <w:rsid w:val="00951C37"/>
    <w:rsid w:val="00952187"/>
    <w:rsid w:val="00952F2F"/>
    <w:rsid w:val="009539E9"/>
    <w:rsid w:val="00955D88"/>
    <w:rsid w:val="009573B1"/>
    <w:rsid w:val="009574C4"/>
    <w:rsid w:val="00960461"/>
    <w:rsid w:val="009610C6"/>
    <w:rsid w:val="009623BD"/>
    <w:rsid w:val="0096269C"/>
    <w:rsid w:val="00963FA4"/>
    <w:rsid w:val="00964E90"/>
    <w:rsid w:val="00965C4B"/>
    <w:rsid w:val="00965FA1"/>
    <w:rsid w:val="00966BE3"/>
    <w:rsid w:val="00967A89"/>
    <w:rsid w:val="00970558"/>
    <w:rsid w:val="0097089A"/>
    <w:rsid w:val="009741E7"/>
    <w:rsid w:val="009741F2"/>
    <w:rsid w:val="009744B2"/>
    <w:rsid w:val="009757BB"/>
    <w:rsid w:val="00977656"/>
    <w:rsid w:val="009777AC"/>
    <w:rsid w:val="009806BE"/>
    <w:rsid w:val="00980DE3"/>
    <w:rsid w:val="0098151F"/>
    <w:rsid w:val="00982E6A"/>
    <w:rsid w:val="00983C0B"/>
    <w:rsid w:val="009841C2"/>
    <w:rsid w:val="00984B6A"/>
    <w:rsid w:val="00984CD5"/>
    <w:rsid w:val="00985075"/>
    <w:rsid w:val="00985E56"/>
    <w:rsid w:val="00986A46"/>
    <w:rsid w:val="00987800"/>
    <w:rsid w:val="0099004F"/>
    <w:rsid w:val="009906A6"/>
    <w:rsid w:val="00991703"/>
    <w:rsid w:val="00992A50"/>
    <w:rsid w:val="00992ADC"/>
    <w:rsid w:val="00992C63"/>
    <w:rsid w:val="00992F9F"/>
    <w:rsid w:val="0099383C"/>
    <w:rsid w:val="00993A6F"/>
    <w:rsid w:val="009944C1"/>
    <w:rsid w:val="0099503C"/>
    <w:rsid w:val="0099597F"/>
    <w:rsid w:val="009959EC"/>
    <w:rsid w:val="00996512"/>
    <w:rsid w:val="009A28F6"/>
    <w:rsid w:val="009A43DE"/>
    <w:rsid w:val="009A60F7"/>
    <w:rsid w:val="009A6119"/>
    <w:rsid w:val="009A6D32"/>
    <w:rsid w:val="009A71C4"/>
    <w:rsid w:val="009A7C4B"/>
    <w:rsid w:val="009B039B"/>
    <w:rsid w:val="009B0796"/>
    <w:rsid w:val="009B15EC"/>
    <w:rsid w:val="009B1781"/>
    <w:rsid w:val="009B2236"/>
    <w:rsid w:val="009B2328"/>
    <w:rsid w:val="009B2546"/>
    <w:rsid w:val="009B3449"/>
    <w:rsid w:val="009B3BE8"/>
    <w:rsid w:val="009B4194"/>
    <w:rsid w:val="009B464D"/>
    <w:rsid w:val="009B548F"/>
    <w:rsid w:val="009B55B9"/>
    <w:rsid w:val="009B5E4C"/>
    <w:rsid w:val="009B5F66"/>
    <w:rsid w:val="009B6535"/>
    <w:rsid w:val="009B7AED"/>
    <w:rsid w:val="009B7C3B"/>
    <w:rsid w:val="009C1A48"/>
    <w:rsid w:val="009C1EB8"/>
    <w:rsid w:val="009C1F90"/>
    <w:rsid w:val="009C2A0D"/>
    <w:rsid w:val="009C2F84"/>
    <w:rsid w:val="009C301F"/>
    <w:rsid w:val="009C31D2"/>
    <w:rsid w:val="009C335B"/>
    <w:rsid w:val="009C40C1"/>
    <w:rsid w:val="009C5E1C"/>
    <w:rsid w:val="009C66A3"/>
    <w:rsid w:val="009C6975"/>
    <w:rsid w:val="009C7B4F"/>
    <w:rsid w:val="009C7EE6"/>
    <w:rsid w:val="009D15F1"/>
    <w:rsid w:val="009D1B15"/>
    <w:rsid w:val="009D3066"/>
    <w:rsid w:val="009D31BE"/>
    <w:rsid w:val="009D3339"/>
    <w:rsid w:val="009D3B47"/>
    <w:rsid w:val="009D416B"/>
    <w:rsid w:val="009D5D10"/>
    <w:rsid w:val="009D616A"/>
    <w:rsid w:val="009D62A7"/>
    <w:rsid w:val="009E0066"/>
    <w:rsid w:val="009E17FE"/>
    <w:rsid w:val="009E1A4A"/>
    <w:rsid w:val="009E2060"/>
    <w:rsid w:val="009E263A"/>
    <w:rsid w:val="009E2971"/>
    <w:rsid w:val="009E49F7"/>
    <w:rsid w:val="009E4F5D"/>
    <w:rsid w:val="009E6061"/>
    <w:rsid w:val="009E6A99"/>
    <w:rsid w:val="009E6E68"/>
    <w:rsid w:val="009E750A"/>
    <w:rsid w:val="009F014A"/>
    <w:rsid w:val="009F13B5"/>
    <w:rsid w:val="009F210E"/>
    <w:rsid w:val="009F23B0"/>
    <w:rsid w:val="009F3EBB"/>
    <w:rsid w:val="009F44F7"/>
    <w:rsid w:val="009F537C"/>
    <w:rsid w:val="009F5D29"/>
    <w:rsid w:val="009F7908"/>
    <w:rsid w:val="009F7BF0"/>
    <w:rsid w:val="00A005E5"/>
    <w:rsid w:val="00A01086"/>
    <w:rsid w:val="00A01A51"/>
    <w:rsid w:val="00A02AA8"/>
    <w:rsid w:val="00A049E5"/>
    <w:rsid w:val="00A05E57"/>
    <w:rsid w:val="00A07643"/>
    <w:rsid w:val="00A10C5A"/>
    <w:rsid w:val="00A1120D"/>
    <w:rsid w:val="00A11235"/>
    <w:rsid w:val="00A112EF"/>
    <w:rsid w:val="00A12F19"/>
    <w:rsid w:val="00A13A28"/>
    <w:rsid w:val="00A13CB3"/>
    <w:rsid w:val="00A13F0D"/>
    <w:rsid w:val="00A13FE6"/>
    <w:rsid w:val="00A1402D"/>
    <w:rsid w:val="00A14686"/>
    <w:rsid w:val="00A15A33"/>
    <w:rsid w:val="00A15DB7"/>
    <w:rsid w:val="00A167E4"/>
    <w:rsid w:val="00A16CA5"/>
    <w:rsid w:val="00A1717A"/>
    <w:rsid w:val="00A17503"/>
    <w:rsid w:val="00A17EA8"/>
    <w:rsid w:val="00A2009B"/>
    <w:rsid w:val="00A20F20"/>
    <w:rsid w:val="00A20FC8"/>
    <w:rsid w:val="00A215B3"/>
    <w:rsid w:val="00A22134"/>
    <w:rsid w:val="00A23155"/>
    <w:rsid w:val="00A23C55"/>
    <w:rsid w:val="00A241B0"/>
    <w:rsid w:val="00A246A2"/>
    <w:rsid w:val="00A24D20"/>
    <w:rsid w:val="00A24E1C"/>
    <w:rsid w:val="00A258BE"/>
    <w:rsid w:val="00A25DDC"/>
    <w:rsid w:val="00A27259"/>
    <w:rsid w:val="00A27C44"/>
    <w:rsid w:val="00A27CA3"/>
    <w:rsid w:val="00A27E0A"/>
    <w:rsid w:val="00A30093"/>
    <w:rsid w:val="00A30DE8"/>
    <w:rsid w:val="00A3229C"/>
    <w:rsid w:val="00A32C4E"/>
    <w:rsid w:val="00A32FA4"/>
    <w:rsid w:val="00A332E9"/>
    <w:rsid w:val="00A339D0"/>
    <w:rsid w:val="00A33DBF"/>
    <w:rsid w:val="00A34297"/>
    <w:rsid w:val="00A3452B"/>
    <w:rsid w:val="00A34B0A"/>
    <w:rsid w:val="00A350C7"/>
    <w:rsid w:val="00A3565D"/>
    <w:rsid w:val="00A35FE1"/>
    <w:rsid w:val="00A3683C"/>
    <w:rsid w:val="00A37C15"/>
    <w:rsid w:val="00A40D9C"/>
    <w:rsid w:val="00A415B4"/>
    <w:rsid w:val="00A42744"/>
    <w:rsid w:val="00A45F94"/>
    <w:rsid w:val="00A46A9A"/>
    <w:rsid w:val="00A4717D"/>
    <w:rsid w:val="00A47F6A"/>
    <w:rsid w:val="00A50111"/>
    <w:rsid w:val="00A52C22"/>
    <w:rsid w:val="00A533ED"/>
    <w:rsid w:val="00A549EA"/>
    <w:rsid w:val="00A549FC"/>
    <w:rsid w:val="00A554ED"/>
    <w:rsid w:val="00A556A2"/>
    <w:rsid w:val="00A566A8"/>
    <w:rsid w:val="00A56A0F"/>
    <w:rsid w:val="00A60022"/>
    <w:rsid w:val="00A61779"/>
    <w:rsid w:val="00A61C5F"/>
    <w:rsid w:val="00A64020"/>
    <w:rsid w:val="00A6490A"/>
    <w:rsid w:val="00A64914"/>
    <w:rsid w:val="00A6514E"/>
    <w:rsid w:val="00A672E6"/>
    <w:rsid w:val="00A676E0"/>
    <w:rsid w:val="00A67F4B"/>
    <w:rsid w:val="00A7128D"/>
    <w:rsid w:val="00A73454"/>
    <w:rsid w:val="00A73F60"/>
    <w:rsid w:val="00A741EA"/>
    <w:rsid w:val="00A741F8"/>
    <w:rsid w:val="00A74909"/>
    <w:rsid w:val="00A759B2"/>
    <w:rsid w:val="00A75A6C"/>
    <w:rsid w:val="00A75CF8"/>
    <w:rsid w:val="00A767F0"/>
    <w:rsid w:val="00A76FCE"/>
    <w:rsid w:val="00A77125"/>
    <w:rsid w:val="00A7718B"/>
    <w:rsid w:val="00A7747F"/>
    <w:rsid w:val="00A77EC0"/>
    <w:rsid w:val="00A8321A"/>
    <w:rsid w:val="00A83AE2"/>
    <w:rsid w:val="00A83D5F"/>
    <w:rsid w:val="00A83F19"/>
    <w:rsid w:val="00A8411A"/>
    <w:rsid w:val="00A8449C"/>
    <w:rsid w:val="00A849AE"/>
    <w:rsid w:val="00A84C13"/>
    <w:rsid w:val="00A84C3C"/>
    <w:rsid w:val="00A8509A"/>
    <w:rsid w:val="00A86562"/>
    <w:rsid w:val="00A86756"/>
    <w:rsid w:val="00A86F57"/>
    <w:rsid w:val="00A87F4B"/>
    <w:rsid w:val="00A909A3"/>
    <w:rsid w:val="00A919AE"/>
    <w:rsid w:val="00A91BD2"/>
    <w:rsid w:val="00A928B0"/>
    <w:rsid w:val="00A940BE"/>
    <w:rsid w:val="00A96316"/>
    <w:rsid w:val="00A964B0"/>
    <w:rsid w:val="00A9658A"/>
    <w:rsid w:val="00A9707C"/>
    <w:rsid w:val="00A970ED"/>
    <w:rsid w:val="00A978CA"/>
    <w:rsid w:val="00AA0AF5"/>
    <w:rsid w:val="00AA1D5A"/>
    <w:rsid w:val="00AA1E1E"/>
    <w:rsid w:val="00AA305C"/>
    <w:rsid w:val="00AA3095"/>
    <w:rsid w:val="00AA399B"/>
    <w:rsid w:val="00AA3F81"/>
    <w:rsid w:val="00AA553F"/>
    <w:rsid w:val="00AA5A77"/>
    <w:rsid w:val="00AA66BE"/>
    <w:rsid w:val="00AA76C3"/>
    <w:rsid w:val="00AA780D"/>
    <w:rsid w:val="00AA7E14"/>
    <w:rsid w:val="00AB0EC2"/>
    <w:rsid w:val="00AB1A8F"/>
    <w:rsid w:val="00AB25A3"/>
    <w:rsid w:val="00AB2A7A"/>
    <w:rsid w:val="00AB3CEF"/>
    <w:rsid w:val="00AB3D33"/>
    <w:rsid w:val="00AB5A31"/>
    <w:rsid w:val="00AB6BC4"/>
    <w:rsid w:val="00AB7056"/>
    <w:rsid w:val="00AB7FD8"/>
    <w:rsid w:val="00AC0166"/>
    <w:rsid w:val="00AC1716"/>
    <w:rsid w:val="00AC1B27"/>
    <w:rsid w:val="00AC1FAE"/>
    <w:rsid w:val="00AC3032"/>
    <w:rsid w:val="00AC4C62"/>
    <w:rsid w:val="00AC51DC"/>
    <w:rsid w:val="00AC5BA6"/>
    <w:rsid w:val="00AC60D4"/>
    <w:rsid w:val="00AC684A"/>
    <w:rsid w:val="00AC6B53"/>
    <w:rsid w:val="00AC760A"/>
    <w:rsid w:val="00AC7839"/>
    <w:rsid w:val="00AD0B44"/>
    <w:rsid w:val="00AD0E16"/>
    <w:rsid w:val="00AD1FF8"/>
    <w:rsid w:val="00AD2BE5"/>
    <w:rsid w:val="00AD31DA"/>
    <w:rsid w:val="00AD4C42"/>
    <w:rsid w:val="00AD4DFE"/>
    <w:rsid w:val="00AD504E"/>
    <w:rsid w:val="00AD5B9F"/>
    <w:rsid w:val="00AD6323"/>
    <w:rsid w:val="00AD6DDB"/>
    <w:rsid w:val="00AD722A"/>
    <w:rsid w:val="00AE2369"/>
    <w:rsid w:val="00AE25C9"/>
    <w:rsid w:val="00AE3915"/>
    <w:rsid w:val="00AE39EE"/>
    <w:rsid w:val="00AE3AA9"/>
    <w:rsid w:val="00AE40B6"/>
    <w:rsid w:val="00AE4F92"/>
    <w:rsid w:val="00AE53E5"/>
    <w:rsid w:val="00AE646B"/>
    <w:rsid w:val="00AE6B24"/>
    <w:rsid w:val="00AF155C"/>
    <w:rsid w:val="00AF1AC2"/>
    <w:rsid w:val="00AF1DA2"/>
    <w:rsid w:val="00AF2B23"/>
    <w:rsid w:val="00AF328D"/>
    <w:rsid w:val="00AF361C"/>
    <w:rsid w:val="00AF394E"/>
    <w:rsid w:val="00AF3B03"/>
    <w:rsid w:val="00AF42AA"/>
    <w:rsid w:val="00AF4949"/>
    <w:rsid w:val="00AF64C4"/>
    <w:rsid w:val="00AF6985"/>
    <w:rsid w:val="00AF6D1A"/>
    <w:rsid w:val="00AF7BD0"/>
    <w:rsid w:val="00AF7EA9"/>
    <w:rsid w:val="00B03CC9"/>
    <w:rsid w:val="00B0456D"/>
    <w:rsid w:val="00B04BC6"/>
    <w:rsid w:val="00B05048"/>
    <w:rsid w:val="00B0597D"/>
    <w:rsid w:val="00B05F9C"/>
    <w:rsid w:val="00B07472"/>
    <w:rsid w:val="00B076A5"/>
    <w:rsid w:val="00B079FB"/>
    <w:rsid w:val="00B07A77"/>
    <w:rsid w:val="00B07E15"/>
    <w:rsid w:val="00B11504"/>
    <w:rsid w:val="00B11932"/>
    <w:rsid w:val="00B119E0"/>
    <w:rsid w:val="00B11EF4"/>
    <w:rsid w:val="00B12716"/>
    <w:rsid w:val="00B129C3"/>
    <w:rsid w:val="00B13E93"/>
    <w:rsid w:val="00B15171"/>
    <w:rsid w:val="00B156CC"/>
    <w:rsid w:val="00B158A0"/>
    <w:rsid w:val="00B15B56"/>
    <w:rsid w:val="00B15D12"/>
    <w:rsid w:val="00B162EF"/>
    <w:rsid w:val="00B17E37"/>
    <w:rsid w:val="00B20CA0"/>
    <w:rsid w:val="00B21084"/>
    <w:rsid w:val="00B226B1"/>
    <w:rsid w:val="00B2287D"/>
    <w:rsid w:val="00B22F30"/>
    <w:rsid w:val="00B2441D"/>
    <w:rsid w:val="00B24AD2"/>
    <w:rsid w:val="00B24C1C"/>
    <w:rsid w:val="00B251EF"/>
    <w:rsid w:val="00B258D1"/>
    <w:rsid w:val="00B25ABA"/>
    <w:rsid w:val="00B268D7"/>
    <w:rsid w:val="00B27D51"/>
    <w:rsid w:val="00B30BB0"/>
    <w:rsid w:val="00B30D3E"/>
    <w:rsid w:val="00B30E1C"/>
    <w:rsid w:val="00B32830"/>
    <w:rsid w:val="00B32A5F"/>
    <w:rsid w:val="00B33315"/>
    <w:rsid w:val="00B34B13"/>
    <w:rsid w:val="00B35B29"/>
    <w:rsid w:val="00B35B60"/>
    <w:rsid w:val="00B370E9"/>
    <w:rsid w:val="00B373D4"/>
    <w:rsid w:val="00B374C3"/>
    <w:rsid w:val="00B40B0E"/>
    <w:rsid w:val="00B41A0E"/>
    <w:rsid w:val="00B42342"/>
    <w:rsid w:val="00B42FAF"/>
    <w:rsid w:val="00B4381D"/>
    <w:rsid w:val="00B440C9"/>
    <w:rsid w:val="00B444BE"/>
    <w:rsid w:val="00B447EB"/>
    <w:rsid w:val="00B45550"/>
    <w:rsid w:val="00B45A66"/>
    <w:rsid w:val="00B47858"/>
    <w:rsid w:val="00B47D87"/>
    <w:rsid w:val="00B50689"/>
    <w:rsid w:val="00B50FEA"/>
    <w:rsid w:val="00B51175"/>
    <w:rsid w:val="00B52020"/>
    <w:rsid w:val="00B5316E"/>
    <w:rsid w:val="00B532FA"/>
    <w:rsid w:val="00B5397C"/>
    <w:rsid w:val="00B53D70"/>
    <w:rsid w:val="00B540E8"/>
    <w:rsid w:val="00B54FA9"/>
    <w:rsid w:val="00B5574D"/>
    <w:rsid w:val="00B55CC3"/>
    <w:rsid w:val="00B55E8D"/>
    <w:rsid w:val="00B56DAF"/>
    <w:rsid w:val="00B57113"/>
    <w:rsid w:val="00B57B0B"/>
    <w:rsid w:val="00B60A94"/>
    <w:rsid w:val="00B61949"/>
    <w:rsid w:val="00B62783"/>
    <w:rsid w:val="00B63223"/>
    <w:rsid w:val="00B63B95"/>
    <w:rsid w:val="00B64308"/>
    <w:rsid w:val="00B64C55"/>
    <w:rsid w:val="00B65DC0"/>
    <w:rsid w:val="00B6684D"/>
    <w:rsid w:val="00B705CB"/>
    <w:rsid w:val="00B70F35"/>
    <w:rsid w:val="00B711DD"/>
    <w:rsid w:val="00B71871"/>
    <w:rsid w:val="00B71ABC"/>
    <w:rsid w:val="00B71B1B"/>
    <w:rsid w:val="00B71F74"/>
    <w:rsid w:val="00B7314A"/>
    <w:rsid w:val="00B73259"/>
    <w:rsid w:val="00B73C23"/>
    <w:rsid w:val="00B76BAB"/>
    <w:rsid w:val="00B771FF"/>
    <w:rsid w:val="00B8015E"/>
    <w:rsid w:val="00B80F52"/>
    <w:rsid w:val="00B81745"/>
    <w:rsid w:val="00B82475"/>
    <w:rsid w:val="00B82C45"/>
    <w:rsid w:val="00B8330D"/>
    <w:rsid w:val="00B834F2"/>
    <w:rsid w:val="00B83576"/>
    <w:rsid w:val="00B83668"/>
    <w:rsid w:val="00B83BB8"/>
    <w:rsid w:val="00B85359"/>
    <w:rsid w:val="00B857BA"/>
    <w:rsid w:val="00B85FF2"/>
    <w:rsid w:val="00B86734"/>
    <w:rsid w:val="00B87BC8"/>
    <w:rsid w:val="00B9160B"/>
    <w:rsid w:val="00B9269A"/>
    <w:rsid w:val="00B939D2"/>
    <w:rsid w:val="00B93F96"/>
    <w:rsid w:val="00B94B8A"/>
    <w:rsid w:val="00B97B6B"/>
    <w:rsid w:val="00BA04BD"/>
    <w:rsid w:val="00BA054F"/>
    <w:rsid w:val="00BA123B"/>
    <w:rsid w:val="00BA1584"/>
    <w:rsid w:val="00BA1C73"/>
    <w:rsid w:val="00BA313D"/>
    <w:rsid w:val="00BA3673"/>
    <w:rsid w:val="00BA3721"/>
    <w:rsid w:val="00BA378D"/>
    <w:rsid w:val="00BA3C40"/>
    <w:rsid w:val="00BA429E"/>
    <w:rsid w:val="00BA4B4F"/>
    <w:rsid w:val="00BA54C4"/>
    <w:rsid w:val="00BA5608"/>
    <w:rsid w:val="00BA5F36"/>
    <w:rsid w:val="00BA7802"/>
    <w:rsid w:val="00BB0246"/>
    <w:rsid w:val="00BB059B"/>
    <w:rsid w:val="00BB0B5E"/>
    <w:rsid w:val="00BB115A"/>
    <w:rsid w:val="00BB1D85"/>
    <w:rsid w:val="00BB28C1"/>
    <w:rsid w:val="00BB4B21"/>
    <w:rsid w:val="00BB50CC"/>
    <w:rsid w:val="00BB613C"/>
    <w:rsid w:val="00BC033B"/>
    <w:rsid w:val="00BC1569"/>
    <w:rsid w:val="00BC1C51"/>
    <w:rsid w:val="00BC276B"/>
    <w:rsid w:val="00BC283B"/>
    <w:rsid w:val="00BC3526"/>
    <w:rsid w:val="00BC5A7E"/>
    <w:rsid w:val="00BC64BA"/>
    <w:rsid w:val="00BC70B1"/>
    <w:rsid w:val="00BD0039"/>
    <w:rsid w:val="00BD1F58"/>
    <w:rsid w:val="00BD242C"/>
    <w:rsid w:val="00BD28B3"/>
    <w:rsid w:val="00BD33A8"/>
    <w:rsid w:val="00BD3C26"/>
    <w:rsid w:val="00BD4347"/>
    <w:rsid w:val="00BD467E"/>
    <w:rsid w:val="00BD7222"/>
    <w:rsid w:val="00BD7907"/>
    <w:rsid w:val="00BD7EA0"/>
    <w:rsid w:val="00BE1E96"/>
    <w:rsid w:val="00BE2210"/>
    <w:rsid w:val="00BE448A"/>
    <w:rsid w:val="00BE4C59"/>
    <w:rsid w:val="00BE5AC7"/>
    <w:rsid w:val="00BE5EA5"/>
    <w:rsid w:val="00BE6C84"/>
    <w:rsid w:val="00BE6D75"/>
    <w:rsid w:val="00BE746A"/>
    <w:rsid w:val="00BF330B"/>
    <w:rsid w:val="00BF3E58"/>
    <w:rsid w:val="00BF457C"/>
    <w:rsid w:val="00BF4A8E"/>
    <w:rsid w:val="00BF73E4"/>
    <w:rsid w:val="00BF7514"/>
    <w:rsid w:val="00BF75D8"/>
    <w:rsid w:val="00BF7F51"/>
    <w:rsid w:val="00C006DC"/>
    <w:rsid w:val="00C01360"/>
    <w:rsid w:val="00C01AD7"/>
    <w:rsid w:val="00C027B8"/>
    <w:rsid w:val="00C02ADD"/>
    <w:rsid w:val="00C0318E"/>
    <w:rsid w:val="00C05206"/>
    <w:rsid w:val="00C05214"/>
    <w:rsid w:val="00C0628D"/>
    <w:rsid w:val="00C06A15"/>
    <w:rsid w:val="00C06E10"/>
    <w:rsid w:val="00C111BB"/>
    <w:rsid w:val="00C11BC8"/>
    <w:rsid w:val="00C1202C"/>
    <w:rsid w:val="00C1323C"/>
    <w:rsid w:val="00C1496E"/>
    <w:rsid w:val="00C165BB"/>
    <w:rsid w:val="00C16623"/>
    <w:rsid w:val="00C1682B"/>
    <w:rsid w:val="00C17518"/>
    <w:rsid w:val="00C206AB"/>
    <w:rsid w:val="00C21016"/>
    <w:rsid w:val="00C21858"/>
    <w:rsid w:val="00C21A11"/>
    <w:rsid w:val="00C229D0"/>
    <w:rsid w:val="00C22DBD"/>
    <w:rsid w:val="00C22E7F"/>
    <w:rsid w:val="00C22EA0"/>
    <w:rsid w:val="00C22F55"/>
    <w:rsid w:val="00C232C1"/>
    <w:rsid w:val="00C23C8C"/>
    <w:rsid w:val="00C249E8"/>
    <w:rsid w:val="00C24B27"/>
    <w:rsid w:val="00C259FA"/>
    <w:rsid w:val="00C25C9A"/>
    <w:rsid w:val="00C27209"/>
    <w:rsid w:val="00C3042D"/>
    <w:rsid w:val="00C30D25"/>
    <w:rsid w:val="00C3146E"/>
    <w:rsid w:val="00C31F64"/>
    <w:rsid w:val="00C331ED"/>
    <w:rsid w:val="00C33E1D"/>
    <w:rsid w:val="00C3439D"/>
    <w:rsid w:val="00C35461"/>
    <w:rsid w:val="00C35B30"/>
    <w:rsid w:val="00C36054"/>
    <w:rsid w:val="00C362B7"/>
    <w:rsid w:val="00C3693F"/>
    <w:rsid w:val="00C37A6A"/>
    <w:rsid w:val="00C37BA7"/>
    <w:rsid w:val="00C37E7A"/>
    <w:rsid w:val="00C410F0"/>
    <w:rsid w:val="00C416A2"/>
    <w:rsid w:val="00C41964"/>
    <w:rsid w:val="00C41BFB"/>
    <w:rsid w:val="00C4265F"/>
    <w:rsid w:val="00C42DEF"/>
    <w:rsid w:val="00C43369"/>
    <w:rsid w:val="00C436B8"/>
    <w:rsid w:val="00C443D7"/>
    <w:rsid w:val="00C4677B"/>
    <w:rsid w:val="00C46F8E"/>
    <w:rsid w:val="00C4751C"/>
    <w:rsid w:val="00C51D60"/>
    <w:rsid w:val="00C529CC"/>
    <w:rsid w:val="00C53782"/>
    <w:rsid w:val="00C538CE"/>
    <w:rsid w:val="00C54487"/>
    <w:rsid w:val="00C54EBF"/>
    <w:rsid w:val="00C54F7C"/>
    <w:rsid w:val="00C55019"/>
    <w:rsid w:val="00C55D77"/>
    <w:rsid w:val="00C5756D"/>
    <w:rsid w:val="00C579C7"/>
    <w:rsid w:val="00C57DB3"/>
    <w:rsid w:val="00C603C5"/>
    <w:rsid w:val="00C60703"/>
    <w:rsid w:val="00C60B49"/>
    <w:rsid w:val="00C60E62"/>
    <w:rsid w:val="00C61E34"/>
    <w:rsid w:val="00C620FD"/>
    <w:rsid w:val="00C62368"/>
    <w:rsid w:val="00C62A91"/>
    <w:rsid w:val="00C63348"/>
    <w:rsid w:val="00C63724"/>
    <w:rsid w:val="00C639E4"/>
    <w:rsid w:val="00C654F0"/>
    <w:rsid w:val="00C6603B"/>
    <w:rsid w:val="00C6634D"/>
    <w:rsid w:val="00C6739C"/>
    <w:rsid w:val="00C67711"/>
    <w:rsid w:val="00C718D0"/>
    <w:rsid w:val="00C71A15"/>
    <w:rsid w:val="00C71B73"/>
    <w:rsid w:val="00C71CB2"/>
    <w:rsid w:val="00C71CED"/>
    <w:rsid w:val="00C72B08"/>
    <w:rsid w:val="00C734ED"/>
    <w:rsid w:val="00C7444F"/>
    <w:rsid w:val="00C76BFB"/>
    <w:rsid w:val="00C76E1A"/>
    <w:rsid w:val="00C778C6"/>
    <w:rsid w:val="00C80406"/>
    <w:rsid w:val="00C80C62"/>
    <w:rsid w:val="00C810A6"/>
    <w:rsid w:val="00C8132A"/>
    <w:rsid w:val="00C81A94"/>
    <w:rsid w:val="00C81EB4"/>
    <w:rsid w:val="00C822F5"/>
    <w:rsid w:val="00C8267F"/>
    <w:rsid w:val="00C8294F"/>
    <w:rsid w:val="00C82A8A"/>
    <w:rsid w:val="00C83A08"/>
    <w:rsid w:val="00C851BC"/>
    <w:rsid w:val="00C85524"/>
    <w:rsid w:val="00C85CEA"/>
    <w:rsid w:val="00C8634C"/>
    <w:rsid w:val="00C90123"/>
    <w:rsid w:val="00C903F9"/>
    <w:rsid w:val="00C904E3"/>
    <w:rsid w:val="00C907A0"/>
    <w:rsid w:val="00C91494"/>
    <w:rsid w:val="00C93874"/>
    <w:rsid w:val="00C940AA"/>
    <w:rsid w:val="00C94FB8"/>
    <w:rsid w:val="00C954CC"/>
    <w:rsid w:val="00C96351"/>
    <w:rsid w:val="00C96BED"/>
    <w:rsid w:val="00C96E79"/>
    <w:rsid w:val="00C97337"/>
    <w:rsid w:val="00C97F3D"/>
    <w:rsid w:val="00CA168B"/>
    <w:rsid w:val="00CA2650"/>
    <w:rsid w:val="00CA3178"/>
    <w:rsid w:val="00CA31F6"/>
    <w:rsid w:val="00CA4694"/>
    <w:rsid w:val="00CA5801"/>
    <w:rsid w:val="00CA5E8C"/>
    <w:rsid w:val="00CA67A8"/>
    <w:rsid w:val="00CA6838"/>
    <w:rsid w:val="00CA7730"/>
    <w:rsid w:val="00CA7DC9"/>
    <w:rsid w:val="00CB032B"/>
    <w:rsid w:val="00CB0554"/>
    <w:rsid w:val="00CB0E44"/>
    <w:rsid w:val="00CB1314"/>
    <w:rsid w:val="00CB1AF5"/>
    <w:rsid w:val="00CB1EDE"/>
    <w:rsid w:val="00CB21F1"/>
    <w:rsid w:val="00CB3ABA"/>
    <w:rsid w:val="00CB476D"/>
    <w:rsid w:val="00CB47CC"/>
    <w:rsid w:val="00CB5877"/>
    <w:rsid w:val="00CB5B18"/>
    <w:rsid w:val="00CB5EE8"/>
    <w:rsid w:val="00CB668C"/>
    <w:rsid w:val="00CB6973"/>
    <w:rsid w:val="00CB7341"/>
    <w:rsid w:val="00CB7C57"/>
    <w:rsid w:val="00CB7ED2"/>
    <w:rsid w:val="00CB7FEF"/>
    <w:rsid w:val="00CC1136"/>
    <w:rsid w:val="00CC187A"/>
    <w:rsid w:val="00CC20FA"/>
    <w:rsid w:val="00CC2338"/>
    <w:rsid w:val="00CC3555"/>
    <w:rsid w:val="00CC3F0A"/>
    <w:rsid w:val="00CC422C"/>
    <w:rsid w:val="00CC5606"/>
    <w:rsid w:val="00CC5940"/>
    <w:rsid w:val="00CC61FA"/>
    <w:rsid w:val="00CC68A1"/>
    <w:rsid w:val="00CD02A5"/>
    <w:rsid w:val="00CD3116"/>
    <w:rsid w:val="00CD4659"/>
    <w:rsid w:val="00CD4C85"/>
    <w:rsid w:val="00CD7218"/>
    <w:rsid w:val="00CD7E06"/>
    <w:rsid w:val="00CD7F0B"/>
    <w:rsid w:val="00CE1556"/>
    <w:rsid w:val="00CE1C07"/>
    <w:rsid w:val="00CE342F"/>
    <w:rsid w:val="00CE348E"/>
    <w:rsid w:val="00CE3CEF"/>
    <w:rsid w:val="00CE5918"/>
    <w:rsid w:val="00CE5EB8"/>
    <w:rsid w:val="00CE6C41"/>
    <w:rsid w:val="00CE726D"/>
    <w:rsid w:val="00CF0711"/>
    <w:rsid w:val="00CF0FB5"/>
    <w:rsid w:val="00CF1D3B"/>
    <w:rsid w:val="00CF1EA3"/>
    <w:rsid w:val="00CF2183"/>
    <w:rsid w:val="00CF28C2"/>
    <w:rsid w:val="00CF36B3"/>
    <w:rsid w:val="00CF3739"/>
    <w:rsid w:val="00CF4249"/>
    <w:rsid w:val="00CF42C1"/>
    <w:rsid w:val="00CF48E4"/>
    <w:rsid w:val="00CF56E5"/>
    <w:rsid w:val="00CF58CF"/>
    <w:rsid w:val="00CF5A2D"/>
    <w:rsid w:val="00CF6CE7"/>
    <w:rsid w:val="00D000B7"/>
    <w:rsid w:val="00D0165F"/>
    <w:rsid w:val="00D018DD"/>
    <w:rsid w:val="00D01B3D"/>
    <w:rsid w:val="00D03764"/>
    <w:rsid w:val="00D044DC"/>
    <w:rsid w:val="00D05A02"/>
    <w:rsid w:val="00D061CF"/>
    <w:rsid w:val="00D063EB"/>
    <w:rsid w:val="00D06580"/>
    <w:rsid w:val="00D0725D"/>
    <w:rsid w:val="00D07311"/>
    <w:rsid w:val="00D114A2"/>
    <w:rsid w:val="00D11C5F"/>
    <w:rsid w:val="00D11F38"/>
    <w:rsid w:val="00D11F49"/>
    <w:rsid w:val="00D12839"/>
    <w:rsid w:val="00D12CC0"/>
    <w:rsid w:val="00D13418"/>
    <w:rsid w:val="00D1467D"/>
    <w:rsid w:val="00D14ED9"/>
    <w:rsid w:val="00D15782"/>
    <w:rsid w:val="00D15E75"/>
    <w:rsid w:val="00D17090"/>
    <w:rsid w:val="00D17447"/>
    <w:rsid w:val="00D17467"/>
    <w:rsid w:val="00D2150F"/>
    <w:rsid w:val="00D215DF"/>
    <w:rsid w:val="00D217D1"/>
    <w:rsid w:val="00D229CE"/>
    <w:rsid w:val="00D241A4"/>
    <w:rsid w:val="00D26B91"/>
    <w:rsid w:val="00D27038"/>
    <w:rsid w:val="00D27B12"/>
    <w:rsid w:val="00D27CA6"/>
    <w:rsid w:val="00D27E83"/>
    <w:rsid w:val="00D302C8"/>
    <w:rsid w:val="00D30493"/>
    <w:rsid w:val="00D3098D"/>
    <w:rsid w:val="00D31C52"/>
    <w:rsid w:val="00D31C73"/>
    <w:rsid w:val="00D33985"/>
    <w:rsid w:val="00D33E3B"/>
    <w:rsid w:val="00D346E8"/>
    <w:rsid w:val="00D36974"/>
    <w:rsid w:val="00D402B2"/>
    <w:rsid w:val="00D40999"/>
    <w:rsid w:val="00D40B85"/>
    <w:rsid w:val="00D41A94"/>
    <w:rsid w:val="00D4213A"/>
    <w:rsid w:val="00D424A4"/>
    <w:rsid w:val="00D43D71"/>
    <w:rsid w:val="00D4485D"/>
    <w:rsid w:val="00D44AA7"/>
    <w:rsid w:val="00D45320"/>
    <w:rsid w:val="00D45EA9"/>
    <w:rsid w:val="00D45FFE"/>
    <w:rsid w:val="00D466AA"/>
    <w:rsid w:val="00D50DAC"/>
    <w:rsid w:val="00D51FB1"/>
    <w:rsid w:val="00D52159"/>
    <w:rsid w:val="00D535AC"/>
    <w:rsid w:val="00D53A87"/>
    <w:rsid w:val="00D53E7F"/>
    <w:rsid w:val="00D543C1"/>
    <w:rsid w:val="00D54422"/>
    <w:rsid w:val="00D55445"/>
    <w:rsid w:val="00D555C7"/>
    <w:rsid w:val="00D55676"/>
    <w:rsid w:val="00D55D5D"/>
    <w:rsid w:val="00D566F4"/>
    <w:rsid w:val="00D56D51"/>
    <w:rsid w:val="00D60855"/>
    <w:rsid w:val="00D621F5"/>
    <w:rsid w:val="00D6258D"/>
    <w:rsid w:val="00D62940"/>
    <w:rsid w:val="00D62AB0"/>
    <w:rsid w:val="00D63F2B"/>
    <w:rsid w:val="00D66144"/>
    <w:rsid w:val="00D678F6"/>
    <w:rsid w:val="00D67987"/>
    <w:rsid w:val="00D7101B"/>
    <w:rsid w:val="00D74BE8"/>
    <w:rsid w:val="00D7742F"/>
    <w:rsid w:val="00D777D1"/>
    <w:rsid w:val="00D77D38"/>
    <w:rsid w:val="00D77E58"/>
    <w:rsid w:val="00D81B9B"/>
    <w:rsid w:val="00D81D01"/>
    <w:rsid w:val="00D81F86"/>
    <w:rsid w:val="00D82D56"/>
    <w:rsid w:val="00D8355E"/>
    <w:rsid w:val="00D85685"/>
    <w:rsid w:val="00D86304"/>
    <w:rsid w:val="00D8716B"/>
    <w:rsid w:val="00D90464"/>
    <w:rsid w:val="00D90742"/>
    <w:rsid w:val="00D90EF6"/>
    <w:rsid w:val="00D90F0F"/>
    <w:rsid w:val="00D92049"/>
    <w:rsid w:val="00D93675"/>
    <w:rsid w:val="00D937AC"/>
    <w:rsid w:val="00D93E7E"/>
    <w:rsid w:val="00D93FAC"/>
    <w:rsid w:val="00D94405"/>
    <w:rsid w:val="00D9480D"/>
    <w:rsid w:val="00D95FC3"/>
    <w:rsid w:val="00D96A3B"/>
    <w:rsid w:val="00D96C64"/>
    <w:rsid w:val="00DA08F8"/>
    <w:rsid w:val="00DA21E8"/>
    <w:rsid w:val="00DA24F5"/>
    <w:rsid w:val="00DA3880"/>
    <w:rsid w:val="00DA3C21"/>
    <w:rsid w:val="00DA4446"/>
    <w:rsid w:val="00DA4628"/>
    <w:rsid w:val="00DA4833"/>
    <w:rsid w:val="00DA4CB2"/>
    <w:rsid w:val="00DA56C2"/>
    <w:rsid w:val="00DA78E1"/>
    <w:rsid w:val="00DB18B8"/>
    <w:rsid w:val="00DB3517"/>
    <w:rsid w:val="00DB3C58"/>
    <w:rsid w:val="00DB4B77"/>
    <w:rsid w:val="00DB4F82"/>
    <w:rsid w:val="00DB6AA4"/>
    <w:rsid w:val="00DC011B"/>
    <w:rsid w:val="00DC0743"/>
    <w:rsid w:val="00DC075C"/>
    <w:rsid w:val="00DC0A3D"/>
    <w:rsid w:val="00DC1D5D"/>
    <w:rsid w:val="00DC35B4"/>
    <w:rsid w:val="00DC5ACB"/>
    <w:rsid w:val="00DC6FBB"/>
    <w:rsid w:val="00DC74BB"/>
    <w:rsid w:val="00DC7D01"/>
    <w:rsid w:val="00DC7E26"/>
    <w:rsid w:val="00DD0595"/>
    <w:rsid w:val="00DD064D"/>
    <w:rsid w:val="00DD0BCA"/>
    <w:rsid w:val="00DD116B"/>
    <w:rsid w:val="00DD196F"/>
    <w:rsid w:val="00DD2808"/>
    <w:rsid w:val="00DD44DA"/>
    <w:rsid w:val="00DD5D38"/>
    <w:rsid w:val="00DD6398"/>
    <w:rsid w:val="00DD644C"/>
    <w:rsid w:val="00DD6916"/>
    <w:rsid w:val="00DD6CF7"/>
    <w:rsid w:val="00DD7402"/>
    <w:rsid w:val="00DD7F59"/>
    <w:rsid w:val="00DE05FE"/>
    <w:rsid w:val="00DE0734"/>
    <w:rsid w:val="00DE16C6"/>
    <w:rsid w:val="00DE2FE3"/>
    <w:rsid w:val="00DE3C86"/>
    <w:rsid w:val="00DE4314"/>
    <w:rsid w:val="00DE5EE8"/>
    <w:rsid w:val="00DE5F3A"/>
    <w:rsid w:val="00DE743F"/>
    <w:rsid w:val="00DE74EC"/>
    <w:rsid w:val="00DE7DF2"/>
    <w:rsid w:val="00DF0B01"/>
    <w:rsid w:val="00DF0D46"/>
    <w:rsid w:val="00DF2403"/>
    <w:rsid w:val="00DF29C5"/>
    <w:rsid w:val="00DF2C16"/>
    <w:rsid w:val="00DF2E6D"/>
    <w:rsid w:val="00DF2EEE"/>
    <w:rsid w:val="00DF3421"/>
    <w:rsid w:val="00DF3D92"/>
    <w:rsid w:val="00DF56B6"/>
    <w:rsid w:val="00DF573E"/>
    <w:rsid w:val="00DF589E"/>
    <w:rsid w:val="00DF5A46"/>
    <w:rsid w:val="00DF6838"/>
    <w:rsid w:val="00DF7168"/>
    <w:rsid w:val="00DF73AB"/>
    <w:rsid w:val="00E0196C"/>
    <w:rsid w:val="00E0270D"/>
    <w:rsid w:val="00E02CE9"/>
    <w:rsid w:val="00E036BE"/>
    <w:rsid w:val="00E03B76"/>
    <w:rsid w:val="00E03CD8"/>
    <w:rsid w:val="00E073D6"/>
    <w:rsid w:val="00E109FF"/>
    <w:rsid w:val="00E10B5B"/>
    <w:rsid w:val="00E10D13"/>
    <w:rsid w:val="00E11105"/>
    <w:rsid w:val="00E13B8F"/>
    <w:rsid w:val="00E14C7A"/>
    <w:rsid w:val="00E16939"/>
    <w:rsid w:val="00E16F89"/>
    <w:rsid w:val="00E1766A"/>
    <w:rsid w:val="00E17A63"/>
    <w:rsid w:val="00E20C74"/>
    <w:rsid w:val="00E21F44"/>
    <w:rsid w:val="00E22060"/>
    <w:rsid w:val="00E22279"/>
    <w:rsid w:val="00E22382"/>
    <w:rsid w:val="00E229D8"/>
    <w:rsid w:val="00E22C2C"/>
    <w:rsid w:val="00E23974"/>
    <w:rsid w:val="00E2399B"/>
    <w:rsid w:val="00E251DC"/>
    <w:rsid w:val="00E25A2B"/>
    <w:rsid w:val="00E261AB"/>
    <w:rsid w:val="00E2663C"/>
    <w:rsid w:val="00E267E6"/>
    <w:rsid w:val="00E275E8"/>
    <w:rsid w:val="00E27608"/>
    <w:rsid w:val="00E27A83"/>
    <w:rsid w:val="00E3088B"/>
    <w:rsid w:val="00E30CD6"/>
    <w:rsid w:val="00E312A3"/>
    <w:rsid w:val="00E320A9"/>
    <w:rsid w:val="00E323EA"/>
    <w:rsid w:val="00E32940"/>
    <w:rsid w:val="00E330DA"/>
    <w:rsid w:val="00E34275"/>
    <w:rsid w:val="00E344CF"/>
    <w:rsid w:val="00E34501"/>
    <w:rsid w:val="00E34C67"/>
    <w:rsid w:val="00E352B9"/>
    <w:rsid w:val="00E35B8F"/>
    <w:rsid w:val="00E35F0E"/>
    <w:rsid w:val="00E3642E"/>
    <w:rsid w:val="00E36DB2"/>
    <w:rsid w:val="00E36EAE"/>
    <w:rsid w:val="00E3734B"/>
    <w:rsid w:val="00E37501"/>
    <w:rsid w:val="00E37897"/>
    <w:rsid w:val="00E40078"/>
    <w:rsid w:val="00E42425"/>
    <w:rsid w:val="00E42CE2"/>
    <w:rsid w:val="00E42FBD"/>
    <w:rsid w:val="00E4461B"/>
    <w:rsid w:val="00E4520C"/>
    <w:rsid w:val="00E454C8"/>
    <w:rsid w:val="00E45804"/>
    <w:rsid w:val="00E4584F"/>
    <w:rsid w:val="00E47196"/>
    <w:rsid w:val="00E50996"/>
    <w:rsid w:val="00E51F54"/>
    <w:rsid w:val="00E528AF"/>
    <w:rsid w:val="00E53290"/>
    <w:rsid w:val="00E544DB"/>
    <w:rsid w:val="00E5461F"/>
    <w:rsid w:val="00E5649B"/>
    <w:rsid w:val="00E564C6"/>
    <w:rsid w:val="00E5663F"/>
    <w:rsid w:val="00E5729E"/>
    <w:rsid w:val="00E575C8"/>
    <w:rsid w:val="00E5765C"/>
    <w:rsid w:val="00E577E6"/>
    <w:rsid w:val="00E60015"/>
    <w:rsid w:val="00E62279"/>
    <w:rsid w:val="00E62689"/>
    <w:rsid w:val="00E62B01"/>
    <w:rsid w:val="00E62C51"/>
    <w:rsid w:val="00E64B67"/>
    <w:rsid w:val="00E65A33"/>
    <w:rsid w:val="00E65F1D"/>
    <w:rsid w:val="00E66443"/>
    <w:rsid w:val="00E669CD"/>
    <w:rsid w:val="00E70706"/>
    <w:rsid w:val="00E70A2C"/>
    <w:rsid w:val="00E70C99"/>
    <w:rsid w:val="00E70FB6"/>
    <w:rsid w:val="00E716E3"/>
    <w:rsid w:val="00E725DE"/>
    <w:rsid w:val="00E73C32"/>
    <w:rsid w:val="00E73E87"/>
    <w:rsid w:val="00E740E8"/>
    <w:rsid w:val="00E743EE"/>
    <w:rsid w:val="00E75288"/>
    <w:rsid w:val="00E7610C"/>
    <w:rsid w:val="00E76318"/>
    <w:rsid w:val="00E76FF1"/>
    <w:rsid w:val="00E77D86"/>
    <w:rsid w:val="00E802FC"/>
    <w:rsid w:val="00E81168"/>
    <w:rsid w:val="00E813BB"/>
    <w:rsid w:val="00E81A92"/>
    <w:rsid w:val="00E83074"/>
    <w:rsid w:val="00E839D1"/>
    <w:rsid w:val="00E83A1D"/>
    <w:rsid w:val="00E847A7"/>
    <w:rsid w:val="00E84F64"/>
    <w:rsid w:val="00E85FF2"/>
    <w:rsid w:val="00E86CBA"/>
    <w:rsid w:val="00E87195"/>
    <w:rsid w:val="00E876EE"/>
    <w:rsid w:val="00E87BD0"/>
    <w:rsid w:val="00E906BE"/>
    <w:rsid w:val="00E90E39"/>
    <w:rsid w:val="00E912CC"/>
    <w:rsid w:val="00E917AF"/>
    <w:rsid w:val="00E91F70"/>
    <w:rsid w:val="00E91F8E"/>
    <w:rsid w:val="00E92541"/>
    <w:rsid w:val="00E93B9A"/>
    <w:rsid w:val="00E93C25"/>
    <w:rsid w:val="00E9447A"/>
    <w:rsid w:val="00E9493F"/>
    <w:rsid w:val="00E94B4F"/>
    <w:rsid w:val="00E95673"/>
    <w:rsid w:val="00E96F3D"/>
    <w:rsid w:val="00EA0768"/>
    <w:rsid w:val="00EA0FC0"/>
    <w:rsid w:val="00EA30F3"/>
    <w:rsid w:val="00EA52A5"/>
    <w:rsid w:val="00EA5D30"/>
    <w:rsid w:val="00EA5D8D"/>
    <w:rsid w:val="00EA60D1"/>
    <w:rsid w:val="00EA6BE1"/>
    <w:rsid w:val="00EA6CAC"/>
    <w:rsid w:val="00EA769C"/>
    <w:rsid w:val="00EA7A45"/>
    <w:rsid w:val="00EA7F0D"/>
    <w:rsid w:val="00EB0FCB"/>
    <w:rsid w:val="00EB1557"/>
    <w:rsid w:val="00EB17B0"/>
    <w:rsid w:val="00EB1D2A"/>
    <w:rsid w:val="00EB1F70"/>
    <w:rsid w:val="00EB36F2"/>
    <w:rsid w:val="00EB4D4B"/>
    <w:rsid w:val="00EB4E41"/>
    <w:rsid w:val="00EB6BC4"/>
    <w:rsid w:val="00EB7432"/>
    <w:rsid w:val="00EC070E"/>
    <w:rsid w:val="00EC08F6"/>
    <w:rsid w:val="00EC1E7A"/>
    <w:rsid w:val="00EC2A56"/>
    <w:rsid w:val="00EC4123"/>
    <w:rsid w:val="00EC51DE"/>
    <w:rsid w:val="00EC6360"/>
    <w:rsid w:val="00EC6A7F"/>
    <w:rsid w:val="00EC6C8E"/>
    <w:rsid w:val="00ED148B"/>
    <w:rsid w:val="00ED2A43"/>
    <w:rsid w:val="00ED3522"/>
    <w:rsid w:val="00ED368F"/>
    <w:rsid w:val="00ED4152"/>
    <w:rsid w:val="00ED537E"/>
    <w:rsid w:val="00ED5BCB"/>
    <w:rsid w:val="00ED66B3"/>
    <w:rsid w:val="00ED6DFE"/>
    <w:rsid w:val="00ED6F4C"/>
    <w:rsid w:val="00EE009E"/>
    <w:rsid w:val="00EE0961"/>
    <w:rsid w:val="00EE0C92"/>
    <w:rsid w:val="00EE0D2D"/>
    <w:rsid w:val="00EE4F78"/>
    <w:rsid w:val="00EE54B9"/>
    <w:rsid w:val="00EE570F"/>
    <w:rsid w:val="00EE5F53"/>
    <w:rsid w:val="00EE5F89"/>
    <w:rsid w:val="00EE5FAC"/>
    <w:rsid w:val="00EE6C9D"/>
    <w:rsid w:val="00EE6DFF"/>
    <w:rsid w:val="00EE72B7"/>
    <w:rsid w:val="00EF05AC"/>
    <w:rsid w:val="00EF0E90"/>
    <w:rsid w:val="00EF1B2D"/>
    <w:rsid w:val="00EF2158"/>
    <w:rsid w:val="00EF26F4"/>
    <w:rsid w:val="00EF2C09"/>
    <w:rsid w:val="00EF59CB"/>
    <w:rsid w:val="00F0196A"/>
    <w:rsid w:val="00F0215E"/>
    <w:rsid w:val="00F02DB9"/>
    <w:rsid w:val="00F03021"/>
    <w:rsid w:val="00F03075"/>
    <w:rsid w:val="00F03304"/>
    <w:rsid w:val="00F04689"/>
    <w:rsid w:val="00F056DF"/>
    <w:rsid w:val="00F05B9A"/>
    <w:rsid w:val="00F06920"/>
    <w:rsid w:val="00F0693C"/>
    <w:rsid w:val="00F071BA"/>
    <w:rsid w:val="00F07B2D"/>
    <w:rsid w:val="00F114AE"/>
    <w:rsid w:val="00F11D6A"/>
    <w:rsid w:val="00F11FE2"/>
    <w:rsid w:val="00F12652"/>
    <w:rsid w:val="00F13CCC"/>
    <w:rsid w:val="00F15122"/>
    <w:rsid w:val="00F15716"/>
    <w:rsid w:val="00F160C2"/>
    <w:rsid w:val="00F161E9"/>
    <w:rsid w:val="00F16C6D"/>
    <w:rsid w:val="00F16D5D"/>
    <w:rsid w:val="00F172EE"/>
    <w:rsid w:val="00F17AA4"/>
    <w:rsid w:val="00F21A67"/>
    <w:rsid w:val="00F21E56"/>
    <w:rsid w:val="00F21FCA"/>
    <w:rsid w:val="00F22FC2"/>
    <w:rsid w:val="00F24810"/>
    <w:rsid w:val="00F248B6"/>
    <w:rsid w:val="00F24AC7"/>
    <w:rsid w:val="00F2533C"/>
    <w:rsid w:val="00F30437"/>
    <w:rsid w:val="00F3072C"/>
    <w:rsid w:val="00F3101F"/>
    <w:rsid w:val="00F31637"/>
    <w:rsid w:val="00F31CB0"/>
    <w:rsid w:val="00F33195"/>
    <w:rsid w:val="00F33B9F"/>
    <w:rsid w:val="00F342D5"/>
    <w:rsid w:val="00F36086"/>
    <w:rsid w:val="00F37A29"/>
    <w:rsid w:val="00F40340"/>
    <w:rsid w:val="00F40B84"/>
    <w:rsid w:val="00F410E9"/>
    <w:rsid w:val="00F411D7"/>
    <w:rsid w:val="00F41932"/>
    <w:rsid w:val="00F4316C"/>
    <w:rsid w:val="00F433AF"/>
    <w:rsid w:val="00F43A5A"/>
    <w:rsid w:val="00F44C22"/>
    <w:rsid w:val="00F45101"/>
    <w:rsid w:val="00F45B9B"/>
    <w:rsid w:val="00F45BD6"/>
    <w:rsid w:val="00F4789A"/>
    <w:rsid w:val="00F47EB2"/>
    <w:rsid w:val="00F50FF4"/>
    <w:rsid w:val="00F51C00"/>
    <w:rsid w:val="00F51D14"/>
    <w:rsid w:val="00F51FDE"/>
    <w:rsid w:val="00F5279A"/>
    <w:rsid w:val="00F532C2"/>
    <w:rsid w:val="00F539F4"/>
    <w:rsid w:val="00F53D9F"/>
    <w:rsid w:val="00F54D9D"/>
    <w:rsid w:val="00F56F0E"/>
    <w:rsid w:val="00F57571"/>
    <w:rsid w:val="00F57590"/>
    <w:rsid w:val="00F603C8"/>
    <w:rsid w:val="00F61364"/>
    <w:rsid w:val="00F614C4"/>
    <w:rsid w:val="00F617C7"/>
    <w:rsid w:val="00F61E2F"/>
    <w:rsid w:val="00F61F4F"/>
    <w:rsid w:val="00F62175"/>
    <w:rsid w:val="00F62233"/>
    <w:rsid w:val="00F64235"/>
    <w:rsid w:val="00F64257"/>
    <w:rsid w:val="00F64649"/>
    <w:rsid w:val="00F65B7E"/>
    <w:rsid w:val="00F65C49"/>
    <w:rsid w:val="00F662FA"/>
    <w:rsid w:val="00F667E2"/>
    <w:rsid w:val="00F66B6B"/>
    <w:rsid w:val="00F66B8A"/>
    <w:rsid w:val="00F67F37"/>
    <w:rsid w:val="00F71163"/>
    <w:rsid w:val="00F7256C"/>
    <w:rsid w:val="00F730CF"/>
    <w:rsid w:val="00F736ED"/>
    <w:rsid w:val="00F73DA3"/>
    <w:rsid w:val="00F73E6A"/>
    <w:rsid w:val="00F74444"/>
    <w:rsid w:val="00F744E9"/>
    <w:rsid w:val="00F744F5"/>
    <w:rsid w:val="00F755F2"/>
    <w:rsid w:val="00F75798"/>
    <w:rsid w:val="00F75A59"/>
    <w:rsid w:val="00F75BA1"/>
    <w:rsid w:val="00F7650A"/>
    <w:rsid w:val="00F76BFB"/>
    <w:rsid w:val="00F76F73"/>
    <w:rsid w:val="00F77561"/>
    <w:rsid w:val="00F80215"/>
    <w:rsid w:val="00F804E0"/>
    <w:rsid w:val="00F817A8"/>
    <w:rsid w:val="00F82278"/>
    <w:rsid w:val="00F82331"/>
    <w:rsid w:val="00F8288A"/>
    <w:rsid w:val="00F828CE"/>
    <w:rsid w:val="00F829E5"/>
    <w:rsid w:val="00F834DB"/>
    <w:rsid w:val="00F83CA0"/>
    <w:rsid w:val="00F8414A"/>
    <w:rsid w:val="00F847E1"/>
    <w:rsid w:val="00F84D65"/>
    <w:rsid w:val="00F85775"/>
    <w:rsid w:val="00F85918"/>
    <w:rsid w:val="00F85933"/>
    <w:rsid w:val="00F85F36"/>
    <w:rsid w:val="00F875D5"/>
    <w:rsid w:val="00F87871"/>
    <w:rsid w:val="00F879BE"/>
    <w:rsid w:val="00F90390"/>
    <w:rsid w:val="00F905E2"/>
    <w:rsid w:val="00F90901"/>
    <w:rsid w:val="00F9150D"/>
    <w:rsid w:val="00F920C4"/>
    <w:rsid w:val="00F930C2"/>
    <w:rsid w:val="00F93373"/>
    <w:rsid w:val="00F93C4D"/>
    <w:rsid w:val="00F94DDC"/>
    <w:rsid w:val="00F94F5C"/>
    <w:rsid w:val="00F95704"/>
    <w:rsid w:val="00F95990"/>
    <w:rsid w:val="00F95BA1"/>
    <w:rsid w:val="00F95DDF"/>
    <w:rsid w:val="00F96108"/>
    <w:rsid w:val="00F96B75"/>
    <w:rsid w:val="00F97E0D"/>
    <w:rsid w:val="00FA07B8"/>
    <w:rsid w:val="00FA10FC"/>
    <w:rsid w:val="00FA398F"/>
    <w:rsid w:val="00FA3C12"/>
    <w:rsid w:val="00FA43BE"/>
    <w:rsid w:val="00FA5613"/>
    <w:rsid w:val="00FA5950"/>
    <w:rsid w:val="00FA5A9F"/>
    <w:rsid w:val="00FA6009"/>
    <w:rsid w:val="00FA65B1"/>
    <w:rsid w:val="00FA6E29"/>
    <w:rsid w:val="00FA70A7"/>
    <w:rsid w:val="00FA7BA5"/>
    <w:rsid w:val="00FA7D43"/>
    <w:rsid w:val="00FB018C"/>
    <w:rsid w:val="00FB039B"/>
    <w:rsid w:val="00FB1133"/>
    <w:rsid w:val="00FB220D"/>
    <w:rsid w:val="00FB251C"/>
    <w:rsid w:val="00FB2CC2"/>
    <w:rsid w:val="00FB333C"/>
    <w:rsid w:val="00FB4A31"/>
    <w:rsid w:val="00FB5337"/>
    <w:rsid w:val="00FB6930"/>
    <w:rsid w:val="00FB6D54"/>
    <w:rsid w:val="00FB6E95"/>
    <w:rsid w:val="00FB78F9"/>
    <w:rsid w:val="00FB7967"/>
    <w:rsid w:val="00FB7AEB"/>
    <w:rsid w:val="00FC0562"/>
    <w:rsid w:val="00FC0A70"/>
    <w:rsid w:val="00FC0DA7"/>
    <w:rsid w:val="00FC20DA"/>
    <w:rsid w:val="00FC2874"/>
    <w:rsid w:val="00FC2E34"/>
    <w:rsid w:val="00FC302C"/>
    <w:rsid w:val="00FC3324"/>
    <w:rsid w:val="00FC3D0A"/>
    <w:rsid w:val="00FC4AF1"/>
    <w:rsid w:val="00FC54CE"/>
    <w:rsid w:val="00FC592F"/>
    <w:rsid w:val="00FC7F6D"/>
    <w:rsid w:val="00FD06DF"/>
    <w:rsid w:val="00FD09AB"/>
    <w:rsid w:val="00FD0B4D"/>
    <w:rsid w:val="00FD1EB4"/>
    <w:rsid w:val="00FD200F"/>
    <w:rsid w:val="00FD292E"/>
    <w:rsid w:val="00FD4223"/>
    <w:rsid w:val="00FD547A"/>
    <w:rsid w:val="00FD6666"/>
    <w:rsid w:val="00FD74BC"/>
    <w:rsid w:val="00FD7648"/>
    <w:rsid w:val="00FE0B19"/>
    <w:rsid w:val="00FE0B96"/>
    <w:rsid w:val="00FE15F9"/>
    <w:rsid w:val="00FE15FD"/>
    <w:rsid w:val="00FE21D8"/>
    <w:rsid w:val="00FE316C"/>
    <w:rsid w:val="00FE3470"/>
    <w:rsid w:val="00FE38A7"/>
    <w:rsid w:val="00FE3C29"/>
    <w:rsid w:val="00FE4EA0"/>
    <w:rsid w:val="00FE5FD7"/>
    <w:rsid w:val="00FF0992"/>
    <w:rsid w:val="00FF34A9"/>
    <w:rsid w:val="00FF4459"/>
    <w:rsid w:val="00FF4BC9"/>
    <w:rsid w:val="00FF6295"/>
    <w:rsid w:val="00FF7C21"/>
    <w:rsid w:val="00FF7DA1"/>
    <w:rsid w:val="01052232"/>
    <w:rsid w:val="0114A17C"/>
    <w:rsid w:val="0263D37D"/>
    <w:rsid w:val="026420D3"/>
    <w:rsid w:val="02AD7922"/>
    <w:rsid w:val="057DEBAA"/>
    <w:rsid w:val="08398F27"/>
    <w:rsid w:val="0F8E715C"/>
    <w:rsid w:val="10DC01B8"/>
    <w:rsid w:val="1304E195"/>
    <w:rsid w:val="13348CE7"/>
    <w:rsid w:val="17055183"/>
    <w:rsid w:val="175FD1A0"/>
    <w:rsid w:val="17D397FA"/>
    <w:rsid w:val="19E990EE"/>
    <w:rsid w:val="1A53C07B"/>
    <w:rsid w:val="1AC4EEE7"/>
    <w:rsid w:val="1D38729B"/>
    <w:rsid w:val="1D8A3097"/>
    <w:rsid w:val="1DF69088"/>
    <w:rsid w:val="1DFFEF65"/>
    <w:rsid w:val="1E5F6C9B"/>
    <w:rsid w:val="1E9973E5"/>
    <w:rsid w:val="216934F1"/>
    <w:rsid w:val="2214E71B"/>
    <w:rsid w:val="247A9198"/>
    <w:rsid w:val="2B37DDD3"/>
    <w:rsid w:val="30408FCE"/>
    <w:rsid w:val="32D4B815"/>
    <w:rsid w:val="33FEDB66"/>
    <w:rsid w:val="366DE929"/>
    <w:rsid w:val="36FE25EB"/>
    <w:rsid w:val="37AE3894"/>
    <w:rsid w:val="381A8B84"/>
    <w:rsid w:val="3B91E830"/>
    <w:rsid w:val="3C66A57F"/>
    <w:rsid w:val="40A00B89"/>
    <w:rsid w:val="418BBFD6"/>
    <w:rsid w:val="42809D8B"/>
    <w:rsid w:val="4342D6B7"/>
    <w:rsid w:val="4812BB5F"/>
    <w:rsid w:val="4950B2A5"/>
    <w:rsid w:val="4996A181"/>
    <w:rsid w:val="4B9ECB69"/>
    <w:rsid w:val="4C63D5CA"/>
    <w:rsid w:val="4D0C63C4"/>
    <w:rsid w:val="4E36C847"/>
    <w:rsid w:val="4EEFCAD5"/>
    <w:rsid w:val="52E0D943"/>
    <w:rsid w:val="577C8D86"/>
    <w:rsid w:val="58B807E3"/>
    <w:rsid w:val="5BA6F832"/>
    <w:rsid w:val="5D6137B4"/>
    <w:rsid w:val="5E2B7BE7"/>
    <w:rsid w:val="62CE7B86"/>
    <w:rsid w:val="69E0DCB3"/>
    <w:rsid w:val="6B1722D2"/>
    <w:rsid w:val="6CBA3685"/>
    <w:rsid w:val="6D0A7B42"/>
    <w:rsid w:val="7226C7E6"/>
    <w:rsid w:val="744A85D6"/>
    <w:rsid w:val="771A7768"/>
    <w:rsid w:val="7ADD513A"/>
    <w:rsid w:val="7BE16E8F"/>
    <w:rsid w:val="7F75665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E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6D8"/>
    <w:pPr>
      <w:spacing w:before="120" w:after="120"/>
    </w:pPr>
    <w:rPr>
      <w:rFonts w:ascii="Calibri Light" w:eastAsia="Times New Roman" w:hAnsi="Calibri Light"/>
      <w:sz w:val="22"/>
      <w:lang w:eastAsia="en-AU"/>
    </w:rPr>
  </w:style>
  <w:style w:type="paragraph" w:styleId="Heading1">
    <w:name w:val="heading 1"/>
    <w:basedOn w:val="Normal"/>
    <w:next w:val="Normal"/>
    <w:link w:val="Heading1Char"/>
    <w:rsid w:val="00CB5877"/>
    <w:pPr>
      <w:keepNext/>
      <w:spacing w:before="620" w:after="240"/>
      <w:outlineLvl w:val="0"/>
    </w:pPr>
    <w:rPr>
      <w:rFonts w:ascii="Calibri" w:hAnsi="Calibri" w:cs="Arial"/>
      <w:color w:val="2C384A" w:themeColor="accent1"/>
      <w:kern w:val="32"/>
      <w:sz w:val="36"/>
      <w:szCs w:val="36"/>
    </w:rPr>
  </w:style>
  <w:style w:type="paragraph" w:styleId="Heading2">
    <w:name w:val="heading 2"/>
    <w:basedOn w:val="Normal"/>
    <w:next w:val="Normal"/>
    <w:link w:val="Heading2Char"/>
    <w:qFormat/>
    <w:rsid w:val="00570BC7"/>
    <w:pPr>
      <w:keepNext/>
      <w:spacing w:before="360"/>
      <w:outlineLvl w:val="1"/>
    </w:pPr>
    <w:rPr>
      <w:rFonts w:ascii="Calibri" w:hAnsi="Calibri" w:cs="Arial"/>
      <w:b/>
      <w:iCs/>
      <w:color w:val="4D7861" w:themeColor="accent2"/>
      <w:kern w:val="32"/>
      <w:sz w:val="32"/>
      <w:szCs w:val="28"/>
    </w:rPr>
  </w:style>
  <w:style w:type="paragraph" w:styleId="Heading3">
    <w:name w:val="heading 3"/>
    <w:basedOn w:val="Normal"/>
    <w:next w:val="Normal"/>
    <w:link w:val="Heading3Char"/>
    <w:qFormat/>
    <w:rsid w:val="00CB5877"/>
    <w:pPr>
      <w:keepNext/>
      <w:spacing w:before="360" w:after="240"/>
      <w:outlineLvl w:val="2"/>
    </w:pPr>
    <w:rPr>
      <w:rFonts w:ascii="Calibri" w:hAnsi="Calibri" w:cs="Arial"/>
      <w:color w:val="4D7861" w:themeColor="accent2"/>
      <w:kern w:val="32"/>
      <w:sz w:val="28"/>
      <w:szCs w:val="26"/>
    </w:rPr>
  </w:style>
  <w:style w:type="paragraph" w:styleId="Heading4">
    <w:name w:val="heading 4"/>
    <w:basedOn w:val="Normal"/>
    <w:next w:val="Normal"/>
    <w:link w:val="Heading4Char"/>
    <w:qFormat/>
    <w:rsid w:val="00570BC7"/>
    <w:pPr>
      <w:keepNext/>
      <w:spacing w:before="320"/>
      <w:outlineLvl w:val="3"/>
    </w:pPr>
    <w:rPr>
      <w:rFonts w:cs="Arial"/>
      <w:color w:val="4D7861" w:themeColor="accent2"/>
      <w:kern w:val="32"/>
      <w:sz w:val="26"/>
      <w:szCs w:val="26"/>
    </w:rPr>
  </w:style>
  <w:style w:type="paragraph" w:styleId="Heading5">
    <w:name w:val="heading 5"/>
    <w:basedOn w:val="Normal"/>
    <w:next w:val="Normal"/>
    <w:link w:val="Heading5Char"/>
    <w:rsid w:val="00570BC7"/>
    <w:pPr>
      <w:keepNext/>
      <w:spacing w:before="320"/>
      <w:outlineLvl w:val="4"/>
    </w:pPr>
    <w:rPr>
      <w:rFonts w:asciiTheme="majorHAnsi" w:hAnsiTheme="majorHAnsi" w:cs="Arial"/>
      <w:b/>
      <w:iCs/>
      <w:color w:val="000000" w:themeColor="text1"/>
      <w:kern w:val="32"/>
      <w:sz w:val="24"/>
      <w:szCs w:val="36"/>
    </w:rPr>
  </w:style>
  <w:style w:type="paragraph" w:styleId="Heading6">
    <w:name w:val="heading 6"/>
    <w:basedOn w:val="Normal"/>
    <w:next w:val="Normal"/>
    <w:link w:val="Heading6Char"/>
    <w:rsid w:val="00227FE0"/>
    <w:pPr>
      <w:keepNext/>
      <w:spacing w:after="0" w:line="276" w:lineRule="auto"/>
      <w:outlineLvl w:val="5"/>
    </w:pPr>
    <w:rPr>
      <w:rFonts w:cs="Arial"/>
      <w:color w:val="000000" w:themeColor="text1"/>
      <w:kern w:val="32"/>
      <w:sz w:val="24"/>
      <w:szCs w:val="22"/>
    </w:rPr>
  </w:style>
  <w:style w:type="paragraph" w:styleId="Heading7">
    <w:name w:val="heading 7"/>
    <w:basedOn w:val="Normal"/>
    <w:next w:val="Normal"/>
    <w:link w:val="Heading7Char"/>
    <w:uiPriority w:val="9"/>
    <w:semiHidden/>
    <w:unhideWhenUsed/>
    <w:rsid w:val="00C23C8C"/>
    <w:pPr>
      <w:keepNext/>
      <w:keepLines/>
      <w:spacing w:before="40"/>
      <w:outlineLvl w:val="6"/>
    </w:pPr>
    <w:rPr>
      <w:rFonts w:asciiTheme="majorHAnsi" w:eastAsiaTheme="majorEastAsia" w:hAnsiTheme="majorHAnsi" w:cstheme="majorBidi"/>
      <w:iCs/>
      <w:color w:val="161B24" w:themeColor="accent1" w:themeShade="7F"/>
    </w:rPr>
  </w:style>
  <w:style w:type="paragraph" w:styleId="Heading8">
    <w:name w:val="heading 8"/>
    <w:basedOn w:val="Normal"/>
    <w:next w:val="Normal"/>
    <w:link w:val="Heading8Char"/>
    <w:uiPriority w:val="9"/>
    <w:unhideWhenUsed/>
    <w:rsid w:val="00C23C8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C23C8C"/>
    <w:pPr>
      <w:keepNext/>
      <w:keepLines/>
      <w:spacing w:before="40"/>
      <w:outlineLvl w:val="8"/>
    </w:pPr>
    <w:rPr>
      <w:rFonts w:asciiTheme="majorHAnsi" w:eastAsiaTheme="majorEastAsia" w:hAnsiTheme="majorHAnsi"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B1315"/>
    <w:pPr>
      <w:jc w:val="right"/>
    </w:pPr>
  </w:style>
  <w:style w:type="character" w:customStyle="1" w:styleId="HeaderChar">
    <w:name w:val="Header Char"/>
    <w:basedOn w:val="DefaultParagraphFont"/>
    <w:link w:val="Header"/>
    <w:rsid w:val="003B1315"/>
    <w:rPr>
      <w:rFonts w:ascii="Calibri Light" w:eastAsia="Times New Roman" w:hAnsi="Calibri Light"/>
      <w:sz w:val="22"/>
      <w:lang w:eastAsia="en-AU"/>
    </w:rPr>
  </w:style>
  <w:style w:type="paragraph" w:styleId="Footer">
    <w:name w:val="footer"/>
    <w:basedOn w:val="Normal"/>
    <w:link w:val="FooterChar"/>
    <w:uiPriority w:val="99"/>
    <w:rsid w:val="00BA123B"/>
    <w:pPr>
      <w:tabs>
        <w:tab w:val="center" w:pos="4320"/>
        <w:tab w:val="right" w:pos="8640"/>
      </w:tabs>
    </w:pPr>
    <w:rPr>
      <w:sz w:val="20"/>
    </w:rPr>
  </w:style>
  <w:style w:type="character" w:customStyle="1" w:styleId="FooterChar">
    <w:name w:val="Footer Char"/>
    <w:basedOn w:val="DefaultParagraphFont"/>
    <w:link w:val="Footer"/>
    <w:uiPriority w:val="99"/>
    <w:rsid w:val="00BA123B"/>
    <w:rPr>
      <w:rFonts w:ascii="Calibri Light" w:eastAsia="Times New Roman" w:hAnsi="Calibri Light"/>
      <w:lang w:eastAsia="en-AU"/>
    </w:rPr>
  </w:style>
  <w:style w:type="character" w:customStyle="1" w:styleId="Heading1Char">
    <w:name w:val="Heading 1 Char"/>
    <w:basedOn w:val="DefaultParagraphFont"/>
    <w:link w:val="Heading1"/>
    <w:rsid w:val="00CB5877"/>
    <w:rPr>
      <w:rFonts w:eastAsia="Times New Roman" w:cs="Arial"/>
      <w:color w:val="2C384A" w:themeColor="accent1"/>
      <w:kern w:val="32"/>
      <w:sz w:val="36"/>
      <w:szCs w:val="36"/>
      <w:lang w:eastAsia="en-AU"/>
    </w:rPr>
  </w:style>
  <w:style w:type="paragraph" w:customStyle="1" w:styleId="Dash">
    <w:name w:val="Dash"/>
    <w:basedOn w:val="Normal"/>
    <w:link w:val="DashChar"/>
    <w:qFormat/>
    <w:rsid w:val="00CA7DC9"/>
    <w:pPr>
      <w:numPr>
        <w:ilvl w:val="1"/>
        <w:numId w:val="9"/>
      </w:numPr>
      <w:tabs>
        <w:tab w:val="clear" w:pos="567"/>
      </w:tabs>
      <w:ind w:left="568"/>
    </w:pPr>
  </w:style>
  <w:style w:type="character" w:customStyle="1" w:styleId="DashChar">
    <w:name w:val="Dash Char"/>
    <w:basedOn w:val="DefaultParagraphFont"/>
    <w:link w:val="Dash"/>
    <w:rsid w:val="00CA7DC9"/>
    <w:rPr>
      <w:rFonts w:ascii="Calibri Light" w:eastAsia="Times New Roman" w:hAnsi="Calibri Light"/>
      <w:sz w:val="22"/>
      <w:lang w:eastAsia="en-AU"/>
    </w:rPr>
  </w:style>
  <w:style w:type="paragraph" w:customStyle="1" w:styleId="DoubleDot">
    <w:name w:val="Double Dot"/>
    <w:basedOn w:val="Normal"/>
    <w:link w:val="DoubleDotChar"/>
    <w:qFormat/>
    <w:rsid w:val="00CA7DC9"/>
    <w:pPr>
      <w:numPr>
        <w:ilvl w:val="2"/>
        <w:numId w:val="9"/>
      </w:numPr>
      <w:tabs>
        <w:tab w:val="clear" w:pos="850"/>
      </w:tabs>
      <w:ind w:left="851" w:hanging="284"/>
    </w:pPr>
  </w:style>
  <w:style w:type="character" w:customStyle="1" w:styleId="DoubleDotChar">
    <w:name w:val="Double Dot Char"/>
    <w:basedOn w:val="DefaultParagraphFont"/>
    <w:link w:val="DoubleDot"/>
    <w:rsid w:val="00CA7DC9"/>
    <w:rPr>
      <w:rFonts w:ascii="Calibri Light" w:eastAsia="Times New Roman" w:hAnsi="Calibri Light"/>
      <w:sz w:val="22"/>
      <w:lang w:eastAsia="en-AU"/>
    </w:rPr>
  </w:style>
  <w:style w:type="paragraph" w:styleId="BalloonText">
    <w:name w:val="Balloon Text"/>
    <w:basedOn w:val="Normal"/>
    <w:link w:val="BalloonTextChar"/>
    <w:semiHidden/>
    <w:rsid w:val="008F0B15"/>
    <w:rPr>
      <w:rFonts w:ascii="Tahoma" w:hAnsi="Tahoma" w:cs="Tahoma"/>
      <w:sz w:val="16"/>
      <w:szCs w:val="16"/>
    </w:rPr>
  </w:style>
  <w:style w:type="character" w:customStyle="1" w:styleId="BalloonTextChar">
    <w:name w:val="Balloon Text Char"/>
    <w:basedOn w:val="DefaultParagraphFont"/>
    <w:link w:val="BalloonText"/>
    <w:semiHidden/>
    <w:rsid w:val="00627218"/>
    <w:rPr>
      <w:rFonts w:ascii="Tahoma" w:eastAsia="Times New Roman" w:hAnsi="Tahoma" w:cs="Tahoma"/>
      <w:sz w:val="16"/>
      <w:szCs w:val="16"/>
    </w:rPr>
  </w:style>
  <w:style w:type="character" w:customStyle="1" w:styleId="Heading2Char">
    <w:name w:val="Heading 2 Char"/>
    <w:basedOn w:val="DefaultParagraphFont"/>
    <w:link w:val="Heading2"/>
    <w:rsid w:val="00570BC7"/>
    <w:rPr>
      <w:rFonts w:eastAsia="Times New Roman" w:cs="Arial"/>
      <w:b/>
      <w:iCs/>
      <w:color w:val="4D7861" w:themeColor="accent2"/>
      <w:kern w:val="32"/>
      <w:sz w:val="32"/>
      <w:szCs w:val="28"/>
      <w:lang w:eastAsia="en-AU"/>
    </w:rPr>
  </w:style>
  <w:style w:type="character" w:customStyle="1" w:styleId="Heading3Char">
    <w:name w:val="Heading 3 Char"/>
    <w:basedOn w:val="DefaultParagraphFont"/>
    <w:link w:val="Heading3"/>
    <w:rsid w:val="00CB5877"/>
    <w:rPr>
      <w:rFonts w:eastAsia="Times New Roman" w:cs="Arial"/>
      <w:color w:val="4D7861" w:themeColor="accent2"/>
      <w:kern w:val="32"/>
      <w:sz w:val="28"/>
      <w:szCs w:val="26"/>
      <w:lang w:eastAsia="en-AU"/>
    </w:rPr>
  </w:style>
  <w:style w:type="character" w:customStyle="1" w:styleId="Heading4Char">
    <w:name w:val="Heading 4 Char"/>
    <w:basedOn w:val="DefaultParagraphFont"/>
    <w:link w:val="Heading4"/>
    <w:rsid w:val="00570BC7"/>
    <w:rPr>
      <w:rFonts w:ascii="Calibri Light" w:eastAsia="Times New Roman" w:hAnsi="Calibri Light" w:cs="Arial"/>
      <w:color w:val="4D7861" w:themeColor="accent2"/>
      <w:kern w:val="32"/>
      <w:sz w:val="26"/>
      <w:szCs w:val="26"/>
      <w:lang w:eastAsia="en-AU"/>
    </w:rPr>
  </w:style>
  <w:style w:type="table" w:styleId="TableGrid">
    <w:name w:val="Table Grid"/>
    <w:basedOn w:val="TableNormal"/>
    <w:uiPriority w:val="59"/>
    <w:rsid w:val="008F0B15"/>
    <w:rPr>
      <w:rFonts w:ascii="Times New Roman" w:eastAsia="Times New Roman" w:hAnsi="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C4F86"/>
    <w:tblPr>
      <w:tblBorders>
        <w:top w:val="single" w:sz="2" w:space="0" w:color="2E74B5"/>
        <w:left w:val="single" w:sz="2" w:space="0" w:color="2E74B5"/>
        <w:bottom w:val="single" w:sz="2" w:space="0" w:color="2E74B5"/>
        <w:right w:val="single" w:sz="2" w:space="0" w:color="2E74B5"/>
        <w:insideH w:val="single" w:sz="2" w:space="0" w:color="2E74B5"/>
        <w:insideV w:val="single" w:sz="2" w:space="0" w:color="2E74B5"/>
      </w:tblBorders>
    </w:tblPr>
    <w:tblStylePr w:type="firstRow">
      <w:rPr>
        <w:rFonts w:ascii="Calibri" w:hAnsi="Calibri"/>
        <w:b/>
        <w:i w:val="0"/>
        <w:color w:val="FFFFFF"/>
        <w:sz w:val="20"/>
      </w:rPr>
      <w:tblPr/>
      <w:tcPr>
        <w:shd w:val="clear" w:color="auto" w:fill="2E74B5"/>
      </w:tcPr>
    </w:tblStylePr>
  </w:style>
  <w:style w:type="paragraph" w:customStyle="1" w:styleId="Introtext">
    <w:name w:val="Intro text"/>
    <w:basedOn w:val="Normal"/>
    <w:qFormat/>
    <w:rsid w:val="008D5358"/>
    <w:pPr>
      <w:numPr>
        <w:ilvl w:val="1"/>
      </w:numPr>
      <w:spacing w:after="240"/>
    </w:pPr>
    <w:rPr>
      <w:rFonts w:ascii="Calibri" w:eastAsiaTheme="minorEastAsia" w:hAnsi="Calibri" w:cstheme="minorBidi"/>
      <w:color w:val="10263B"/>
      <w:sz w:val="26"/>
      <w:szCs w:val="26"/>
      <w:lang w:eastAsia="zh-CN"/>
    </w:rPr>
  </w:style>
  <w:style w:type="character" w:styleId="Hyperlink">
    <w:name w:val="Hyperlink"/>
    <w:uiPriority w:val="99"/>
    <w:rsid w:val="008D5358"/>
    <w:rPr>
      <w:color w:val="5D779D" w:themeColor="accent3"/>
      <w:u w:val="single"/>
    </w:rPr>
  </w:style>
  <w:style w:type="character" w:styleId="FollowedHyperlink">
    <w:name w:val="FollowedHyperlink"/>
    <w:basedOn w:val="DefaultParagraphFont"/>
    <w:semiHidden/>
    <w:unhideWhenUsed/>
    <w:rsid w:val="008F0B15"/>
    <w:rPr>
      <w:color w:val="844D9E" w:themeColor="followedHyperlink"/>
      <w:u w:val="single"/>
    </w:rPr>
  </w:style>
  <w:style w:type="paragraph" w:styleId="Revision">
    <w:name w:val="Revision"/>
    <w:hidden/>
    <w:uiPriority w:val="99"/>
    <w:semiHidden/>
    <w:rsid w:val="008D4CD0"/>
    <w:rPr>
      <w:rFonts w:ascii="Calibri Light" w:hAnsi="Calibri Light"/>
      <w:color w:val="0D0D0D" w:themeColor="text1" w:themeTint="F2"/>
      <w:sz w:val="22"/>
    </w:rPr>
  </w:style>
  <w:style w:type="character" w:styleId="PlaceholderText">
    <w:name w:val="Placeholder Text"/>
    <w:basedOn w:val="DefaultParagraphFont"/>
    <w:uiPriority w:val="99"/>
    <w:semiHidden/>
    <w:rsid w:val="008F0B15"/>
    <w:rPr>
      <w:color w:val="808080"/>
    </w:rPr>
  </w:style>
  <w:style w:type="character" w:customStyle="1" w:styleId="Heading5Char">
    <w:name w:val="Heading 5 Char"/>
    <w:basedOn w:val="DefaultParagraphFont"/>
    <w:link w:val="Heading5"/>
    <w:rsid w:val="00570BC7"/>
    <w:rPr>
      <w:rFonts w:asciiTheme="majorHAnsi" w:eastAsia="Times New Roman" w:hAnsiTheme="majorHAnsi" w:cs="Arial"/>
      <w:b/>
      <w:iCs/>
      <w:color w:val="000000" w:themeColor="text1"/>
      <w:kern w:val="32"/>
      <w:sz w:val="24"/>
      <w:szCs w:val="36"/>
      <w:lang w:eastAsia="en-AU"/>
    </w:rPr>
  </w:style>
  <w:style w:type="paragraph" w:customStyle="1" w:styleId="BoxHeading">
    <w:name w:val="Box Heading"/>
    <w:basedOn w:val="Normal"/>
    <w:next w:val="Normal"/>
    <w:rsid w:val="00AE53E5"/>
    <w:pPr>
      <w:keepNext/>
      <w:spacing w:before="240"/>
    </w:pPr>
    <w:rPr>
      <w:b/>
      <w:color w:val="2C384A" w:themeColor="accent1"/>
      <w:sz w:val="26"/>
      <w:szCs w:val="26"/>
    </w:rPr>
  </w:style>
  <w:style w:type="paragraph" w:customStyle="1" w:styleId="BoxText">
    <w:name w:val="Box Text"/>
    <w:basedOn w:val="Normal"/>
    <w:link w:val="BoxTextChar"/>
    <w:rsid w:val="00506BF4"/>
    <w:pPr>
      <w:spacing w:before="60" w:after="60"/>
    </w:pPr>
  </w:style>
  <w:style w:type="paragraph" w:customStyle="1" w:styleId="Bullet">
    <w:name w:val="Bullet"/>
    <w:basedOn w:val="Normal"/>
    <w:link w:val="BulletChar"/>
    <w:qFormat/>
    <w:rsid w:val="00CA7DC9"/>
    <w:pPr>
      <w:numPr>
        <w:numId w:val="7"/>
      </w:numPr>
    </w:pPr>
  </w:style>
  <w:style w:type="character" w:customStyle="1" w:styleId="BoxTextChar">
    <w:name w:val="Box Text Char"/>
    <w:basedOn w:val="DefaultParagraphFont"/>
    <w:link w:val="BoxText"/>
    <w:rsid w:val="00506BF4"/>
    <w:rPr>
      <w:rFonts w:ascii="Calibri Light" w:eastAsia="Times New Roman" w:hAnsi="Calibri Light"/>
      <w:sz w:val="22"/>
      <w:lang w:eastAsia="en-AU"/>
    </w:rPr>
  </w:style>
  <w:style w:type="character" w:customStyle="1" w:styleId="BulletChar">
    <w:name w:val="Bullet Char"/>
    <w:basedOn w:val="DefaultParagraphFont"/>
    <w:link w:val="Bullet"/>
    <w:rsid w:val="00CA7DC9"/>
    <w:rPr>
      <w:rFonts w:ascii="Calibri Light" w:eastAsia="Times New Roman" w:hAnsi="Calibri Light"/>
      <w:sz w:val="22"/>
      <w:lang w:eastAsia="en-AU"/>
    </w:rPr>
  </w:style>
  <w:style w:type="paragraph" w:customStyle="1" w:styleId="Boxbullet">
    <w:name w:val="Box bullet"/>
    <w:basedOn w:val="Bullet"/>
    <w:rsid w:val="00CA7DC9"/>
    <w:rPr>
      <w:color w:val="0D0D0D" w:themeColor="text1" w:themeTint="F2"/>
    </w:rPr>
  </w:style>
  <w:style w:type="paragraph" w:customStyle="1" w:styleId="Boxdash">
    <w:name w:val="Box dash"/>
    <w:basedOn w:val="Dash"/>
    <w:rsid w:val="00CA7DC9"/>
    <w:pPr>
      <w:tabs>
        <w:tab w:val="num" w:pos="1040"/>
      </w:tabs>
    </w:pPr>
    <w:rPr>
      <w:rFonts w:eastAsiaTheme="minorHAnsi"/>
      <w:color w:val="0D0D0D" w:themeColor="text1" w:themeTint="F2"/>
    </w:rPr>
  </w:style>
  <w:style w:type="paragraph" w:customStyle="1" w:styleId="Boxdoubledot">
    <w:name w:val="Box double dot"/>
    <w:basedOn w:val="DoubleDot"/>
    <w:rsid w:val="00CA7DC9"/>
    <w:pPr>
      <w:tabs>
        <w:tab w:val="num" w:pos="1560"/>
      </w:tabs>
    </w:pPr>
    <w:rPr>
      <w:rFonts w:eastAsiaTheme="minorHAnsi"/>
      <w:color w:val="0D0D0D" w:themeColor="text1" w:themeTint="F2"/>
    </w:rPr>
  </w:style>
  <w:style w:type="character" w:customStyle="1" w:styleId="Heading9Char">
    <w:name w:val="Heading 9 Char"/>
    <w:basedOn w:val="DefaultParagraphFont"/>
    <w:link w:val="Heading9"/>
    <w:uiPriority w:val="9"/>
    <w:rsid w:val="00C23C8C"/>
    <w:rPr>
      <w:rFonts w:asciiTheme="majorHAnsi" w:eastAsiaTheme="majorEastAsia" w:hAnsiTheme="majorHAnsi" w:cstheme="majorBidi"/>
      <w:iCs/>
      <w:color w:val="272727" w:themeColor="text1" w:themeTint="D8"/>
      <w:sz w:val="21"/>
      <w:szCs w:val="21"/>
    </w:rPr>
  </w:style>
  <w:style w:type="character" w:customStyle="1" w:styleId="Heading8Char">
    <w:name w:val="Heading 8 Char"/>
    <w:basedOn w:val="DefaultParagraphFont"/>
    <w:link w:val="Heading8"/>
    <w:uiPriority w:val="9"/>
    <w:rsid w:val="00C23C8C"/>
    <w:rPr>
      <w:rFonts w:asciiTheme="majorHAnsi" w:eastAsiaTheme="majorEastAsia" w:hAnsiTheme="majorHAnsi" w:cstheme="majorBidi"/>
      <w:color w:val="272727" w:themeColor="text1" w:themeTint="D8"/>
      <w:sz w:val="21"/>
      <w:szCs w:val="21"/>
    </w:rPr>
  </w:style>
  <w:style w:type="character" w:customStyle="1" w:styleId="Heading6Char">
    <w:name w:val="Heading 6 Char"/>
    <w:basedOn w:val="DefaultParagraphFont"/>
    <w:link w:val="Heading6"/>
    <w:rsid w:val="00227FE0"/>
    <w:rPr>
      <w:rFonts w:ascii="Calibri Light" w:eastAsia="Times New Roman" w:hAnsi="Calibri Light" w:cs="Arial"/>
      <w:color w:val="000000" w:themeColor="text1"/>
      <w:kern w:val="32"/>
      <w:sz w:val="24"/>
      <w:szCs w:val="22"/>
      <w:lang w:eastAsia="en-AU"/>
    </w:rPr>
  </w:style>
  <w:style w:type="character" w:customStyle="1" w:styleId="Heading7Char">
    <w:name w:val="Heading 7 Char"/>
    <w:basedOn w:val="DefaultParagraphFont"/>
    <w:link w:val="Heading7"/>
    <w:uiPriority w:val="9"/>
    <w:semiHidden/>
    <w:rsid w:val="00C23C8C"/>
    <w:rPr>
      <w:rFonts w:asciiTheme="majorHAnsi" w:eastAsiaTheme="majorEastAsia" w:hAnsiTheme="majorHAnsi" w:cstheme="majorBidi"/>
      <w:iCs/>
      <w:color w:val="161B24" w:themeColor="accent1" w:themeShade="7F"/>
      <w:sz w:val="22"/>
    </w:rPr>
  </w:style>
  <w:style w:type="paragraph" w:styleId="NoSpacing">
    <w:name w:val="No Spacing"/>
    <w:link w:val="NoSpacingChar"/>
    <w:uiPriority w:val="1"/>
    <w:qFormat/>
    <w:rsid w:val="008F0B15"/>
    <w:rPr>
      <w:rFonts w:asciiTheme="minorHAnsi" w:eastAsiaTheme="minorEastAsia" w:hAnsiTheme="minorHAnsi" w:cstheme="minorBidi"/>
      <w:sz w:val="22"/>
      <w:szCs w:val="22"/>
      <w:lang w:val="en-US"/>
    </w:rPr>
  </w:style>
  <w:style w:type="paragraph" w:customStyle="1" w:styleId="Default">
    <w:name w:val="Default"/>
    <w:rsid w:val="008F0B15"/>
    <w:pPr>
      <w:autoSpaceDE w:val="0"/>
      <w:autoSpaceDN w:val="0"/>
      <w:adjustRightInd w:val="0"/>
    </w:pPr>
    <w:rPr>
      <w:rFonts w:ascii="Verdana" w:eastAsia="Times New Roman" w:hAnsi="Verdana" w:cs="Verdana"/>
      <w:color w:val="000000"/>
      <w:sz w:val="24"/>
      <w:szCs w:val="24"/>
      <w:lang w:eastAsia="en-AU"/>
    </w:rPr>
  </w:style>
  <w:style w:type="character" w:styleId="FootnoteReference">
    <w:name w:val="footnote reference"/>
    <w:basedOn w:val="DefaultParagraphFont"/>
    <w:rsid w:val="008F0B15"/>
    <w:rPr>
      <w:vertAlign w:val="superscript"/>
    </w:rPr>
  </w:style>
  <w:style w:type="paragraph" w:styleId="FootnoteText">
    <w:name w:val="footnote text"/>
    <w:basedOn w:val="Normal"/>
    <w:link w:val="FootnoteTextChar"/>
    <w:rsid w:val="008F0B15"/>
    <w:pPr>
      <w:spacing w:after="0"/>
    </w:pPr>
    <w:rPr>
      <w:sz w:val="20"/>
    </w:rPr>
  </w:style>
  <w:style w:type="character" w:customStyle="1" w:styleId="FootnoteTextChar">
    <w:name w:val="Footnote Text Char"/>
    <w:basedOn w:val="DefaultParagraphFont"/>
    <w:link w:val="FootnoteText"/>
    <w:rsid w:val="008F0B15"/>
    <w:rPr>
      <w:rFonts w:ascii="Times New Roman" w:eastAsia="Times New Roman" w:hAnsi="Times New Roman"/>
    </w:rPr>
  </w:style>
  <w:style w:type="table" w:customStyle="1" w:styleId="GridTable5Dark-Accent61">
    <w:name w:val="Grid Table 5 Dark - Accent 61"/>
    <w:basedOn w:val="TableNormal"/>
    <w:uiPriority w:val="50"/>
    <w:rsid w:val="008F0B15"/>
    <w:pPr>
      <w:spacing w:before="100"/>
    </w:pPr>
    <w:rPr>
      <w:rFonts w:asciiTheme="minorHAnsi" w:eastAsiaTheme="minorEastAsia" w:hAnsiTheme="minorHAnsi" w:cstheme="minorBidi"/>
      <w:lang w:eastAsia="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E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E8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E8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E8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E81" w:themeFill="accent6"/>
      </w:tcPr>
    </w:tblStylePr>
    <w:tblStylePr w:type="band1Vert">
      <w:tblPr/>
      <w:tcPr>
        <w:shd w:val="clear" w:color="auto" w:fill="F9DECC" w:themeFill="accent6" w:themeFillTint="66"/>
      </w:tcPr>
    </w:tblStylePr>
    <w:tblStylePr w:type="band1Horz">
      <w:tblPr/>
      <w:tcPr>
        <w:shd w:val="clear" w:color="auto" w:fill="F9DECC" w:themeFill="accent6" w:themeFillTint="66"/>
      </w:tcPr>
    </w:tblStylePr>
  </w:style>
  <w:style w:type="paragraph" w:customStyle="1" w:styleId="KeyContactsName">
    <w:name w:val="KeyContacts Name"/>
    <w:basedOn w:val="Normal"/>
    <w:next w:val="Normal"/>
    <w:semiHidden/>
    <w:rsid w:val="008F2212"/>
    <w:pPr>
      <w:framePr w:w="2058" w:h="13054" w:hRule="exact" w:wrap="around" w:vAnchor="text" w:hAnchor="page" w:x="965" w:y="1"/>
      <w:pBdr>
        <w:top w:val="single" w:sz="18" w:space="1" w:color="CCD6E3"/>
        <w:left w:val="single" w:sz="18" w:space="4" w:color="CCD6E3"/>
        <w:bottom w:val="single" w:sz="18" w:space="1" w:color="CCD6E3"/>
        <w:right w:val="single" w:sz="18" w:space="4" w:color="CCD6E3"/>
      </w:pBdr>
      <w:shd w:val="clear" w:color="auto" w:fill="CCD6E3"/>
      <w:spacing w:before="240" w:after="0" w:afterAutospacing="1" w:line="264" w:lineRule="auto"/>
    </w:pPr>
    <w:rPr>
      <w:rFonts w:ascii="Univers 45 Light" w:hAnsi="Univers 45 Light"/>
      <w:b/>
      <w:color w:val="0C2D83"/>
      <w:sz w:val="18"/>
      <w:szCs w:val="24"/>
      <w:lang w:val="en-GB"/>
    </w:rPr>
  </w:style>
  <w:style w:type="paragraph" w:styleId="ListParagraph">
    <w:name w:val="List Paragraph"/>
    <w:basedOn w:val="Normal"/>
    <w:link w:val="ListParagraphChar"/>
    <w:uiPriority w:val="34"/>
    <w:qFormat/>
    <w:rsid w:val="008F0B15"/>
    <w:pPr>
      <w:ind w:left="720"/>
      <w:contextualSpacing/>
    </w:pPr>
  </w:style>
  <w:style w:type="character" w:customStyle="1" w:styleId="ListParagraphChar">
    <w:name w:val="List Paragraph Char"/>
    <w:basedOn w:val="DefaultParagraphFont"/>
    <w:link w:val="ListParagraph"/>
    <w:uiPriority w:val="34"/>
    <w:rsid w:val="008F0B15"/>
    <w:rPr>
      <w:rFonts w:ascii="Times New Roman" w:eastAsia="Times New Roman" w:hAnsi="Times New Roman"/>
      <w:sz w:val="24"/>
      <w:szCs w:val="24"/>
    </w:rPr>
  </w:style>
  <w:style w:type="table" w:customStyle="1" w:styleId="ListTable4-Accent61">
    <w:name w:val="List Table 4 - Accent 61"/>
    <w:basedOn w:val="TableNormal"/>
    <w:uiPriority w:val="49"/>
    <w:rsid w:val="008F0B15"/>
    <w:pPr>
      <w:spacing w:before="100"/>
    </w:pPr>
    <w:rPr>
      <w:rFonts w:asciiTheme="minorHAnsi" w:eastAsiaTheme="minorEastAsia" w:hAnsiTheme="minorHAnsi" w:cstheme="minorBidi"/>
      <w:lang w:eastAsia="en-AU"/>
    </w:rPr>
    <w:tblPr>
      <w:tblStyleRowBandSize w:val="1"/>
      <w:tblStyleColBandSize w:val="1"/>
      <w:tblBorders>
        <w:top w:val="single" w:sz="4" w:space="0" w:color="F6CEB3" w:themeColor="accent6" w:themeTint="99"/>
        <w:left w:val="single" w:sz="4" w:space="0" w:color="F6CEB3" w:themeColor="accent6" w:themeTint="99"/>
        <w:bottom w:val="single" w:sz="4" w:space="0" w:color="F6CEB3" w:themeColor="accent6" w:themeTint="99"/>
        <w:right w:val="single" w:sz="4" w:space="0" w:color="F6CEB3" w:themeColor="accent6" w:themeTint="99"/>
        <w:insideH w:val="single" w:sz="4" w:space="0" w:color="F6CEB3" w:themeColor="accent6" w:themeTint="99"/>
      </w:tblBorders>
    </w:tblPr>
    <w:tblStylePr w:type="firstRow">
      <w:rPr>
        <w:b/>
        <w:bCs/>
        <w:color w:val="FFFFFF" w:themeColor="background1"/>
      </w:rPr>
      <w:tblPr/>
      <w:tcPr>
        <w:tcBorders>
          <w:top w:val="single" w:sz="4" w:space="0" w:color="F0AE81" w:themeColor="accent6"/>
          <w:left w:val="single" w:sz="4" w:space="0" w:color="F0AE81" w:themeColor="accent6"/>
          <w:bottom w:val="single" w:sz="4" w:space="0" w:color="F0AE81" w:themeColor="accent6"/>
          <w:right w:val="single" w:sz="4" w:space="0" w:color="F0AE81" w:themeColor="accent6"/>
          <w:insideH w:val="nil"/>
        </w:tcBorders>
        <w:shd w:val="clear" w:color="auto" w:fill="F0AE81" w:themeFill="accent6"/>
      </w:tcPr>
    </w:tblStylePr>
    <w:tblStylePr w:type="lastRow">
      <w:rPr>
        <w:b/>
        <w:bCs/>
      </w:rPr>
      <w:tblPr/>
      <w:tcPr>
        <w:tcBorders>
          <w:top w:val="double" w:sz="4" w:space="0" w:color="F6CEB3" w:themeColor="accent6" w:themeTint="99"/>
        </w:tcBorders>
      </w:tcPr>
    </w:tblStylePr>
    <w:tblStylePr w:type="firstCol">
      <w:rPr>
        <w:b/>
        <w:bCs/>
      </w:rPr>
    </w:tblStylePr>
    <w:tblStylePr w:type="lastCol">
      <w:rPr>
        <w:b/>
        <w:bCs/>
      </w:rPr>
    </w:tblStylePr>
    <w:tblStylePr w:type="band1Vert">
      <w:tblPr/>
      <w:tcPr>
        <w:shd w:val="clear" w:color="auto" w:fill="FCEEE5" w:themeFill="accent6" w:themeFillTint="33"/>
      </w:tcPr>
    </w:tblStylePr>
    <w:tblStylePr w:type="band1Horz">
      <w:tblPr/>
      <w:tcPr>
        <w:shd w:val="clear" w:color="auto" w:fill="FCEEE5" w:themeFill="accent6" w:themeFillTint="33"/>
      </w:tcPr>
    </w:tblStylePr>
  </w:style>
  <w:style w:type="character" w:customStyle="1" w:styleId="NoSpacingChar">
    <w:name w:val="No Spacing Char"/>
    <w:basedOn w:val="DefaultParagraphFont"/>
    <w:link w:val="NoSpacing"/>
    <w:uiPriority w:val="1"/>
    <w:rsid w:val="008F0B15"/>
    <w:rPr>
      <w:rFonts w:asciiTheme="minorHAnsi" w:eastAsiaTheme="minorEastAsia" w:hAnsiTheme="minorHAnsi" w:cstheme="minorBidi"/>
      <w:sz w:val="22"/>
      <w:szCs w:val="22"/>
      <w:lang w:val="en-US"/>
    </w:rPr>
  </w:style>
  <w:style w:type="paragraph" w:styleId="NormalWeb">
    <w:name w:val="Normal (Web)"/>
    <w:basedOn w:val="Normal"/>
    <w:uiPriority w:val="99"/>
    <w:unhideWhenUsed/>
    <w:rsid w:val="008F0B15"/>
    <w:pPr>
      <w:spacing w:before="100" w:beforeAutospacing="1" w:after="100" w:afterAutospacing="1"/>
    </w:pPr>
  </w:style>
  <w:style w:type="character" w:styleId="PageNumber">
    <w:name w:val="page number"/>
    <w:basedOn w:val="DefaultParagraphFont"/>
    <w:rsid w:val="008F0B15"/>
  </w:style>
  <w:style w:type="numbering" w:customStyle="1" w:styleId="StyleBulletedSymbolsymbol11ptLeft4cmHanging05">
    <w:name w:val="Style Bulleted Symbol (symbol) 11 pt Left:  4 cm Hanging:  0.5 ..."/>
    <w:basedOn w:val="NoList"/>
    <w:rsid w:val="008F0B15"/>
    <w:pPr>
      <w:numPr>
        <w:numId w:val="1"/>
      </w:numPr>
    </w:pPr>
  </w:style>
  <w:style w:type="numbering" w:customStyle="1" w:styleId="StyleBulletedSymbolsymbol11ptLeft4cmHanging051">
    <w:name w:val="Style Bulleted Symbol (symbol) 11 pt Left:  4 cm Hanging:  0.5 ...1"/>
    <w:basedOn w:val="NoList"/>
    <w:rsid w:val="008F0B15"/>
    <w:pPr>
      <w:numPr>
        <w:numId w:val="2"/>
      </w:numPr>
    </w:pPr>
  </w:style>
  <w:style w:type="numbering" w:customStyle="1" w:styleId="BoxBulletedList">
    <w:name w:val="Box Bulleted List"/>
    <w:uiPriority w:val="99"/>
    <w:rsid w:val="00AE53E5"/>
    <w:pPr>
      <w:numPr>
        <w:numId w:val="8"/>
      </w:numPr>
    </w:pPr>
  </w:style>
  <w:style w:type="paragraph" w:customStyle="1" w:styleId="Tableheading">
    <w:name w:val="Table heading"/>
    <w:basedOn w:val="Normal"/>
    <w:rsid w:val="008F2212"/>
    <w:pPr>
      <w:keepLines/>
      <w:jc w:val="center"/>
    </w:pPr>
    <w:rPr>
      <w:b/>
    </w:rPr>
  </w:style>
  <w:style w:type="paragraph" w:customStyle="1" w:styleId="TableText">
    <w:name w:val="Table Text"/>
    <w:basedOn w:val="Normal"/>
    <w:rsid w:val="00BA123B"/>
    <w:pPr>
      <w:spacing w:before="100" w:line="264" w:lineRule="auto"/>
    </w:pPr>
    <w:rPr>
      <w:rFonts w:ascii="Calibri" w:eastAsia="Batang" w:hAnsi="Calibri" w:cstheme="minorBidi"/>
      <w:sz w:val="24"/>
    </w:rPr>
  </w:style>
  <w:style w:type="paragraph" w:customStyle="1" w:styleId="Tabletext0">
    <w:name w:val="Table text"/>
    <w:basedOn w:val="Normal"/>
    <w:link w:val="TabletextChar"/>
    <w:rsid w:val="00BA123B"/>
    <w:pPr>
      <w:spacing w:before="80" w:after="80"/>
    </w:pPr>
    <w:rPr>
      <w:rFonts w:ascii="Univers 45 Light" w:hAnsi="Univers 45 Light"/>
      <w:sz w:val="19"/>
    </w:rPr>
  </w:style>
  <w:style w:type="character" w:customStyle="1" w:styleId="TabletextChar">
    <w:name w:val="Table text Char"/>
    <w:basedOn w:val="DefaultParagraphFont"/>
    <w:link w:val="Tabletext0"/>
    <w:rsid w:val="008F0B15"/>
    <w:rPr>
      <w:rFonts w:ascii="Univers 45 Light" w:eastAsia="Times New Roman" w:hAnsi="Univers 45 Light"/>
      <w:sz w:val="19"/>
    </w:rPr>
  </w:style>
  <w:style w:type="table" w:customStyle="1" w:styleId="BlueBox">
    <w:name w:val="Blue Box"/>
    <w:basedOn w:val="TableNormal"/>
    <w:uiPriority w:val="99"/>
    <w:rsid w:val="00E813BB"/>
    <w:tblPr>
      <w:tblCellMar>
        <w:top w:w="227" w:type="dxa"/>
        <w:left w:w="227" w:type="dxa"/>
        <w:bottom w:w="227" w:type="dxa"/>
        <w:right w:w="227" w:type="dxa"/>
      </w:tblCellMar>
    </w:tblPr>
    <w:tcPr>
      <w:shd w:val="clear" w:color="auto" w:fill="F2F9FC"/>
    </w:tcPr>
  </w:style>
  <w:style w:type="paragraph" w:styleId="Title">
    <w:name w:val="Title"/>
    <w:basedOn w:val="Normal"/>
    <w:next w:val="Normal"/>
    <w:link w:val="TitleChar"/>
    <w:rsid w:val="007B06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B06BE"/>
    <w:rPr>
      <w:rFonts w:asciiTheme="majorHAnsi" w:eastAsiaTheme="majorEastAsia" w:hAnsiTheme="majorHAnsi" w:cstheme="majorBidi"/>
      <w:spacing w:val="-10"/>
      <w:kern w:val="28"/>
      <w:sz w:val="56"/>
      <w:szCs w:val="56"/>
      <w:lang w:eastAsia="en-AU"/>
    </w:rPr>
  </w:style>
  <w:style w:type="paragraph" w:customStyle="1" w:styleId="Factsheettitle">
    <w:name w:val="Fact sheet title"/>
    <w:basedOn w:val="Normal"/>
    <w:next w:val="Heading2"/>
    <w:qFormat/>
    <w:rsid w:val="00570BC7"/>
    <w:pPr>
      <w:spacing w:before="1560" w:after="660"/>
    </w:pPr>
    <w:rPr>
      <w:rFonts w:ascii="Calibri" w:hAnsi="Calibri"/>
      <w:b/>
      <w:color w:val="5D779D" w:themeColor="accent3"/>
      <w:spacing w:val="-14"/>
      <w:sz w:val="44"/>
      <w:szCs w:val="54"/>
    </w:rPr>
  </w:style>
  <w:style w:type="paragraph" w:customStyle="1" w:styleId="ChartGraphic">
    <w:name w:val="Chart Graphic"/>
    <w:basedOn w:val="Normal"/>
    <w:next w:val="Normal"/>
    <w:qFormat/>
    <w:rsid w:val="00574981"/>
    <w:pPr>
      <w:keepNext/>
      <w:spacing w:before="0" w:after="0"/>
      <w:jc w:val="center"/>
    </w:pPr>
    <w:rPr>
      <w:color w:val="004A7F"/>
      <w:sz w:val="20"/>
    </w:rPr>
  </w:style>
  <w:style w:type="paragraph" w:customStyle="1" w:styleId="ChartandTableFootnoteAlpha">
    <w:name w:val="Chart and Table Footnote Alpha"/>
    <w:qFormat/>
    <w:rsid w:val="00574981"/>
    <w:pPr>
      <w:numPr>
        <w:numId w:val="11"/>
      </w:numPr>
      <w:tabs>
        <w:tab w:val="num" w:pos="284"/>
      </w:tabs>
      <w:ind w:left="284" w:hanging="284"/>
      <w:jc w:val="both"/>
    </w:pPr>
    <w:rPr>
      <w:rFonts w:eastAsia="Times New Roman"/>
      <w:color w:val="000000"/>
      <w:sz w:val="18"/>
      <w:szCs w:val="16"/>
      <w:lang w:eastAsia="en-AU"/>
    </w:rPr>
  </w:style>
  <w:style w:type="paragraph" w:customStyle="1" w:styleId="ChartMainHeading">
    <w:name w:val="Chart Main Heading"/>
    <w:basedOn w:val="Normal"/>
    <w:next w:val="ChartGraphic"/>
    <w:qFormat/>
    <w:rsid w:val="00574981"/>
    <w:pPr>
      <w:keepNext/>
      <w:spacing w:after="0" w:line="276" w:lineRule="auto"/>
      <w:jc w:val="center"/>
      <w:outlineLvl w:val="2"/>
    </w:pPr>
    <w:rPr>
      <w:rFonts w:ascii="Calibri" w:hAnsi="Calibri" w:cs="Arial"/>
      <w:color w:val="4D7861" w:themeColor="accent2"/>
      <w:kern w:val="32"/>
      <w:sz w:val="26"/>
      <w:szCs w:val="26"/>
    </w:rPr>
  </w:style>
  <w:style w:type="paragraph" w:customStyle="1" w:styleId="ChartorTableNote">
    <w:name w:val="Chart or Table Note"/>
    <w:next w:val="Normal"/>
    <w:qFormat/>
    <w:rsid w:val="00574981"/>
    <w:pPr>
      <w:jc w:val="both"/>
    </w:pPr>
    <w:rPr>
      <w:rFonts w:eastAsia="Times New Roman"/>
      <w:color w:val="000000"/>
      <w:sz w:val="18"/>
      <w:lang w:eastAsia="en-AU"/>
    </w:rPr>
  </w:style>
  <w:style w:type="paragraph" w:customStyle="1" w:styleId="ChartSecondHeading">
    <w:name w:val="Chart Second Heading"/>
    <w:basedOn w:val="Normal"/>
    <w:next w:val="ChartGraphic"/>
    <w:qFormat/>
    <w:rsid w:val="00574981"/>
    <w:pPr>
      <w:keepNext/>
      <w:spacing w:before="0" w:after="20"/>
      <w:jc w:val="center"/>
    </w:pPr>
    <w:rPr>
      <w:bCs/>
      <w:color w:val="004A7F"/>
    </w:rPr>
  </w:style>
  <w:style w:type="numbering" w:customStyle="1" w:styleId="ChartandTableFootnoteAlphaList">
    <w:name w:val="ChartandTableFootnoteAlphaList"/>
    <w:uiPriority w:val="99"/>
    <w:rsid w:val="00574981"/>
    <w:pPr>
      <w:numPr>
        <w:numId w:val="12"/>
      </w:numPr>
    </w:pPr>
  </w:style>
  <w:style w:type="character" w:styleId="UnresolvedMention">
    <w:name w:val="Unresolved Mention"/>
    <w:basedOn w:val="DefaultParagraphFont"/>
    <w:uiPriority w:val="99"/>
    <w:semiHidden/>
    <w:unhideWhenUsed/>
    <w:rsid w:val="0083629C"/>
    <w:rPr>
      <w:color w:val="605E5C"/>
      <w:shd w:val="clear" w:color="auto" w:fill="E1DFDD"/>
    </w:rPr>
  </w:style>
  <w:style w:type="character" w:styleId="CommentReference">
    <w:name w:val="annotation reference"/>
    <w:basedOn w:val="DefaultParagraphFont"/>
    <w:semiHidden/>
    <w:unhideWhenUsed/>
    <w:rsid w:val="00CE3CEF"/>
    <w:rPr>
      <w:sz w:val="16"/>
      <w:szCs w:val="16"/>
    </w:rPr>
  </w:style>
  <w:style w:type="paragraph" w:styleId="CommentText">
    <w:name w:val="annotation text"/>
    <w:basedOn w:val="Normal"/>
    <w:link w:val="CommentTextChar"/>
    <w:unhideWhenUsed/>
    <w:rsid w:val="00CE3CEF"/>
    <w:rPr>
      <w:sz w:val="20"/>
    </w:rPr>
  </w:style>
  <w:style w:type="character" w:customStyle="1" w:styleId="CommentTextChar">
    <w:name w:val="Comment Text Char"/>
    <w:basedOn w:val="DefaultParagraphFont"/>
    <w:link w:val="CommentText"/>
    <w:rsid w:val="00CE3CEF"/>
    <w:rPr>
      <w:rFonts w:ascii="Calibri Light" w:eastAsia="Times New Roman" w:hAnsi="Calibri Light"/>
      <w:lang w:eastAsia="en-AU"/>
    </w:rPr>
  </w:style>
  <w:style w:type="paragraph" w:styleId="CommentSubject">
    <w:name w:val="annotation subject"/>
    <w:basedOn w:val="CommentText"/>
    <w:next w:val="CommentText"/>
    <w:link w:val="CommentSubjectChar"/>
    <w:semiHidden/>
    <w:unhideWhenUsed/>
    <w:rsid w:val="00CE3CEF"/>
    <w:rPr>
      <w:b/>
      <w:bCs/>
    </w:rPr>
  </w:style>
  <w:style w:type="character" w:customStyle="1" w:styleId="CommentSubjectChar">
    <w:name w:val="Comment Subject Char"/>
    <w:basedOn w:val="CommentTextChar"/>
    <w:link w:val="CommentSubject"/>
    <w:semiHidden/>
    <w:rsid w:val="00CE3CEF"/>
    <w:rPr>
      <w:rFonts w:ascii="Calibri Light" w:eastAsia="Times New Roman" w:hAnsi="Calibri Light"/>
      <w:b/>
      <w:bCs/>
      <w:lang w:eastAsia="en-AU"/>
    </w:rPr>
  </w:style>
  <w:style w:type="character" w:styleId="Mention">
    <w:name w:val="Mention"/>
    <w:basedOn w:val="DefaultParagraphFont"/>
    <w:uiPriority w:val="99"/>
    <w:unhideWhenUsed/>
    <w:rsid w:val="00CE3CEF"/>
    <w:rPr>
      <w:color w:val="2B579A"/>
      <w:shd w:val="clear" w:color="auto" w:fill="E1DFDD"/>
    </w:rPr>
  </w:style>
  <w:style w:type="paragraph" w:customStyle="1" w:styleId="OutlineNumbered1">
    <w:name w:val="Outline Numbered 1"/>
    <w:basedOn w:val="Normal"/>
    <w:link w:val="OutlineNumbered1Char"/>
    <w:rsid w:val="002A576E"/>
    <w:pPr>
      <w:numPr>
        <w:numId w:val="26"/>
      </w:numPr>
    </w:pPr>
    <w:rPr>
      <w:rFonts w:ascii="Calibri" w:hAnsi="Calibri" w:cs="Arial"/>
      <w:color w:val="2C384A" w:themeColor="accent1"/>
      <w:kern w:val="32"/>
      <w:sz w:val="36"/>
      <w:szCs w:val="36"/>
    </w:rPr>
  </w:style>
  <w:style w:type="character" w:customStyle="1" w:styleId="OutlineNumbered1Char">
    <w:name w:val="Outline Numbered 1 Char"/>
    <w:basedOn w:val="DefaultParagraphFont"/>
    <w:link w:val="OutlineNumbered1"/>
    <w:rsid w:val="00CE3CEF"/>
    <w:rPr>
      <w:rFonts w:eastAsia="Times New Roman" w:cs="Arial"/>
      <w:color w:val="2C384A" w:themeColor="accent1"/>
      <w:kern w:val="32"/>
      <w:sz w:val="36"/>
      <w:szCs w:val="36"/>
      <w:lang w:eastAsia="en-AU"/>
    </w:rPr>
  </w:style>
  <w:style w:type="paragraph" w:customStyle="1" w:styleId="OutlineNumbered2">
    <w:name w:val="Outline Numbered 2"/>
    <w:basedOn w:val="Normal"/>
    <w:link w:val="OutlineNumbered2Char"/>
    <w:rsid w:val="00CE3CEF"/>
    <w:pPr>
      <w:numPr>
        <w:ilvl w:val="1"/>
        <w:numId w:val="26"/>
      </w:numPr>
    </w:pPr>
    <w:rPr>
      <w:rFonts w:ascii="Calibri" w:hAnsi="Calibri" w:cs="Arial"/>
      <w:color w:val="2C384A" w:themeColor="accent1"/>
      <w:kern w:val="32"/>
      <w:sz w:val="36"/>
      <w:szCs w:val="36"/>
    </w:rPr>
  </w:style>
  <w:style w:type="character" w:customStyle="1" w:styleId="OutlineNumbered2Char">
    <w:name w:val="Outline Numbered 2 Char"/>
    <w:basedOn w:val="DefaultParagraphFont"/>
    <w:link w:val="OutlineNumbered2"/>
    <w:rsid w:val="00CE3CEF"/>
    <w:rPr>
      <w:rFonts w:eastAsia="Times New Roman" w:cs="Arial"/>
      <w:color w:val="2C384A" w:themeColor="accent1"/>
      <w:kern w:val="32"/>
      <w:sz w:val="36"/>
      <w:szCs w:val="36"/>
      <w:lang w:eastAsia="en-AU"/>
    </w:rPr>
  </w:style>
  <w:style w:type="paragraph" w:customStyle="1" w:styleId="OutlineNumbered3">
    <w:name w:val="Outline Numbered 3"/>
    <w:basedOn w:val="Normal"/>
    <w:link w:val="OutlineNumbered3Char"/>
    <w:rsid w:val="00CE3CEF"/>
    <w:pPr>
      <w:numPr>
        <w:ilvl w:val="2"/>
        <w:numId w:val="26"/>
      </w:numPr>
    </w:pPr>
    <w:rPr>
      <w:rFonts w:ascii="Calibri" w:hAnsi="Calibri" w:cs="Arial"/>
      <w:color w:val="2C384A" w:themeColor="accent1"/>
      <w:kern w:val="32"/>
      <w:sz w:val="36"/>
      <w:szCs w:val="36"/>
    </w:rPr>
  </w:style>
  <w:style w:type="character" w:customStyle="1" w:styleId="OutlineNumbered3Char">
    <w:name w:val="Outline Numbered 3 Char"/>
    <w:basedOn w:val="DefaultParagraphFont"/>
    <w:link w:val="OutlineNumbered3"/>
    <w:rsid w:val="00CE3CEF"/>
    <w:rPr>
      <w:rFonts w:eastAsia="Times New Roman" w:cs="Arial"/>
      <w:color w:val="2C384A" w:themeColor="accent1"/>
      <w:kern w:val="32"/>
      <w:sz w:val="36"/>
      <w:szCs w:val="3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9332">
      <w:bodyDiv w:val="1"/>
      <w:marLeft w:val="0"/>
      <w:marRight w:val="0"/>
      <w:marTop w:val="0"/>
      <w:marBottom w:val="0"/>
      <w:divBdr>
        <w:top w:val="none" w:sz="0" w:space="0" w:color="auto"/>
        <w:left w:val="none" w:sz="0" w:space="0" w:color="auto"/>
        <w:bottom w:val="none" w:sz="0" w:space="0" w:color="auto"/>
        <w:right w:val="none" w:sz="0" w:space="0" w:color="auto"/>
      </w:divBdr>
    </w:div>
    <w:div w:id="181893848">
      <w:bodyDiv w:val="1"/>
      <w:marLeft w:val="0"/>
      <w:marRight w:val="0"/>
      <w:marTop w:val="0"/>
      <w:marBottom w:val="0"/>
      <w:divBdr>
        <w:top w:val="none" w:sz="0" w:space="0" w:color="auto"/>
        <w:left w:val="none" w:sz="0" w:space="0" w:color="auto"/>
        <w:bottom w:val="none" w:sz="0" w:space="0" w:color="auto"/>
        <w:right w:val="none" w:sz="0" w:space="0" w:color="auto"/>
      </w:divBdr>
    </w:div>
    <w:div w:id="215747185">
      <w:bodyDiv w:val="1"/>
      <w:marLeft w:val="0"/>
      <w:marRight w:val="0"/>
      <w:marTop w:val="0"/>
      <w:marBottom w:val="0"/>
      <w:divBdr>
        <w:top w:val="none" w:sz="0" w:space="0" w:color="auto"/>
        <w:left w:val="none" w:sz="0" w:space="0" w:color="auto"/>
        <w:bottom w:val="none" w:sz="0" w:space="0" w:color="auto"/>
        <w:right w:val="none" w:sz="0" w:space="0" w:color="auto"/>
      </w:divBdr>
    </w:div>
    <w:div w:id="324285451">
      <w:bodyDiv w:val="1"/>
      <w:marLeft w:val="0"/>
      <w:marRight w:val="0"/>
      <w:marTop w:val="0"/>
      <w:marBottom w:val="0"/>
      <w:divBdr>
        <w:top w:val="none" w:sz="0" w:space="0" w:color="auto"/>
        <w:left w:val="none" w:sz="0" w:space="0" w:color="auto"/>
        <w:bottom w:val="none" w:sz="0" w:space="0" w:color="auto"/>
        <w:right w:val="none" w:sz="0" w:space="0" w:color="auto"/>
      </w:divBdr>
    </w:div>
    <w:div w:id="401874862">
      <w:bodyDiv w:val="1"/>
      <w:marLeft w:val="0"/>
      <w:marRight w:val="0"/>
      <w:marTop w:val="0"/>
      <w:marBottom w:val="0"/>
      <w:divBdr>
        <w:top w:val="none" w:sz="0" w:space="0" w:color="auto"/>
        <w:left w:val="none" w:sz="0" w:space="0" w:color="auto"/>
        <w:bottom w:val="none" w:sz="0" w:space="0" w:color="auto"/>
        <w:right w:val="none" w:sz="0" w:space="0" w:color="auto"/>
      </w:divBdr>
    </w:div>
    <w:div w:id="423039229">
      <w:bodyDiv w:val="1"/>
      <w:marLeft w:val="0"/>
      <w:marRight w:val="0"/>
      <w:marTop w:val="0"/>
      <w:marBottom w:val="0"/>
      <w:divBdr>
        <w:top w:val="none" w:sz="0" w:space="0" w:color="auto"/>
        <w:left w:val="none" w:sz="0" w:space="0" w:color="auto"/>
        <w:bottom w:val="none" w:sz="0" w:space="0" w:color="auto"/>
        <w:right w:val="none" w:sz="0" w:space="0" w:color="auto"/>
      </w:divBdr>
    </w:div>
    <w:div w:id="433287954">
      <w:bodyDiv w:val="1"/>
      <w:marLeft w:val="0"/>
      <w:marRight w:val="0"/>
      <w:marTop w:val="0"/>
      <w:marBottom w:val="0"/>
      <w:divBdr>
        <w:top w:val="none" w:sz="0" w:space="0" w:color="auto"/>
        <w:left w:val="none" w:sz="0" w:space="0" w:color="auto"/>
        <w:bottom w:val="none" w:sz="0" w:space="0" w:color="auto"/>
        <w:right w:val="none" w:sz="0" w:space="0" w:color="auto"/>
      </w:divBdr>
    </w:div>
    <w:div w:id="873426115">
      <w:bodyDiv w:val="1"/>
      <w:marLeft w:val="0"/>
      <w:marRight w:val="0"/>
      <w:marTop w:val="0"/>
      <w:marBottom w:val="0"/>
      <w:divBdr>
        <w:top w:val="none" w:sz="0" w:space="0" w:color="auto"/>
        <w:left w:val="none" w:sz="0" w:space="0" w:color="auto"/>
        <w:bottom w:val="none" w:sz="0" w:space="0" w:color="auto"/>
        <w:right w:val="none" w:sz="0" w:space="0" w:color="auto"/>
      </w:divBdr>
    </w:div>
    <w:div w:id="936135573">
      <w:bodyDiv w:val="1"/>
      <w:marLeft w:val="0"/>
      <w:marRight w:val="0"/>
      <w:marTop w:val="0"/>
      <w:marBottom w:val="0"/>
      <w:divBdr>
        <w:top w:val="none" w:sz="0" w:space="0" w:color="auto"/>
        <w:left w:val="none" w:sz="0" w:space="0" w:color="auto"/>
        <w:bottom w:val="none" w:sz="0" w:space="0" w:color="auto"/>
        <w:right w:val="none" w:sz="0" w:space="0" w:color="auto"/>
      </w:divBdr>
    </w:div>
    <w:div w:id="989209604">
      <w:bodyDiv w:val="1"/>
      <w:marLeft w:val="0"/>
      <w:marRight w:val="0"/>
      <w:marTop w:val="0"/>
      <w:marBottom w:val="0"/>
      <w:divBdr>
        <w:top w:val="none" w:sz="0" w:space="0" w:color="auto"/>
        <w:left w:val="none" w:sz="0" w:space="0" w:color="auto"/>
        <w:bottom w:val="none" w:sz="0" w:space="0" w:color="auto"/>
        <w:right w:val="none" w:sz="0" w:space="0" w:color="auto"/>
      </w:divBdr>
    </w:div>
    <w:div w:id="991103191">
      <w:bodyDiv w:val="1"/>
      <w:marLeft w:val="0"/>
      <w:marRight w:val="0"/>
      <w:marTop w:val="0"/>
      <w:marBottom w:val="0"/>
      <w:divBdr>
        <w:top w:val="none" w:sz="0" w:space="0" w:color="auto"/>
        <w:left w:val="none" w:sz="0" w:space="0" w:color="auto"/>
        <w:bottom w:val="none" w:sz="0" w:space="0" w:color="auto"/>
        <w:right w:val="none" w:sz="0" w:space="0" w:color="auto"/>
      </w:divBdr>
    </w:div>
    <w:div w:id="1006908061">
      <w:bodyDiv w:val="1"/>
      <w:marLeft w:val="0"/>
      <w:marRight w:val="0"/>
      <w:marTop w:val="0"/>
      <w:marBottom w:val="0"/>
      <w:divBdr>
        <w:top w:val="none" w:sz="0" w:space="0" w:color="auto"/>
        <w:left w:val="none" w:sz="0" w:space="0" w:color="auto"/>
        <w:bottom w:val="none" w:sz="0" w:space="0" w:color="auto"/>
        <w:right w:val="none" w:sz="0" w:space="0" w:color="auto"/>
      </w:divBdr>
    </w:div>
    <w:div w:id="1167748318">
      <w:bodyDiv w:val="1"/>
      <w:marLeft w:val="0"/>
      <w:marRight w:val="0"/>
      <w:marTop w:val="0"/>
      <w:marBottom w:val="0"/>
      <w:divBdr>
        <w:top w:val="none" w:sz="0" w:space="0" w:color="auto"/>
        <w:left w:val="none" w:sz="0" w:space="0" w:color="auto"/>
        <w:bottom w:val="none" w:sz="0" w:space="0" w:color="auto"/>
        <w:right w:val="none" w:sz="0" w:space="0" w:color="auto"/>
      </w:divBdr>
    </w:div>
    <w:div w:id="1748529511">
      <w:bodyDiv w:val="1"/>
      <w:marLeft w:val="0"/>
      <w:marRight w:val="0"/>
      <w:marTop w:val="0"/>
      <w:marBottom w:val="0"/>
      <w:divBdr>
        <w:top w:val="none" w:sz="0" w:space="0" w:color="auto"/>
        <w:left w:val="none" w:sz="0" w:space="0" w:color="auto"/>
        <w:bottom w:val="none" w:sz="0" w:space="0" w:color="auto"/>
        <w:right w:val="none" w:sz="0" w:space="0" w:color="auto"/>
      </w:divBdr>
    </w:div>
    <w:div w:id="1866478470">
      <w:bodyDiv w:val="1"/>
      <w:marLeft w:val="0"/>
      <w:marRight w:val="0"/>
      <w:marTop w:val="0"/>
      <w:marBottom w:val="0"/>
      <w:divBdr>
        <w:top w:val="none" w:sz="0" w:space="0" w:color="auto"/>
        <w:left w:val="none" w:sz="0" w:space="0" w:color="auto"/>
        <w:bottom w:val="none" w:sz="0" w:space="0" w:color="auto"/>
        <w:right w:val="none" w:sz="0" w:space="0" w:color="auto"/>
      </w:divBdr>
    </w:div>
    <w:div w:id="1884059170">
      <w:bodyDiv w:val="1"/>
      <w:marLeft w:val="0"/>
      <w:marRight w:val="0"/>
      <w:marTop w:val="0"/>
      <w:marBottom w:val="0"/>
      <w:divBdr>
        <w:top w:val="none" w:sz="0" w:space="0" w:color="auto"/>
        <w:left w:val="none" w:sz="0" w:space="0" w:color="auto"/>
        <w:bottom w:val="none" w:sz="0" w:space="0" w:color="auto"/>
        <w:right w:val="none" w:sz="0" w:space="0" w:color="auto"/>
      </w:divBdr>
    </w:div>
    <w:div w:id="1942638317">
      <w:bodyDiv w:val="1"/>
      <w:marLeft w:val="0"/>
      <w:marRight w:val="0"/>
      <w:marTop w:val="0"/>
      <w:marBottom w:val="0"/>
      <w:divBdr>
        <w:top w:val="none" w:sz="0" w:space="0" w:color="auto"/>
        <w:left w:val="none" w:sz="0" w:space="0" w:color="auto"/>
        <w:bottom w:val="none" w:sz="0" w:space="0" w:color="auto"/>
        <w:right w:val="none" w:sz="0" w:space="0" w:color="auto"/>
      </w:divBdr>
    </w:div>
    <w:div w:id="211165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SYBrand">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67944-D266-4CF2-9A03-61056FD2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Protecting Consumers and the Promise of Superannuation in an Evolving Financial Ecosystem</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Protecting Consumers and the Promise of Superannuation in an Evolving Financial Ecosystem</dc:title>
  <dc:subject/>
  <dc:creator>Australian Government</dc:creator>
  <cp:keywords/>
  <dc:description/>
  <cp:lastModifiedBy/>
  <cp:revision>1</cp:revision>
  <dcterms:created xsi:type="dcterms:W3CDTF">2026-08-18T06:41:00Z</dcterms:created>
  <dcterms:modified xsi:type="dcterms:W3CDTF">2026-08-18T06:42:00Z</dcterms:modified>
  <cp:category/>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2026-08-18T06:42:58Z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3777a787-7411-4f3b-b261-27bdaadcde4c</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