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
        </w:rPr>
        <w:id w:val="-1442289537"/>
        <w:docPartObj>
          <w:docPartGallery w:val="Cover Pages"/>
          <w:docPartUnique/>
        </w:docPartObj>
      </w:sdtPr>
      <w:sdtContent>
        <w:p w14:paraId="61F9D97D" w14:textId="3C0A2F7C" w:rsidR="00A97160" w:rsidRPr="00702A51" w:rsidRDefault="009C4C1D" w:rsidP="009C4C1D">
          <w:r w:rsidRPr="00702A51">
            <w:rPr>
              <w:noProof/>
            </w:rPr>
            <w:drawing>
              <wp:anchor distT="0" distB="0" distL="114300" distR="114300" simplePos="0" relativeHeight="251659264" behindDoc="1" locked="0" layoutInCell="1" allowOverlap="1" wp14:anchorId="6DCC8D1F" wp14:editId="5849178F">
                <wp:simplePos x="0" y="0"/>
                <wp:positionH relativeFrom="page">
                  <wp:align>center</wp:align>
                </wp:positionH>
                <wp:positionV relativeFrom="page">
                  <wp:align>center</wp:align>
                </wp:positionV>
                <wp:extent cx="7560000" cy="10699200"/>
                <wp:effectExtent l="0" t="0" r="3175" b="6985"/>
                <wp:wrapNone/>
                <wp:docPr id="8" name="Picture 8" descr="Australian Government, The Treasur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ustralian Government, The Treasury">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60000" cy="10699200"/>
                        </a:xfrm>
                        <a:prstGeom prst="rect">
                          <a:avLst/>
                        </a:prstGeom>
                        <a:noFill/>
                      </pic:spPr>
                    </pic:pic>
                  </a:graphicData>
                </a:graphic>
                <wp14:sizeRelH relativeFrom="page">
                  <wp14:pctWidth>0</wp14:pctWidth>
                </wp14:sizeRelH>
                <wp14:sizeRelV relativeFrom="page">
                  <wp14:pctHeight>0</wp14:pctHeight>
                </wp14:sizeRelV>
              </wp:anchor>
            </w:drawing>
          </w:r>
        </w:p>
        <w:p w14:paraId="46BB3FBD" w14:textId="60B4150F" w:rsidR="0032111D" w:rsidRPr="00702A51" w:rsidRDefault="008D5289" w:rsidP="009C4C1D">
          <w:pPr>
            <w:pStyle w:val="Title"/>
            <w:spacing w:before="1320"/>
          </w:pPr>
          <w:r w:rsidRPr="00702A51">
            <w:t>Treasury</w:t>
          </w:r>
          <w:r w:rsidR="009C4C1D">
            <w:br/>
          </w:r>
          <w:r w:rsidR="007E6DCC" w:rsidRPr="00702A51">
            <w:t>Corporate Plan</w:t>
          </w:r>
        </w:p>
        <w:p w14:paraId="5CC4037A" w14:textId="57E94BE7" w:rsidR="0032111D" w:rsidRPr="00702A51" w:rsidRDefault="007E6DCC" w:rsidP="00FD293E">
          <w:pPr>
            <w:pStyle w:val="Subtitle"/>
          </w:pPr>
          <w:r w:rsidRPr="00702A51">
            <w:t>202</w:t>
          </w:r>
          <w:r w:rsidR="00C668D7" w:rsidRPr="00702A51">
            <w:t>6</w:t>
          </w:r>
          <w:r w:rsidRPr="00702A51">
            <w:t>–2</w:t>
          </w:r>
          <w:r w:rsidR="00C668D7" w:rsidRPr="00702A51">
            <w:t>7</w:t>
          </w:r>
        </w:p>
        <w:p w14:paraId="37FB92C7" w14:textId="17FDB7C2" w:rsidR="00B941B9" w:rsidRPr="00702A51" w:rsidRDefault="00B941B9" w:rsidP="005E5BA7">
          <w:pPr>
            <w:sectPr w:rsidR="00B941B9" w:rsidRPr="00702A51" w:rsidSect="00B707E1">
              <w:footerReference w:type="even" r:id="rId9"/>
              <w:footerReference w:type="default" r:id="rId10"/>
              <w:type w:val="oddPage"/>
              <w:pgSz w:w="11906" w:h="16838" w:code="9"/>
              <w:pgMar w:top="1843" w:right="1418" w:bottom="1418" w:left="1418" w:header="709" w:footer="709" w:gutter="0"/>
              <w:pgNumType w:start="1"/>
              <w:cols w:space="708"/>
              <w:vAlign w:val="bottom"/>
              <w:docGrid w:linePitch="360"/>
            </w:sectPr>
          </w:pPr>
        </w:p>
        <w:p w14:paraId="1FCE7A82" w14:textId="2A769DAF" w:rsidR="006A7DB1" w:rsidRPr="00702A51" w:rsidRDefault="00000000" w:rsidP="006A7DB1">
          <w:pPr>
            <w:pStyle w:val="Ghostline"/>
          </w:pPr>
        </w:p>
      </w:sdtContent>
    </w:sdt>
    <w:bookmarkStart w:id="0" w:name="_Toc108517452" w:displacedByCustomXml="prev"/>
    <w:p w14:paraId="5377D5AD" w14:textId="5D25C2A9" w:rsidR="0053020D" w:rsidRPr="00702A51" w:rsidRDefault="0053020D" w:rsidP="0053020D">
      <w:pPr>
        <w:spacing w:before="0" w:after="160" w:line="259" w:lineRule="auto"/>
      </w:pPr>
      <w:r w:rsidRPr="00702A51">
        <w:t>© Commonwealth of Australia 202</w:t>
      </w:r>
      <w:r w:rsidR="00C668D7" w:rsidRPr="00702A51">
        <w:t>6</w:t>
      </w:r>
    </w:p>
    <w:p w14:paraId="2811E46D" w14:textId="77777777" w:rsidR="0053020D" w:rsidRPr="00702A51" w:rsidRDefault="0053020D" w:rsidP="0053020D">
      <w:pPr>
        <w:tabs>
          <w:tab w:val="left" w:pos="1650"/>
        </w:tabs>
        <w:spacing w:before="240"/>
        <w:rPr>
          <w:rFonts w:cstheme="minorBidi"/>
          <w:sz w:val="24"/>
          <w:szCs w:val="24"/>
        </w:rPr>
      </w:pPr>
      <w:r w:rsidRPr="00702A51">
        <w:t>This publication is available for your use under a</w:t>
      </w:r>
      <w:r w:rsidRPr="00702A51">
        <w:rPr>
          <w:rFonts w:cstheme="minorHAnsi"/>
          <w:sz w:val="24"/>
          <w:szCs w:val="24"/>
        </w:rPr>
        <w:t xml:space="preserve"> </w:t>
      </w:r>
      <w:hyperlink r:id="rId11" w:history="1">
        <w:r w:rsidRPr="00702A51">
          <w:rPr>
            <w:rStyle w:val="Hyperlink"/>
          </w:rPr>
          <w:t>Creative Commons Attribution 4.0 International</w:t>
        </w:r>
      </w:hyperlink>
      <w:r w:rsidRPr="00702A51">
        <w:rPr>
          <w:rFonts w:cstheme="minorHAnsi"/>
          <w:sz w:val="24"/>
          <w:szCs w:val="24"/>
        </w:rPr>
        <w:t xml:space="preserve"> </w:t>
      </w:r>
      <w:r w:rsidRPr="00702A51">
        <w:t xml:space="preserve">licence, </w:t>
      </w:r>
      <w:proofErr w:type="gramStart"/>
      <w:r w:rsidRPr="00702A51">
        <w:t>with the exception of</w:t>
      </w:r>
      <w:proofErr w:type="gramEnd"/>
      <w:r w:rsidRPr="00702A51">
        <w:t xml:space="preserve"> the Commonwealth Coat of Arms, the Treasury logo, photographs, images, third party materials, materials protected by a trademark, signatures and where otherwise stated. The full licence terms are available from</w:t>
      </w:r>
      <w:r w:rsidRPr="00702A51">
        <w:rPr>
          <w:rFonts w:cstheme="minorHAnsi"/>
          <w:sz w:val="24"/>
          <w:szCs w:val="24"/>
        </w:rPr>
        <w:t xml:space="preserve"> </w:t>
      </w:r>
      <w:hyperlink r:id="rId12" w:history="1">
        <w:r w:rsidRPr="00702A51">
          <w:rPr>
            <w:rStyle w:val="Hyperlink"/>
          </w:rPr>
          <w:t>creativecommons.org/licenses/by/4.0/</w:t>
        </w:r>
        <w:proofErr w:type="spellStart"/>
        <w:r w:rsidRPr="00702A51">
          <w:rPr>
            <w:rStyle w:val="Hyperlink"/>
          </w:rPr>
          <w:t>legalcode</w:t>
        </w:r>
        <w:proofErr w:type="spellEnd"/>
      </w:hyperlink>
      <w:r w:rsidRPr="00702A51">
        <w:t>.</w:t>
      </w:r>
      <w:r w:rsidRPr="00702A51">
        <w:rPr>
          <w:sz w:val="24"/>
          <w:szCs w:val="24"/>
        </w:rPr>
        <w:t xml:space="preserve"> </w:t>
      </w:r>
    </w:p>
    <w:p w14:paraId="5174FF9D" w14:textId="77777777" w:rsidR="0053020D" w:rsidRPr="00702A51" w:rsidRDefault="0053020D" w:rsidP="0053020D">
      <w:pPr>
        <w:pStyle w:val="ChartGraphic"/>
        <w:jc w:val="left"/>
      </w:pPr>
      <w:r w:rsidRPr="00702A51">
        <w:rPr>
          <w:noProof/>
        </w:rPr>
        <w:drawing>
          <wp:inline distT="0" distB="0" distL="0" distR="0" wp14:anchorId="0617AC5E" wp14:editId="20EB9C3A">
            <wp:extent cx="809625" cy="285750"/>
            <wp:effectExtent l="0" t="0" r="9525" b="0"/>
            <wp:docPr id="3" name="Picture 1" descr="Creative Commons BY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reative Commons BY lic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107F17F5" w14:textId="77777777" w:rsidR="0053020D" w:rsidRPr="00702A51" w:rsidRDefault="0053020D" w:rsidP="0053020D">
      <w:pPr>
        <w:tabs>
          <w:tab w:val="left" w:pos="1650"/>
        </w:tabs>
        <w:spacing w:before="240"/>
      </w:pPr>
      <w:r w:rsidRPr="00702A51">
        <w:t>Use of Treasury material under a</w:t>
      </w:r>
      <w:r w:rsidRPr="00702A51">
        <w:rPr>
          <w:rFonts w:cstheme="minorHAnsi"/>
          <w:sz w:val="24"/>
          <w:szCs w:val="24"/>
        </w:rPr>
        <w:t xml:space="preserve"> </w:t>
      </w:r>
      <w:hyperlink r:id="rId14" w:history="1">
        <w:r w:rsidRPr="00702A51">
          <w:rPr>
            <w:rStyle w:val="Hyperlink"/>
          </w:rPr>
          <w:t>Creative Commons Attribution 4.0 International</w:t>
        </w:r>
      </w:hyperlink>
      <w:r w:rsidRPr="00702A51">
        <w:t xml:space="preserve"> licence requires you to attribute the work (but not in any way that suggests that the Treasury endorses you or your use of the work).</w:t>
      </w:r>
    </w:p>
    <w:p w14:paraId="76C6D762" w14:textId="43542904" w:rsidR="0053020D" w:rsidRPr="00702A51" w:rsidRDefault="0053020D" w:rsidP="0053020D">
      <w:pPr>
        <w:spacing w:before="240"/>
        <w:rPr>
          <w:rStyle w:val="Strong"/>
        </w:rPr>
      </w:pPr>
      <w:r w:rsidRPr="00702A51">
        <w:rPr>
          <w:rStyle w:val="Strong"/>
        </w:rPr>
        <w:t>Treasury material used ‘as supplied’</w:t>
      </w:r>
    </w:p>
    <w:p w14:paraId="4541D272" w14:textId="77777777" w:rsidR="0053020D" w:rsidRPr="00702A51" w:rsidRDefault="0053020D" w:rsidP="0053020D">
      <w:r w:rsidRPr="00702A51">
        <w:t xml:space="preserve">Provided you have not modified or transformed Treasury material in any way including, for example, by changing the Treasury text; calculating percentage changes; graphing or charting data; or deriving new statistics from published Treasury statistics </w:t>
      </w:r>
      <w:r w:rsidRPr="00702A51">
        <w:rPr>
          <w:rFonts w:cs="Calibri Light"/>
        </w:rPr>
        <w:t>–</w:t>
      </w:r>
      <w:r w:rsidRPr="00702A51">
        <w:t xml:space="preserve"> then Treasury prefers the following attribution: </w:t>
      </w:r>
    </w:p>
    <w:p w14:paraId="09334565" w14:textId="77777777" w:rsidR="0053020D" w:rsidRPr="00702A51" w:rsidRDefault="0053020D" w:rsidP="0053020D">
      <w:pPr>
        <w:ind w:firstLine="720"/>
      </w:pPr>
      <w:r w:rsidRPr="00702A51">
        <w:rPr>
          <w:iCs/>
        </w:rPr>
        <w:t>Source:</w:t>
      </w:r>
      <w:r w:rsidRPr="00702A51">
        <w:rPr>
          <w:i/>
        </w:rPr>
        <w:t xml:space="preserve"> </w:t>
      </w:r>
      <w:r w:rsidRPr="00702A51">
        <w:rPr>
          <w:rStyle w:val="Emphasis"/>
        </w:rPr>
        <w:t>The Commonwealth of Australia.</w:t>
      </w:r>
    </w:p>
    <w:p w14:paraId="0EF9EF56" w14:textId="77777777" w:rsidR="0053020D" w:rsidRPr="00702A51" w:rsidRDefault="0053020D" w:rsidP="0053020D">
      <w:pPr>
        <w:spacing w:before="240"/>
        <w:rPr>
          <w:rStyle w:val="Strong"/>
        </w:rPr>
      </w:pPr>
      <w:r w:rsidRPr="00702A51">
        <w:rPr>
          <w:rStyle w:val="Strong"/>
        </w:rPr>
        <w:t>Derivative material</w:t>
      </w:r>
    </w:p>
    <w:p w14:paraId="255F8033" w14:textId="77777777" w:rsidR="0053020D" w:rsidRPr="00702A51" w:rsidRDefault="0053020D" w:rsidP="0053020D">
      <w:r w:rsidRPr="00702A51">
        <w:t xml:space="preserve">If you have modified or transformed Treasury material, or derived new material from those of the Treasury in any way, then Treasury prefers the following attribution: </w:t>
      </w:r>
    </w:p>
    <w:p w14:paraId="5BC5E2B7" w14:textId="77777777" w:rsidR="0053020D" w:rsidRPr="00702A51" w:rsidRDefault="0053020D" w:rsidP="0053020D">
      <w:pPr>
        <w:ind w:firstLine="720"/>
        <w:rPr>
          <w:rStyle w:val="Emphasis"/>
        </w:rPr>
      </w:pPr>
      <w:r w:rsidRPr="00702A51">
        <w:rPr>
          <w:rStyle w:val="Emphasis"/>
        </w:rPr>
        <w:t>Based on Commonwealth of Australia</w:t>
      </w:r>
      <w:r w:rsidRPr="00702A51" w:rsidDel="002A3368">
        <w:rPr>
          <w:rStyle w:val="Emphasis"/>
        </w:rPr>
        <w:t xml:space="preserve"> </w:t>
      </w:r>
      <w:r w:rsidRPr="00702A51">
        <w:rPr>
          <w:rStyle w:val="Emphasis"/>
        </w:rPr>
        <w:t>data.</w:t>
      </w:r>
    </w:p>
    <w:p w14:paraId="51977D8A" w14:textId="77777777" w:rsidR="0053020D" w:rsidRPr="00702A51" w:rsidRDefault="0053020D" w:rsidP="0053020D">
      <w:pPr>
        <w:spacing w:before="240"/>
        <w:rPr>
          <w:rStyle w:val="Strong"/>
        </w:rPr>
      </w:pPr>
      <w:r w:rsidRPr="00702A51">
        <w:rPr>
          <w:rStyle w:val="Strong"/>
        </w:rPr>
        <w:t>Use of the Coat of Arms</w:t>
      </w:r>
    </w:p>
    <w:p w14:paraId="3BB80906" w14:textId="2CD44244" w:rsidR="0053020D" w:rsidRPr="00702A51" w:rsidRDefault="0053020D" w:rsidP="0053020D">
      <w:pPr>
        <w:spacing w:before="240"/>
      </w:pPr>
      <w:r w:rsidRPr="00702A51">
        <w:t xml:space="preserve">The terms under which the Coat of Arms can be used are set out on the Department of the Prime Minister and Cabinet website (see </w:t>
      </w:r>
      <w:hyperlink r:id="rId15" w:history="1">
        <w:r w:rsidRPr="00702A51">
          <w:rPr>
            <w:rStyle w:val="Hyperlink"/>
          </w:rPr>
          <w:t>www.pmc.gov.au/government/commonwealth</w:t>
        </w:r>
        <w:r w:rsidR="001224C3" w:rsidRPr="00702A51">
          <w:rPr>
            <w:rStyle w:val="Hyperlink"/>
          </w:rPr>
          <w:noBreakHyphen/>
        </w:r>
        <w:r w:rsidRPr="00702A51">
          <w:rPr>
            <w:rStyle w:val="Hyperlink"/>
          </w:rPr>
          <w:t>coat</w:t>
        </w:r>
        <w:r w:rsidR="001224C3" w:rsidRPr="00702A51">
          <w:rPr>
            <w:rStyle w:val="Hyperlink"/>
          </w:rPr>
          <w:noBreakHyphen/>
        </w:r>
        <w:r w:rsidRPr="00702A51">
          <w:rPr>
            <w:rStyle w:val="Hyperlink"/>
          </w:rPr>
          <w:t>arms</w:t>
        </w:r>
      </w:hyperlink>
      <w:r w:rsidRPr="00702A51">
        <w:t>).</w:t>
      </w:r>
    </w:p>
    <w:p w14:paraId="1E3F089E" w14:textId="77777777" w:rsidR="0053020D" w:rsidRPr="00702A51" w:rsidRDefault="0053020D" w:rsidP="0053020D">
      <w:pPr>
        <w:spacing w:before="240"/>
        <w:rPr>
          <w:rStyle w:val="Strong"/>
        </w:rPr>
      </w:pPr>
      <w:r w:rsidRPr="00702A51">
        <w:rPr>
          <w:rStyle w:val="Strong"/>
        </w:rPr>
        <w:t>Other uses</w:t>
      </w:r>
    </w:p>
    <w:p w14:paraId="733A5C47" w14:textId="77777777" w:rsidR="0053020D" w:rsidRPr="00702A51" w:rsidRDefault="0053020D" w:rsidP="0053020D">
      <w:r w:rsidRPr="00702A51">
        <w:t>Enquiries regarding this licence and any other use of this document are welcome at:</w:t>
      </w:r>
    </w:p>
    <w:p w14:paraId="20F3098E" w14:textId="77777777" w:rsidR="0053020D" w:rsidRPr="00702A51" w:rsidRDefault="0053020D" w:rsidP="0053020D">
      <w:pPr>
        <w:ind w:left="720"/>
        <w:rPr>
          <w:rStyle w:val="Hyperlink"/>
        </w:rPr>
      </w:pPr>
      <w:r w:rsidRPr="00702A51">
        <w:t>Manager</w:t>
      </w:r>
      <w:r w:rsidRPr="00702A51">
        <w:br/>
        <w:t>Media Unit</w:t>
      </w:r>
      <w:r w:rsidRPr="00702A51">
        <w:br/>
        <w:t>The Treasury</w:t>
      </w:r>
      <w:r w:rsidRPr="00702A51">
        <w:br/>
        <w:t xml:space="preserve">Langton Crescent </w:t>
      </w:r>
      <w:r w:rsidRPr="00702A51">
        <w:br/>
      </w:r>
      <w:proofErr w:type="gramStart"/>
      <w:r w:rsidRPr="00702A51">
        <w:t>Parkes  ACT</w:t>
      </w:r>
      <w:proofErr w:type="gramEnd"/>
      <w:r w:rsidRPr="00702A51">
        <w:t xml:space="preserve">  2600</w:t>
      </w:r>
      <w:r w:rsidRPr="00702A51">
        <w:br/>
        <w:t xml:space="preserve">Email: </w:t>
      </w:r>
      <w:hyperlink r:id="rId16" w:history="1">
        <w:r w:rsidRPr="00702A51">
          <w:rPr>
            <w:rStyle w:val="Hyperlink"/>
          </w:rPr>
          <w:t>media@treasury.gov.au</w:t>
        </w:r>
      </w:hyperlink>
    </w:p>
    <w:p w14:paraId="29ACCEE7" w14:textId="77777777" w:rsidR="0053020D" w:rsidRPr="00702A51" w:rsidRDefault="0053020D" w:rsidP="00D64CEC">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53020D" w:rsidRPr="00702A51" w14:paraId="7D58852C" w14:textId="77777777" w:rsidTr="00C533C5">
        <w:tc>
          <w:tcPr>
            <w:tcW w:w="5000" w:type="pct"/>
            <w:shd w:val="clear" w:color="auto" w:fill="E8F0FC" w:themeFill="accent5" w:themeFillTint="33"/>
            <w:hideMark/>
          </w:tcPr>
          <w:p w14:paraId="40245866" w14:textId="77777777" w:rsidR="0053020D" w:rsidRPr="00702A51" w:rsidRDefault="0053020D" w:rsidP="008E1709">
            <w:pPr>
              <w:rPr>
                <w:rStyle w:val="Strong"/>
                <w:b w:val="0"/>
                <w:bCs w:val="0"/>
              </w:rPr>
            </w:pPr>
            <w:r w:rsidRPr="00702A51">
              <w:rPr>
                <w:rStyle w:val="Strong"/>
                <w:color w:val="2C384A" w:themeColor="accent1"/>
              </w:rPr>
              <w:t>Acknowledgement of Country and Traditional Owners</w:t>
            </w:r>
          </w:p>
          <w:p w14:paraId="00CE1717" w14:textId="64AE6A81" w:rsidR="00414085" w:rsidRPr="00702A51" w:rsidRDefault="00414085" w:rsidP="0053020D">
            <w:r w:rsidRPr="00702A51">
              <w:rPr>
                <w:i/>
                <w:iCs/>
              </w:rPr>
              <w:t>The Treasury acknowledges the traditional owners of country throughout Australia, and their continuing connection to land, water and community. We pay our respects to them and their cultures and to Elders past and present.</w:t>
            </w:r>
          </w:p>
        </w:tc>
      </w:tr>
    </w:tbl>
    <w:p w14:paraId="47F9F58D" w14:textId="77777777" w:rsidR="0053020D" w:rsidRPr="00702A51" w:rsidRDefault="0053020D" w:rsidP="00D64CEC">
      <w:pPr>
        <w:pStyle w:val="SingleParagraph"/>
      </w:pPr>
    </w:p>
    <w:p w14:paraId="59286B40" w14:textId="5FDAD0DA" w:rsidR="0053020D" w:rsidRPr="00702A51" w:rsidRDefault="0053020D" w:rsidP="0053020D">
      <w:pPr>
        <w:rPr>
          <w:rStyle w:val="Emphasis"/>
          <w:i w:val="0"/>
          <w:iCs w:val="0"/>
        </w:rPr>
        <w:sectPr w:rsidR="0053020D" w:rsidRPr="00702A51" w:rsidSect="0096182A">
          <w:footerReference w:type="default" r:id="rId17"/>
          <w:pgSz w:w="11906" w:h="16838" w:code="9"/>
          <w:pgMar w:top="1843" w:right="1418" w:bottom="1418" w:left="1418" w:header="709" w:footer="709" w:gutter="0"/>
          <w:pgNumType w:start="1"/>
          <w:cols w:space="708"/>
          <w:docGrid w:linePitch="360"/>
        </w:sectPr>
      </w:pPr>
    </w:p>
    <w:sdt>
      <w:sdtPr>
        <w:rPr>
          <w:rFonts w:ascii="Calibri Light" w:eastAsia="Times New Roman" w:hAnsi="Calibri Light" w:cs="Times New Roman"/>
          <w:b w:val="0"/>
          <w:i/>
          <w:iCs/>
          <w:color w:val="auto"/>
          <w:sz w:val="22"/>
          <w:szCs w:val="20"/>
        </w:rPr>
        <w:id w:val="-694309979"/>
        <w:docPartObj>
          <w:docPartGallery w:val="Table of Contents"/>
          <w:docPartUnique/>
        </w:docPartObj>
      </w:sdtPr>
      <w:sdtContent>
        <w:p w14:paraId="0F5BD9E4" w14:textId="33FC261E" w:rsidR="0053020D" w:rsidRPr="00702A51" w:rsidRDefault="0053020D" w:rsidP="0053020D">
          <w:pPr>
            <w:pStyle w:val="TOCHeading"/>
          </w:pPr>
          <w:r w:rsidRPr="00702A51">
            <w:t>Contents</w:t>
          </w:r>
        </w:p>
        <w:p w14:paraId="490B0CA2" w14:textId="16A8AE0C" w:rsidR="00290A7C" w:rsidRPr="00702A51" w:rsidRDefault="0053020D">
          <w:pPr>
            <w:pStyle w:val="TOC1"/>
            <w:rPr>
              <w:rFonts w:asciiTheme="minorHAnsi" w:eastAsiaTheme="minorEastAsia" w:hAnsiTheme="minorHAnsi" w:cstheme="minorBidi"/>
              <w:b w:val="0"/>
              <w:color w:val="auto"/>
              <w:kern w:val="2"/>
              <w:sz w:val="24"/>
              <w:szCs w:val="24"/>
              <w14:ligatures w14:val="standardContextual"/>
            </w:rPr>
          </w:pPr>
          <w:r w:rsidRPr="00702A51">
            <w:rPr>
              <w:b w:val="0"/>
            </w:rPr>
            <w:fldChar w:fldCharType="begin"/>
          </w:r>
          <w:r w:rsidRPr="00702A51">
            <w:rPr>
              <w:b w:val="0"/>
            </w:rPr>
            <w:instrText xml:space="preserve"> TOC \o "1-2" \h \z \u </w:instrText>
          </w:r>
          <w:r w:rsidRPr="00702A51">
            <w:rPr>
              <w:b w:val="0"/>
            </w:rPr>
            <w:fldChar w:fldCharType="separate"/>
          </w:r>
          <w:hyperlink w:anchor="_Toc237339139" w:history="1">
            <w:r w:rsidR="00290A7C" w:rsidRPr="00702A51">
              <w:rPr>
                <w:rStyle w:val="Hyperlink"/>
              </w:rPr>
              <w:t>Secretary’s introduction</w:t>
            </w:r>
            <w:r w:rsidR="00290A7C" w:rsidRPr="00702A51">
              <w:rPr>
                <w:webHidden/>
              </w:rPr>
              <w:tab/>
            </w:r>
            <w:r w:rsidR="00290A7C" w:rsidRPr="00702A51">
              <w:rPr>
                <w:webHidden/>
              </w:rPr>
              <w:fldChar w:fldCharType="begin"/>
            </w:r>
            <w:r w:rsidR="00290A7C" w:rsidRPr="00702A51">
              <w:rPr>
                <w:webHidden/>
              </w:rPr>
              <w:instrText xml:space="preserve"> PAGEREF _Toc237339139 \h </w:instrText>
            </w:r>
            <w:r w:rsidR="00290A7C" w:rsidRPr="00702A51">
              <w:rPr>
                <w:webHidden/>
              </w:rPr>
            </w:r>
            <w:r w:rsidR="00290A7C" w:rsidRPr="00702A51">
              <w:rPr>
                <w:webHidden/>
              </w:rPr>
              <w:fldChar w:fldCharType="separate"/>
            </w:r>
            <w:r w:rsidR="00D628C8">
              <w:rPr>
                <w:webHidden/>
              </w:rPr>
              <w:t>1</w:t>
            </w:r>
            <w:r w:rsidR="00290A7C" w:rsidRPr="00702A51">
              <w:rPr>
                <w:webHidden/>
              </w:rPr>
              <w:fldChar w:fldCharType="end"/>
            </w:r>
          </w:hyperlink>
        </w:p>
        <w:p w14:paraId="47F0793E" w14:textId="7EC47BED" w:rsidR="00290A7C" w:rsidRPr="00702A51" w:rsidRDefault="00290A7C">
          <w:pPr>
            <w:pStyle w:val="TOC1"/>
            <w:rPr>
              <w:rFonts w:asciiTheme="minorHAnsi" w:eastAsiaTheme="minorEastAsia" w:hAnsiTheme="minorHAnsi" w:cstheme="minorBidi"/>
              <w:b w:val="0"/>
              <w:color w:val="auto"/>
              <w:kern w:val="2"/>
              <w:sz w:val="24"/>
              <w:szCs w:val="24"/>
              <w14:ligatures w14:val="standardContextual"/>
            </w:rPr>
          </w:pPr>
          <w:hyperlink w:anchor="_Toc237339140" w:history="1">
            <w:r w:rsidRPr="00702A51">
              <w:rPr>
                <w:rStyle w:val="Hyperlink"/>
              </w:rPr>
              <w:t>Treasury Corporate Plan 2026–27 to 2029–30</w:t>
            </w:r>
            <w:r w:rsidRPr="00702A51">
              <w:rPr>
                <w:webHidden/>
              </w:rPr>
              <w:tab/>
            </w:r>
            <w:r w:rsidRPr="00702A51">
              <w:rPr>
                <w:webHidden/>
              </w:rPr>
              <w:fldChar w:fldCharType="begin"/>
            </w:r>
            <w:r w:rsidRPr="00702A51">
              <w:rPr>
                <w:webHidden/>
              </w:rPr>
              <w:instrText xml:space="preserve"> PAGEREF _Toc237339140 \h </w:instrText>
            </w:r>
            <w:r w:rsidRPr="00702A51">
              <w:rPr>
                <w:webHidden/>
              </w:rPr>
            </w:r>
            <w:r w:rsidRPr="00702A51">
              <w:rPr>
                <w:webHidden/>
              </w:rPr>
              <w:fldChar w:fldCharType="separate"/>
            </w:r>
            <w:r w:rsidR="00D628C8">
              <w:rPr>
                <w:webHidden/>
              </w:rPr>
              <w:t>2</w:t>
            </w:r>
            <w:r w:rsidRPr="00702A51">
              <w:rPr>
                <w:webHidden/>
              </w:rPr>
              <w:fldChar w:fldCharType="end"/>
            </w:r>
          </w:hyperlink>
        </w:p>
        <w:p w14:paraId="6F6829EB" w14:textId="0CD6B1F7" w:rsidR="00290A7C" w:rsidRPr="00702A51" w:rsidRDefault="00290A7C">
          <w:pPr>
            <w:pStyle w:val="TOC1"/>
            <w:rPr>
              <w:rFonts w:asciiTheme="minorHAnsi" w:eastAsiaTheme="minorEastAsia" w:hAnsiTheme="minorHAnsi" w:cstheme="minorBidi"/>
              <w:b w:val="0"/>
              <w:color w:val="auto"/>
              <w:kern w:val="2"/>
              <w:sz w:val="24"/>
              <w:szCs w:val="24"/>
              <w14:ligatures w14:val="standardContextual"/>
            </w:rPr>
          </w:pPr>
          <w:hyperlink w:anchor="_Toc237339141" w:history="1">
            <w:r w:rsidRPr="00702A51">
              <w:rPr>
                <w:rStyle w:val="Hyperlink"/>
              </w:rPr>
              <w:t>Operating context</w:t>
            </w:r>
            <w:r w:rsidRPr="00702A51">
              <w:rPr>
                <w:webHidden/>
              </w:rPr>
              <w:tab/>
            </w:r>
            <w:r w:rsidRPr="00702A51">
              <w:rPr>
                <w:webHidden/>
              </w:rPr>
              <w:fldChar w:fldCharType="begin"/>
            </w:r>
            <w:r w:rsidRPr="00702A51">
              <w:rPr>
                <w:webHidden/>
              </w:rPr>
              <w:instrText xml:space="preserve"> PAGEREF _Toc237339141 \h </w:instrText>
            </w:r>
            <w:r w:rsidRPr="00702A51">
              <w:rPr>
                <w:webHidden/>
              </w:rPr>
            </w:r>
            <w:r w:rsidRPr="00702A51">
              <w:rPr>
                <w:webHidden/>
              </w:rPr>
              <w:fldChar w:fldCharType="separate"/>
            </w:r>
            <w:r w:rsidR="00D628C8">
              <w:rPr>
                <w:webHidden/>
              </w:rPr>
              <w:t>4</w:t>
            </w:r>
            <w:r w:rsidRPr="00702A51">
              <w:rPr>
                <w:webHidden/>
              </w:rPr>
              <w:fldChar w:fldCharType="end"/>
            </w:r>
          </w:hyperlink>
        </w:p>
        <w:p w14:paraId="0A1D19E1" w14:textId="024CCE44" w:rsidR="00290A7C" w:rsidRPr="00702A51" w:rsidRDefault="00290A7C">
          <w:pPr>
            <w:pStyle w:val="TOC2"/>
            <w:rPr>
              <w:rFonts w:asciiTheme="minorHAnsi" w:eastAsiaTheme="minorEastAsia" w:hAnsiTheme="minorHAnsi" w:cstheme="minorBidi"/>
              <w:color w:val="auto"/>
              <w:kern w:val="2"/>
              <w:sz w:val="24"/>
              <w:szCs w:val="24"/>
              <w14:ligatures w14:val="standardContextual"/>
            </w:rPr>
          </w:pPr>
          <w:hyperlink w:anchor="_Toc237339142" w:history="1">
            <w:r w:rsidRPr="00702A51">
              <w:rPr>
                <w:rStyle w:val="Hyperlink"/>
              </w:rPr>
              <w:t>Environment</w:t>
            </w:r>
            <w:r w:rsidRPr="00702A51">
              <w:rPr>
                <w:webHidden/>
              </w:rPr>
              <w:tab/>
            </w:r>
            <w:r w:rsidRPr="00702A51">
              <w:rPr>
                <w:webHidden/>
              </w:rPr>
              <w:fldChar w:fldCharType="begin"/>
            </w:r>
            <w:r w:rsidRPr="00702A51">
              <w:rPr>
                <w:webHidden/>
              </w:rPr>
              <w:instrText xml:space="preserve"> PAGEREF _Toc237339142 \h </w:instrText>
            </w:r>
            <w:r w:rsidRPr="00702A51">
              <w:rPr>
                <w:webHidden/>
              </w:rPr>
            </w:r>
            <w:r w:rsidRPr="00702A51">
              <w:rPr>
                <w:webHidden/>
              </w:rPr>
              <w:fldChar w:fldCharType="separate"/>
            </w:r>
            <w:r w:rsidR="00D628C8">
              <w:rPr>
                <w:webHidden/>
              </w:rPr>
              <w:t>4</w:t>
            </w:r>
            <w:r w:rsidRPr="00702A51">
              <w:rPr>
                <w:webHidden/>
              </w:rPr>
              <w:fldChar w:fldCharType="end"/>
            </w:r>
          </w:hyperlink>
        </w:p>
        <w:p w14:paraId="197689CF" w14:textId="0B6CB63A" w:rsidR="00290A7C" w:rsidRPr="00702A51" w:rsidRDefault="00290A7C">
          <w:pPr>
            <w:pStyle w:val="TOC2"/>
            <w:rPr>
              <w:rFonts w:asciiTheme="minorHAnsi" w:eastAsiaTheme="minorEastAsia" w:hAnsiTheme="minorHAnsi" w:cstheme="minorBidi"/>
              <w:color w:val="auto"/>
              <w:kern w:val="2"/>
              <w:sz w:val="24"/>
              <w:szCs w:val="24"/>
              <w14:ligatures w14:val="standardContextual"/>
            </w:rPr>
          </w:pPr>
          <w:hyperlink w:anchor="_Toc237339143" w:history="1">
            <w:r w:rsidRPr="00702A51">
              <w:rPr>
                <w:rStyle w:val="Hyperlink"/>
              </w:rPr>
              <w:t>Capability</w:t>
            </w:r>
            <w:r w:rsidRPr="00702A51">
              <w:rPr>
                <w:webHidden/>
              </w:rPr>
              <w:tab/>
            </w:r>
            <w:r w:rsidRPr="00702A51">
              <w:rPr>
                <w:webHidden/>
              </w:rPr>
              <w:fldChar w:fldCharType="begin"/>
            </w:r>
            <w:r w:rsidRPr="00702A51">
              <w:rPr>
                <w:webHidden/>
              </w:rPr>
              <w:instrText xml:space="preserve"> PAGEREF _Toc237339143 \h </w:instrText>
            </w:r>
            <w:r w:rsidRPr="00702A51">
              <w:rPr>
                <w:webHidden/>
              </w:rPr>
            </w:r>
            <w:r w:rsidRPr="00702A51">
              <w:rPr>
                <w:webHidden/>
              </w:rPr>
              <w:fldChar w:fldCharType="separate"/>
            </w:r>
            <w:r w:rsidR="00D628C8">
              <w:rPr>
                <w:webHidden/>
              </w:rPr>
              <w:t>7</w:t>
            </w:r>
            <w:r w:rsidRPr="00702A51">
              <w:rPr>
                <w:webHidden/>
              </w:rPr>
              <w:fldChar w:fldCharType="end"/>
            </w:r>
          </w:hyperlink>
        </w:p>
        <w:p w14:paraId="73917F19" w14:textId="23F0C11A" w:rsidR="00290A7C" w:rsidRPr="00702A51" w:rsidRDefault="00290A7C">
          <w:pPr>
            <w:pStyle w:val="TOC1"/>
            <w:rPr>
              <w:rFonts w:asciiTheme="minorHAnsi" w:eastAsiaTheme="minorEastAsia" w:hAnsiTheme="minorHAnsi" w:cstheme="minorBidi"/>
              <w:b w:val="0"/>
              <w:color w:val="auto"/>
              <w:kern w:val="2"/>
              <w:sz w:val="24"/>
              <w:szCs w:val="24"/>
              <w14:ligatures w14:val="standardContextual"/>
            </w:rPr>
          </w:pPr>
          <w:hyperlink w:anchor="_Toc237339144" w:history="1">
            <w:r w:rsidRPr="00702A51">
              <w:rPr>
                <w:rStyle w:val="Hyperlink"/>
              </w:rPr>
              <w:t>Risk oversight and management</w:t>
            </w:r>
            <w:r w:rsidRPr="00702A51">
              <w:rPr>
                <w:webHidden/>
              </w:rPr>
              <w:tab/>
            </w:r>
            <w:r w:rsidRPr="00702A51">
              <w:rPr>
                <w:webHidden/>
              </w:rPr>
              <w:fldChar w:fldCharType="begin"/>
            </w:r>
            <w:r w:rsidRPr="00702A51">
              <w:rPr>
                <w:webHidden/>
              </w:rPr>
              <w:instrText xml:space="preserve"> PAGEREF _Toc237339144 \h </w:instrText>
            </w:r>
            <w:r w:rsidRPr="00702A51">
              <w:rPr>
                <w:webHidden/>
              </w:rPr>
            </w:r>
            <w:r w:rsidRPr="00702A51">
              <w:rPr>
                <w:webHidden/>
              </w:rPr>
              <w:fldChar w:fldCharType="separate"/>
            </w:r>
            <w:r w:rsidR="00D628C8">
              <w:rPr>
                <w:webHidden/>
              </w:rPr>
              <w:t>10</w:t>
            </w:r>
            <w:r w:rsidRPr="00702A51">
              <w:rPr>
                <w:webHidden/>
              </w:rPr>
              <w:fldChar w:fldCharType="end"/>
            </w:r>
          </w:hyperlink>
        </w:p>
        <w:p w14:paraId="2FC5C510" w14:textId="5F0950D9" w:rsidR="00290A7C" w:rsidRPr="00702A51" w:rsidRDefault="00290A7C">
          <w:pPr>
            <w:pStyle w:val="TOC2"/>
            <w:rPr>
              <w:rFonts w:asciiTheme="minorHAnsi" w:eastAsiaTheme="minorEastAsia" w:hAnsiTheme="minorHAnsi" w:cstheme="minorBidi"/>
              <w:color w:val="auto"/>
              <w:kern w:val="2"/>
              <w:sz w:val="24"/>
              <w:szCs w:val="24"/>
              <w14:ligatures w14:val="standardContextual"/>
            </w:rPr>
          </w:pPr>
          <w:hyperlink w:anchor="_Toc237339145" w:history="1">
            <w:r w:rsidRPr="00702A51">
              <w:rPr>
                <w:rStyle w:val="Hyperlink"/>
              </w:rPr>
              <w:t>Risk appetite and tolerance</w:t>
            </w:r>
            <w:r w:rsidRPr="00702A51">
              <w:rPr>
                <w:webHidden/>
              </w:rPr>
              <w:tab/>
            </w:r>
            <w:r w:rsidRPr="00702A51">
              <w:rPr>
                <w:webHidden/>
              </w:rPr>
              <w:fldChar w:fldCharType="begin"/>
            </w:r>
            <w:r w:rsidRPr="00702A51">
              <w:rPr>
                <w:webHidden/>
              </w:rPr>
              <w:instrText xml:space="preserve"> PAGEREF _Toc237339145 \h </w:instrText>
            </w:r>
            <w:r w:rsidRPr="00702A51">
              <w:rPr>
                <w:webHidden/>
              </w:rPr>
            </w:r>
            <w:r w:rsidRPr="00702A51">
              <w:rPr>
                <w:webHidden/>
              </w:rPr>
              <w:fldChar w:fldCharType="separate"/>
            </w:r>
            <w:r w:rsidR="00D628C8">
              <w:rPr>
                <w:webHidden/>
              </w:rPr>
              <w:t>10</w:t>
            </w:r>
            <w:r w:rsidRPr="00702A51">
              <w:rPr>
                <w:webHidden/>
              </w:rPr>
              <w:fldChar w:fldCharType="end"/>
            </w:r>
          </w:hyperlink>
        </w:p>
        <w:p w14:paraId="5125CEB4" w14:textId="696D9AAF" w:rsidR="00290A7C" w:rsidRPr="00702A51" w:rsidRDefault="00290A7C">
          <w:pPr>
            <w:pStyle w:val="TOC2"/>
            <w:rPr>
              <w:rFonts w:asciiTheme="minorHAnsi" w:eastAsiaTheme="minorEastAsia" w:hAnsiTheme="minorHAnsi" w:cstheme="minorBidi"/>
              <w:color w:val="auto"/>
              <w:kern w:val="2"/>
              <w:sz w:val="24"/>
              <w:szCs w:val="24"/>
              <w14:ligatures w14:val="standardContextual"/>
            </w:rPr>
          </w:pPr>
          <w:hyperlink w:anchor="_Toc237339146" w:history="1">
            <w:r w:rsidRPr="00702A51">
              <w:rPr>
                <w:rStyle w:val="Hyperlink"/>
              </w:rPr>
              <w:t>Enterprise risk</w:t>
            </w:r>
            <w:r w:rsidRPr="00702A51">
              <w:rPr>
                <w:webHidden/>
              </w:rPr>
              <w:tab/>
            </w:r>
            <w:r w:rsidRPr="00702A51">
              <w:rPr>
                <w:webHidden/>
              </w:rPr>
              <w:fldChar w:fldCharType="begin"/>
            </w:r>
            <w:r w:rsidRPr="00702A51">
              <w:rPr>
                <w:webHidden/>
              </w:rPr>
              <w:instrText xml:space="preserve"> PAGEREF _Toc237339146 \h </w:instrText>
            </w:r>
            <w:r w:rsidRPr="00702A51">
              <w:rPr>
                <w:webHidden/>
              </w:rPr>
            </w:r>
            <w:r w:rsidRPr="00702A51">
              <w:rPr>
                <w:webHidden/>
              </w:rPr>
              <w:fldChar w:fldCharType="separate"/>
            </w:r>
            <w:r w:rsidR="00D628C8">
              <w:rPr>
                <w:webHidden/>
              </w:rPr>
              <w:t>10</w:t>
            </w:r>
            <w:r w:rsidRPr="00702A51">
              <w:rPr>
                <w:webHidden/>
              </w:rPr>
              <w:fldChar w:fldCharType="end"/>
            </w:r>
          </w:hyperlink>
        </w:p>
        <w:p w14:paraId="3277ABB4" w14:textId="5E3975A9" w:rsidR="00290A7C" w:rsidRPr="00702A51" w:rsidRDefault="00290A7C">
          <w:pPr>
            <w:pStyle w:val="TOC2"/>
            <w:rPr>
              <w:rFonts w:asciiTheme="minorHAnsi" w:eastAsiaTheme="minorEastAsia" w:hAnsiTheme="minorHAnsi" w:cstheme="minorBidi"/>
              <w:color w:val="auto"/>
              <w:kern w:val="2"/>
              <w:sz w:val="24"/>
              <w:szCs w:val="24"/>
              <w14:ligatures w14:val="standardContextual"/>
            </w:rPr>
          </w:pPr>
          <w:hyperlink w:anchor="_Toc237339147" w:history="1">
            <w:r w:rsidRPr="00702A51">
              <w:rPr>
                <w:rStyle w:val="Hyperlink"/>
              </w:rPr>
              <w:t>Governance</w:t>
            </w:r>
            <w:r w:rsidRPr="00702A51">
              <w:rPr>
                <w:webHidden/>
              </w:rPr>
              <w:tab/>
            </w:r>
            <w:r w:rsidRPr="00702A51">
              <w:rPr>
                <w:webHidden/>
              </w:rPr>
              <w:fldChar w:fldCharType="begin"/>
            </w:r>
            <w:r w:rsidRPr="00702A51">
              <w:rPr>
                <w:webHidden/>
              </w:rPr>
              <w:instrText xml:space="preserve"> PAGEREF _Toc237339147 \h </w:instrText>
            </w:r>
            <w:r w:rsidRPr="00702A51">
              <w:rPr>
                <w:webHidden/>
              </w:rPr>
            </w:r>
            <w:r w:rsidRPr="00702A51">
              <w:rPr>
                <w:webHidden/>
              </w:rPr>
              <w:fldChar w:fldCharType="separate"/>
            </w:r>
            <w:r w:rsidR="00D628C8">
              <w:rPr>
                <w:webHidden/>
              </w:rPr>
              <w:t>13</w:t>
            </w:r>
            <w:r w:rsidRPr="00702A51">
              <w:rPr>
                <w:webHidden/>
              </w:rPr>
              <w:fldChar w:fldCharType="end"/>
            </w:r>
          </w:hyperlink>
        </w:p>
        <w:p w14:paraId="3402E9D7" w14:textId="54AFBF00" w:rsidR="00290A7C" w:rsidRPr="00702A51" w:rsidRDefault="00290A7C">
          <w:pPr>
            <w:pStyle w:val="TOC1"/>
            <w:rPr>
              <w:rFonts w:asciiTheme="minorHAnsi" w:eastAsiaTheme="minorEastAsia" w:hAnsiTheme="minorHAnsi" w:cstheme="minorBidi"/>
              <w:b w:val="0"/>
              <w:color w:val="auto"/>
              <w:kern w:val="2"/>
              <w:sz w:val="24"/>
              <w:szCs w:val="24"/>
              <w14:ligatures w14:val="standardContextual"/>
            </w:rPr>
          </w:pPr>
          <w:hyperlink w:anchor="_Toc237339148" w:history="1">
            <w:r w:rsidRPr="00702A51">
              <w:rPr>
                <w:rStyle w:val="Hyperlink"/>
              </w:rPr>
              <w:t>Our approach to performance</w:t>
            </w:r>
            <w:r w:rsidRPr="00702A51">
              <w:rPr>
                <w:webHidden/>
              </w:rPr>
              <w:tab/>
            </w:r>
            <w:r w:rsidRPr="00702A51">
              <w:rPr>
                <w:webHidden/>
              </w:rPr>
              <w:fldChar w:fldCharType="begin"/>
            </w:r>
            <w:r w:rsidRPr="00702A51">
              <w:rPr>
                <w:webHidden/>
              </w:rPr>
              <w:instrText xml:space="preserve"> PAGEREF _Toc237339148 \h </w:instrText>
            </w:r>
            <w:r w:rsidRPr="00702A51">
              <w:rPr>
                <w:webHidden/>
              </w:rPr>
            </w:r>
            <w:r w:rsidRPr="00702A51">
              <w:rPr>
                <w:webHidden/>
              </w:rPr>
              <w:fldChar w:fldCharType="separate"/>
            </w:r>
            <w:r w:rsidR="00D628C8">
              <w:rPr>
                <w:webHidden/>
              </w:rPr>
              <w:t>14</w:t>
            </w:r>
            <w:r w:rsidRPr="00702A51">
              <w:rPr>
                <w:webHidden/>
              </w:rPr>
              <w:fldChar w:fldCharType="end"/>
            </w:r>
          </w:hyperlink>
        </w:p>
        <w:p w14:paraId="6ED1A196" w14:textId="199A2CEA" w:rsidR="00290A7C" w:rsidRPr="00702A51" w:rsidRDefault="00290A7C">
          <w:pPr>
            <w:pStyle w:val="TOC2"/>
            <w:rPr>
              <w:rFonts w:asciiTheme="minorHAnsi" w:eastAsiaTheme="minorEastAsia" w:hAnsiTheme="minorHAnsi" w:cstheme="minorBidi"/>
              <w:color w:val="auto"/>
              <w:kern w:val="2"/>
              <w:sz w:val="24"/>
              <w:szCs w:val="24"/>
              <w14:ligatures w14:val="standardContextual"/>
            </w:rPr>
          </w:pPr>
          <w:hyperlink w:anchor="_Toc237339149" w:history="1">
            <w:r w:rsidRPr="00702A51">
              <w:rPr>
                <w:rStyle w:val="Hyperlink"/>
              </w:rPr>
              <w:t>Key activity 1: Treasury’s policy advice and analysis is impactful, informed and influential</w:t>
            </w:r>
            <w:r w:rsidRPr="00702A51">
              <w:rPr>
                <w:webHidden/>
              </w:rPr>
              <w:tab/>
            </w:r>
            <w:r w:rsidRPr="00702A51">
              <w:rPr>
                <w:webHidden/>
              </w:rPr>
              <w:fldChar w:fldCharType="begin"/>
            </w:r>
            <w:r w:rsidRPr="00702A51">
              <w:rPr>
                <w:webHidden/>
              </w:rPr>
              <w:instrText xml:space="preserve"> PAGEREF _Toc237339149 \h </w:instrText>
            </w:r>
            <w:r w:rsidRPr="00702A51">
              <w:rPr>
                <w:webHidden/>
              </w:rPr>
            </w:r>
            <w:r w:rsidRPr="00702A51">
              <w:rPr>
                <w:webHidden/>
              </w:rPr>
              <w:fldChar w:fldCharType="separate"/>
            </w:r>
            <w:r w:rsidR="00D628C8">
              <w:rPr>
                <w:webHidden/>
              </w:rPr>
              <w:t>15</w:t>
            </w:r>
            <w:r w:rsidRPr="00702A51">
              <w:rPr>
                <w:webHidden/>
              </w:rPr>
              <w:fldChar w:fldCharType="end"/>
            </w:r>
          </w:hyperlink>
        </w:p>
        <w:p w14:paraId="7B30F871" w14:textId="535F239D" w:rsidR="00290A7C" w:rsidRPr="00702A51" w:rsidRDefault="00290A7C">
          <w:pPr>
            <w:pStyle w:val="TOC2"/>
            <w:rPr>
              <w:rFonts w:asciiTheme="minorHAnsi" w:eastAsiaTheme="minorEastAsia" w:hAnsiTheme="minorHAnsi" w:cstheme="minorBidi"/>
              <w:color w:val="auto"/>
              <w:kern w:val="2"/>
              <w:sz w:val="24"/>
              <w:szCs w:val="24"/>
              <w14:ligatures w14:val="standardContextual"/>
            </w:rPr>
          </w:pPr>
          <w:hyperlink w:anchor="_Toc237339150" w:history="1">
            <w:r w:rsidRPr="00702A51">
              <w:rPr>
                <w:rStyle w:val="Hyperlink"/>
                <w:bCs/>
              </w:rPr>
              <w:t xml:space="preserve">Key activity 2: </w:t>
            </w:r>
            <w:r w:rsidRPr="00702A51">
              <w:rPr>
                <w:rStyle w:val="Hyperlink"/>
              </w:rPr>
              <w:t>Treasury’s implementation of policies and regulation supports Australia’s economy and national interest</w:t>
            </w:r>
            <w:r w:rsidRPr="00702A51">
              <w:rPr>
                <w:webHidden/>
              </w:rPr>
              <w:tab/>
            </w:r>
            <w:r w:rsidRPr="00702A51">
              <w:rPr>
                <w:webHidden/>
              </w:rPr>
              <w:fldChar w:fldCharType="begin"/>
            </w:r>
            <w:r w:rsidRPr="00702A51">
              <w:rPr>
                <w:webHidden/>
              </w:rPr>
              <w:instrText xml:space="preserve"> PAGEREF _Toc237339150 \h </w:instrText>
            </w:r>
            <w:r w:rsidRPr="00702A51">
              <w:rPr>
                <w:webHidden/>
              </w:rPr>
            </w:r>
            <w:r w:rsidRPr="00702A51">
              <w:rPr>
                <w:webHidden/>
              </w:rPr>
              <w:fldChar w:fldCharType="separate"/>
            </w:r>
            <w:r w:rsidR="00D628C8">
              <w:rPr>
                <w:webHidden/>
              </w:rPr>
              <w:t>19</w:t>
            </w:r>
            <w:r w:rsidRPr="00702A51">
              <w:rPr>
                <w:webHidden/>
              </w:rPr>
              <w:fldChar w:fldCharType="end"/>
            </w:r>
          </w:hyperlink>
        </w:p>
        <w:p w14:paraId="20B7F81F" w14:textId="2F8A62E4" w:rsidR="00290A7C" w:rsidRPr="00702A51" w:rsidRDefault="00290A7C">
          <w:pPr>
            <w:pStyle w:val="TOC2"/>
            <w:rPr>
              <w:rFonts w:asciiTheme="minorHAnsi" w:eastAsiaTheme="minorEastAsia" w:hAnsiTheme="minorHAnsi" w:cstheme="minorBidi"/>
              <w:color w:val="auto"/>
              <w:kern w:val="2"/>
              <w:sz w:val="24"/>
              <w:szCs w:val="24"/>
              <w14:ligatures w14:val="standardContextual"/>
            </w:rPr>
          </w:pPr>
          <w:hyperlink w:anchor="_Toc237339151" w:history="1">
            <w:r w:rsidRPr="00702A51">
              <w:rPr>
                <w:rStyle w:val="Hyperlink"/>
              </w:rPr>
              <w:t>Key activity 3: Treasury’s external engagements enable implementation of the government’s economic and fiscal agenda</w:t>
            </w:r>
            <w:r w:rsidRPr="00702A51">
              <w:rPr>
                <w:webHidden/>
              </w:rPr>
              <w:tab/>
            </w:r>
            <w:r w:rsidRPr="00702A51">
              <w:rPr>
                <w:webHidden/>
              </w:rPr>
              <w:fldChar w:fldCharType="begin"/>
            </w:r>
            <w:r w:rsidRPr="00702A51">
              <w:rPr>
                <w:webHidden/>
              </w:rPr>
              <w:instrText xml:space="preserve"> PAGEREF _Toc237339151 \h </w:instrText>
            </w:r>
            <w:r w:rsidRPr="00702A51">
              <w:rPr>
                <w:webHidden/>
              </w:rPr>
            </w:r>
            <w:r w:rsidRPr="00702A51">
              <w:rPr>
                <w:webHidden/>
              </w:rPr>
              <w:fldChar w:fldCharType="separate"/>
            </w:r>
            <w:r w:rsidR="00D628C8">
              <w:rPr>
                <w:webHidden/>
              </w:rPr>
              <w:t>26</w:t>
            </w:r>
            <w:r w:rsidRPr="00702A51">
              <w:rPr>
                <w:webHidden/>
              </w:rPr>
              <w:fldChar w:fldCharType="end"/>
            </w:r>
          </w:hyperlink>
        </w:p>
        <w:p w14:paraId="4CB6747C" w14:textId="0E8C7D8F" w:rsidR="00290A7C" w:rsidRPr="00702A51" w:rsidRDefault="00290A7C">
          <w:pPr>
            <w:pStyle w:val="TOC1"/>
            <w:rPr>
              <w:rFonts w:asciiTheme="minorHAnsi" w:eastAsiaTheme="minorEastAsia" w:hAnsiTheme="minorHAnsi" w:cstheme="minorBidi"/>
              <w:b w:val="0"/>
              <w:color w:val="auto"/>
              <w:kern w:val="2"/>
              <w:sz w:val="24"/>
              <w:szCs w:val="24"/>
              <w14:ligatures w14:val="standardContextual"/>
            </w:rPr>
          </w:pPr>
          <w:hyperlink w:anchor="_Toc237339152" w:history="1">
            <w:r w:rsidRPr="00702A51">
              <w:rPr>
                <w:rStyle w:val="Hyperlink"/>
              </w:rPr>
              <w:t>Appendix: Corporate plan requirements</w:t>
            </w:r>
            <w:r w:rsidRPr="00702A51">
              <w:rPr>
                <w:webHidden/>
              </w:rPr>
              <w:tab/>
            </w:r>
            <w:r w:rsidRPr="00702A51">
              <w:rPr>
                <w:webHidden/>
              </w:rPr>
              <w:fldChar w:fldCharType="begin"/>
            </w:r>
            <w:r w:rsidRPr="00702A51">
              <w:rPr>
                <w:webHidden/>
              </w:rPr>
              <w:instrText xml:space="preserve"> PAGEREF _Toc237339152 \h </w:instrText>
            </w:r>
            <w:r w:rsidRPr="00702A51">
              <w:rPr>
                <w:webHidden/>
              </w:rPr>
            </w:r>
            <w:r w:rsidRPr="00702A51">
              <w:rPr>
                <w:webHidden/>
              </w:rPr>
              <w:fldChar w:fldCharType="separate"/>
            </w:r>
            <w:r w:rsidR="00D628C8">
              <w:rPr>
                <w:webHidden/>
              </w:rPr>
              <w:t>29</w:t>
            </w:r>
            <w:r w:rsidRPr="00702A51">
              <w:rPr>
                <w:webHidden/>
              </w:rPr>
              <w:fldChar w:fldCharType="end"/>
            </w:r>
          </w:hyperlink>
        </w:p>
        <w:p w14:paraId="02331705" w14:textId="0E9F8DDE" w:rsidR="0053020D" w:rsidRPr="00702A51" w:rsidRDefault="0053020D" w:rsidP="0053020D">
          <w:pPr>
            <w:rPr>
              <w:rStyle w:val="Emphasis"/>
              <w:i w:val="0"/>
              <w:iCs w:val="0"/>
            </w:rPr>
          </w:pPr>
          <w:r w:rsidRPr="00702A51">
            <w:rPr>
              <w:b/>
              <w:noProof/>
              <w:color w:val="2C384A" w:themeColor="accent1"/>
              <w:szCs w:val="22"/>
            </w:rPr>
            <w:fldChar w:fldCharType="end"/>
          </w:r>
        </w:p>
      </w:sdtContent>
    </w:sdt>
    <w:p w14:paraId="080B3199" w14:textId="77777777" w:rsidR="0053020D" w:rsidRPr="00702A51" w:rsidRDefault="0053020D" w:rsidP="0053020D">
      <w:pPr>
        <w:rPr>
          <w:rStyle w:val="Emphasis"/>
          <w:i w:val="0"/>
          <w:iCs w:val="0"/>
        </w:rPr>
      </w:pPr>
    </w:p>
    <w:p w14:paraId="11DAFA58" w14:textId="77777777" w:rsidR="0053020D" w:rsidRPr="00702A51" w:rsidRDefault="0053020D" w:rsidP="0053020D">
      <w:pPr>
        <w:rPr>
          <w:rStyle w:val="Emphasis"/>
          <w:i w:val="0"/>
          <w:iCs w:val="0"/>
        </w:rPr>
        <w:sectPr w:rsidR="0053020D" w:rsidRPr="00702A51" w:rsidSect="006365BF">
          <w:footerReference w:type="default" r:id="rId18"/>
          <w:pgSz w:w="11906" w:h="16838" w:code="9"/>
          <w:pgMar w:top="1843" w:right="1418" w:bottom="1418" w:left="1418" w:header="709" w:footer="709" w:gutter="0"/>
          <w:pgNumType w:fmt="lowerRoman" w:start="1"/>
          <w:cols w:space="708"/>
          <w:docGrid w:linePitch="360"/>
        </w:sectPr>
      </w:pPr>
    </w:p>
    <w:p w14:paraId="033D8498" w14:textId="7E7EB78F" w:rsidR="008E007B" w:rsidRPr="00702A51" w:rsidRDefault="00F5138C" w:rsidP="00D058AC">
      <w:pPr>
        <w:pStyle w:val="Heading1"/>
      </w:pPr>
      <w:bookmarkStart w:id="1" w:name="_Toc237339139"/>
      <w:r w:rsidRPr="00702A51">
        <w:lastRenderedPageBreak/>
        <w:t>Secretary</w:t>
      </w:r>
      <w:r w:rsidR="006225C6" w:rsidRPr="00702A51">
        <w:t>’</w:t>
      </w:r>
      <w:r w:rsidRPr="00702A51">
        <w:t xml:space="preserve">s </w:t>
      </w:r>
      <w:r w:rsidR="003A7FFB" w:rsidRPr="00702A51">
        <w:t>i</w:t>
      </w:r>
      <w:r w:rsidRPr="00702A51">
        <w:t>ntroduction</w:t>
      </w:r>
      <w:bookmarkEnd w:id="0"/>
      <w:bookmarkEnd w:id="1"/>
    </w:p>
    <w:p w14:paraId="197FC9F2" w14:textId="79BBA091" w:rsidR="00EF0CE5" w:rsidRPr="00702A51" w:rsidRDefault="00C34B9B" w:rsidP="00EF0CE5">
      <w:r>
        <w:t>In 2026, Treasury celebrates its 125</w:t>
      </w:r>
      <w:r w:rsidRPr="00DD7833">
        <w:rPr>
          <w:vertAlign w:val="superscript"/>
        </w:rPr>
        <w:t>th</w:t>
      </w:r>
      <w:r>
        <w:t xml:space="preserve"> year</w:t>
      </w:r>
      <w:r w:rsidR="00B061BF">
        <w:t xml:space="preserve"> as </w:t>
      </w:r>
      <w:r w:rsidR="00EF0CE5" w:rsidRPr="00702A51">
        <w:t>the Australian Government’s lead economic adviser.</w:t>
      </w:r>
    </w:p>
    <w:p w14:paraId="08F46EC1" w14:textId="67CD42EA" w:rsidR="00307A41" w:rsidRPr="00702A51" w:rsidRDefault="00307A41" w:rsidP="00EF0CE5">
      <w:r w:rsidRPr="00702A51">
        <w:t xml:space="preserve">We help the government respond to complex challenges and uncertainties. </w:t>
      </w:r>
      <w:r w:rsidR="00AD1CBF" w:rsidRPr="00702A51">
        <w:t>We</w:t>
      </w:r>
      <w:r w:rsidRPr="00702A51">
        <w:t xml:space="preserve"> </w:t>
      </w:r>
      <w:r w:rsidR="009D7062" w:rsidRPr="00702A51">
        <w:t xml:space="preserve">assist in the preparation for and management of </w:t>
      </w:r>
      <w:r w:rsidR="00AD1CBF" w:rsidRPr="00702A51">
        <w:t>economic</w:t>
      </w:r>
      <w:r w:rsidRPr="00702A51">
        <w:t xml:space="preserve"> shocks</w:t>
      </w:r>
      <w:r w:rsidR="00021A7B" w:rsidRPr="00702A51">
        <w:t>,</w:t>
      </w:r>
      <w:r w:rsidRPr="00702A51">
        <w:t xml:space="preserve"> </w:t>
      </w:r>
      <w:r w:rsidR="009D7062" w:rsidRPr="00702A51">
        <w:t>maintenance of</w:t>
      </w:r>
      <w:r w:rsidRPr="00702A51">
        <w:t xml:space="preserve"> fiscal </w:t>
      </w:r>
      <w:r w:rsidR="009D7062" w:rsidRPr="00702A51">
        <w:t>sustainability</w:t>
      </w:r>
      <w:r w:rsidRPr="00702A51">
        <w:t>, and foster</w:t>
      </w:r>
      <w:r w:rsidR="009D7062" w:rsidRPr="00702A51">
        <w:t>ing of</w:t>
      </w:r>
      <w:r w:rsidRPr="00702A51">
        <w:t xml:space="preserve"> a fairer</w:t>
      </w:r>
      <w:r w:rsidR="009D7062" w:rsidRPr="00702A51">
        <w:t xml:space="preserve"> and</w:t>
      </w:r>
      <w:r w:rsidRPr="00702A51">
        <w:t xml:space="preserve"> more prosperous economy.</w:t>
      </w:r>
    </w:p>
    <w:p w14:paraId="7FAAB280" w14:textId="09BA8525" w:rsidR="00F81189" w:rsidRPr="00702A51" w:rsidRDefault="00D2797B" w:rsidP="00EF0CE5">
      <w:r w:rsidRPr="00702A51">
        <w:t xml:space="preserve">During </w:t>
      </w:r>
      <w:r w:rsidR="00EF0CE5" w:rsidRPr="00702A51">
        <w:t xml:space="preserve">the past year, </w:t>
      </w:r>
      <w:r w:rsidR="00804F41" w:rsidRPr="00702A51">
        <w:t xml:space="preserve">Australia’s economy has continued to show resilience </w:t>
      </w:r>
      <w:r w:rsidR="00CA503D" w:rsidRPr="00702A51">
        <w:t>despite</w:t>
      </w:r>
      <w:r w:rsidR="00804F41" w:rsidRPr="00702A51">
        <w:t xml:space="preserve"> heightened global</w:t>
      </w:r>
      <w:r w:rsidR="001224C3" w:rsidRPr="00702A51">
        <w:t> </w:t>
      </w:r>
      <w:r w:rsidR="00804F41" w:rsidRPr="00702A51">
        <w:t xml:space="preserve">uncertainty. Growth has rebounded solidly and unemployment remains low. </w:t>
      </w:r>
      <w:r w:rsidRPr="00702A51">
        <w:t>I</w:t>
      </w:r>
      <w:r w:rsidR="00804F41" w:rsidRPr="00702A51">
        <w:t xml:space="preserve">nflation has increased recently, </w:t>
      </w:r>
      <w:proofErr w:type="gramStart"/>
      <w:r w:rsidR="00804F41" w:rsidRPr="00702A51">
        <w:t>similar to</w:t>
      </w:r>
      <w:proofErr w:type="gramEnd"/>
      <w:r w:rsidR="00804F41" w:rsidRPr="00702A51">
        <w:t xml:space="preserve"> many advanced economies and partly due to temporary factors. </w:t>
      </w:r>
      <w:r w:rsidR="0048339B" w:rsidRPr="00702A51">
        <w:t>H</w:t>
      </w:r>
      <w:r w:rsidR="00804F41" w:rsidRPr="00702A51">
        <w:t xml:space="preserve">eadline and underlying inflation remain </w:t>
      </w:r>
      <w:r w:rsidR="009D7062" w:rsidRPr="00702A51">
        <w:t xml:space="preserve">well </w:t>
      </w:r>
      <w:r w:rsidR="00804F41" w:rsidRPr="00702A51">
        <w:t>below their</w:t>
      </w:r>
      <w:r w:rsidR="0048339B" w:rsidRPr="00702A51">
        <w:t xml:space="preserve"> 2022</w:t>
      </w:r>
      <w:r w:rsidR="00804F41" w:rsidRPr="00702A51">
        <w:t xml:space="preserve"> peaks</w:t>
      </w:r>
      <w:r w:rsidR="008B4DDF" w:rsidRPr="00702A51">
        <w:t>.</w:t>
      </w:r>
    </w:p>
    <w:p w14:paraId="799EE1C8" w14:textId="488CE9DE" w:rsidR="00CA503D" w:rsidRPr="00702A51" w:rsidRDefault="001920DD" w:rsidP="00EF0CE5">
      <w:r w:rsidRPr="00702A51">
        <w:t>T</w:t>
      </w:r>
      <w:r w:rsidR="00FC5235" w:rsidRPr="00702A51">
        <w:t xml:space="preserve">here is a significant agenda in front of us. </w:t>
      </w:r>
      <w:r w:rsidR="00CA503D" w:rsidRPr="00702A51">
        <w:t xml:space="preserve">Domestic economic conditions, changing technologies and escalating global instability will continue to affect critical supply chains, economies and costs of living. There is renewed emphasis on productivity, competition and better regulation </w:t>
      </w:r>
      <w:r w:rsidR="009D7062" w:rsidRPr="00702A51">
        <w:t xml:space="preserve">which is </w:t>
      </w:r>
      <w:r w:rsidR="00CA503D" w:rsidRPr="00702A51">
        <w:t>central to Australia’s medium</w:t>
      </w:r>
      <w:r w:rsidR="00CA503D" w:rsidRPr="00702A51">
        <w:noBreakHyphen/>
        <w:t>term economic performance</w:t>
      </w:r>
      <w:r w:rsidR="009D7062" w:rsidRPr="00702A51">
        <w:t xml:space="preserve"> and improvement in living standards</w:t>
      </w:r>
      <w:r w:rsidR="00CA503D" w:rsidRPr="00702A51">
        <w:t>.</w:t>
      </w:r>
    </w:p>
    <w:p w14:paraId="0FF71256" w14:textId="648FCAC5" w:rsidR="00EF0CE5" w:rsidRPr="00702A51" w:rsidRDefault="00FC5235" w:rsidP="00EF0CE5">
      <w:r w:rsidRPr="00702A51">
        <w:t xml:space="preserve">What stands out is the scale </w:t>
      </w:r>
      <w:r w:rsidR="009D7062" w:rsidRPr="00702A51">
        <w:t xml:space="preserve">and breadth </w:t>
      </w:r>
      <w:r w:rsidRPr="00702A51">
        <w:t xml:space="preserve">of our work. </w:t>
      </w:r>
      <w:r w:rsidR="00EF0CE5" w:rsidRPr="00702A51">
        <w:t xml:space="preserve">In the </w:t>
      </w:r>
      <w:r w:rsidR="00804F41" w:rsidRPr="00702A51">
        <w:t xml:space="preserve">coming </w:t>
      </w:r>
      <w:r w:rsidR="00EF0CE5" w:rsidRPr="00702A51">
        <w:t xml:space="preserve">year, </w:t>
      </w:r>
      <w:r w:rsidR="00804F41" w:rsidRPr="00702A51">
        <w:t>Treasury will provide advice on the government’s social and economic policy priorities</w:t>
      </w:r>
      <w:r w:rsidR="00F60F1D" w:rsidRPr="00702A51">
        <w:t xml:space="preserve">. This includes </w:t>
      </w:r>
      <w:r w:rsidR="007F7E8C" w:rsidRPr="00702A51">
        <w:t>assessing</w:t>
      </w:r>
      <w:r w:rsidR="00F60F1D" w:rsidRPr="00702A51">
        <w:t xml:space="preserve"> </w:t>
      </w:r>
      <w:r w:rsidR="00804F41" w:rsidRPr="00702A51">
        <w:t xml:space="preserve">their impact on </w:t>
      </w:r>
      <w:r w:rsidR="00352B1D" w:rsidRPr="00702A51">
        <w:t>the fiscal position</w:t>
      </w:r>
      <w:r w:rsidR="00804F41" w:rsidRPr="00702A51">
        <w:t xml:space="preserve">, productivity, inflation and resilience. </w:t>
      </w:r>
      <w:r w:rsidR="00D926BD" w:rsidRPr="00702A51">
        <w:t>We will work to deliver effective taxation and retirement income systems as well as the government’s housing supply and affordability agenda</w:t>
      </w:r>
      <w:r w:rsidR="00D926BD">
        <w:t xml:space="preserve">. </w:t>
      </w:r>
      <w:r w:rsidR="00846DA8" w:rsidRPr="00702A51">
        <w:t xml:space="preserve">We </w:t>
      </w:r>
      <w:r w:rsidR="00AA053A">
        <w:t xml:space="preserve">will </w:t>
      </w:r>
      <w:r w:rsidR="00846DA8" w:rsidRPr="00702A51">
        <w:t>continue to engage with our stakeholders and the wider community to understand these priorities in the context of their impact on Australians and the Australian economy</w:t>
      </w:r>
      <w:r w:rsidR="00055562" w:rsidRPr="00702A51">
        <w:t>.</w:t>
      </w:r>
    </w:p>
    <w:p w14:paraId="58C3228B" w14:textId="0CA55434" w:rsidR="007A3188" w:rsidRPr="00702A51" w:rsidRDefault="00FC5235" w:rsidP="00EF0CE5">
      <w:r w:rsidRPr="00702A51">
        <w:t xml:space="preserve">The way Treasury works has been a consistent strength. </w:t>
      </w:r>
      <w:r w:rsidR="007A3188" w:rsidRPr="00702A51">
        <w:t xml:space="preserve">We need to remain flexible, strategic and responsive to new and emerging </w:t>
      </w:r>
      <w:r w:rsidR="009B1F36">
        <w:t xml:space="preserve">issues and </w:t>
      </w:r>
      <w:r w:rsidR="007733FA" w:rsidRPr="00702A51">
        <w:t xml:space="preserve">government </w:t>
      </w:r>
      <w:r w:rsidR="007A3188" w:rsidRPr="00702A51">
        <w:t xml:space="preserve">priorities. Our effectiveness and influence depend on our people. Developing our workforce and improving our management practices to attract and retain the skills we need remain a priority. We are </w:t>
      </w:r>
      <w:r w:rsidR="009D7062" w:rsidRPr="00702A51">
        <w:t xml:space="preserve">continuing to enhance </w:t>
      </w:r>
      <w:r w:rsidR="007A3188" w:rsidRPr="00702A51">
        <w:t>our data and digital capabilities, including the responsible adoption of artificial intelligence</w:t>
      </w:r>
      <w:r w:rsidR="00513EB7" w:rsidRPr="00702A51">
        <w:t xml:space="preserve"> (AI)</w:t>
      </w:r>
      <w:r w:rsidR="007A3188" w:rsidRPr="00702A51">
        <w:t xml:space="preserve">. </w:t>
      </w:r>
    </w:p>
    <w:p w14:paraId="2043D5E7" w14:textId="2D178DC2" w:rsidR="00EF0CE5" w:rsidRPr="00702A51" w:rsidRDefault="005A346B" w:rsidP="00EF0CE5">
      <w:r w:rsidRPr="00702A51">
        <w:t>We have a strong commitment to transparency and accountability in the Australian public sector.</w:t>
      </w:r>
      <w:r w:rsidR="00EF0CE5" w:rsidRPr="00702A51" w:rsidDel="007A3188">
        <w:t xml:space="preserve"> </w:t>
      </w:r>
      <w:r w:rsidR="008E5DC7" w:rsidRPr="00702A51">
        <w:t>We</w:t>
      </w:r>
      <w:r w:rsidR="001224C3" w:rsidRPr="00702A51">
        <w:t> </w:t>
      </w:r>
      <w:r w:rsidR="008E5DC7" w:rsidRPr="00702A51">
        <w:t>share well</w:t>
      </w:r>
      <w:r w:rsidR="001224C3" w:rsidRPr="00702A51">
        <w:noBreakHyphen/>
      </w:r>
      <w:r w:rsidR="008E5DC7" w:rsidRPr="00702A51">
        <w:t xml:space="preserve">informed and insightful advice </w:t>
      </w:r>
      <w:r w:rsidR="00432C46" w:rsidRPr="00702A51">
        <w:t>with</w:t>
      </w:r>
      <w:r w:rsidR="008E5DC7" w:rsidRPr="00702A51">
        <w:t xml:space="preserve"> Commonwealth, state and territory governments, international counterparts and external stakeholders, building </w:t>
      </w:r>
      <w:r w:rsidR="008143C9" w:rsidRPr="00702A51">
        <w:t>effective</w:t>
      </w:r>
      <w:r w:rsidR="008E5DC7" w:rsidRPr="00702A51">
        <w:t xml:space="preserve">, </w:t>
      </w:r>
      <w:r w:rsidR="009D7062" w:rsidRPr="00702A51">
        <w:t xml:space="preserve">collaborative </w:t>
      </w:r>
      <w:r w:rsidR="00EF0CE5" w:rsidRPr="00702A51">
        <w:t>relationships.</w:t>
      </w:r>
    </w:p>
    <w:p w14:paraId="6571D2FC" w14:textId="77777777" w:rsidR="00EF0CE5" w:rsidRPr="00702A51" w:rsidRDefault="00EF0CE5" w:rsidP="00EF0CE5">
      <w:r w:rsidRPr="00702A51">
        <w:t xml:space="preserve">I am pleased to present our Corporate Plan as required under paragraph 35(1)(b) of the </w:t>
      </w:r>
      <w:r w:rsidRPr="00702A51">
        <w:rPr>
          <w:i/>
          <w:iCs/>
        </w:rPr>
        <w:t>Public Governance, Performance and Accountability Act 2013 (</w:t>
      </w:r>
      <w:r w:rsidRPr="00702A51">
        <w:t>PGPA Act). This is our primary planning document and has been prepared in accordance with the requirements of the PGPA Act.</w:t>
      </w:r>
    </w:p>
    <w:p w14:paraId="5AB8061B" w14:textId="7BA61D38" w:rsidR="00EF0CE5" w:rsidRPr="00702A51" w:rsidRDefault="00EF0CE5" w:rsidP="00EF0CE5">
      <w:bookmarkStart w:id="2" w:name="_Hlk204244738"/>
      <w:r w:rsidRPr="00702A51">
        <w:t xml:space="preserve">I look forward to leading </w:t>
      </w:r>
      <w:r w:rsidR="009D7062" w:rsidRPr="00702A51">
        <w:t>Treasury</w:t>
      </w:r>
      <w:r w:rsidRPr="00702A51">
        <w:t xml:space="preserve"> in 202</w:t>
      </w:r>
      <w:r w:rsidR="00EF2065" w:rsidRPr="00702A51">
        <w:t>6</w:t>
      </w:r>
      <w:r w:rsidRPr="00702A51">
        <w:t>–2</w:t>
      </w:r>
      <w:r w:rsidR="00EF2065" w:rsidRPr="00702A51">
        <w:t>7</w:t>
      </w:r>
      <w:r w:rsidR="008A1CCD" w:rsidRPr="00702A51">
        <w:t xml:space="preserve"> </w:t>
      </w:r>
      <w:r w:rsidRPr="00702A51">
        <w:t>and reporting on our progress in the annual</w:t>
      </w:r>
      <w:r w:rsidR="00720068" w:rsidRPr="00702A51">
        <w:t xml:space="preserve"> </w:t>
      </w:r>
      <w:r w:rsidRPr="00702A51">
        <w:t>performance statements included in Treasury</w:t>
      </w:r>
      <w:r w:rsidR="00525A43" w:rsidRPr="00702A51">
        <w:t xml:space="preserve">’s </w:t>
      </w:r>
      <w:r w:rsidRPr="00702A51">
        <w:t xml:space="preserve">Annual Report. </w:t>
      </w:r>
    </w:p>
    <w:bookmarkEnd w:id="2"/>
    <w:p w14:paraId="0C0287EB" w14:textId="3D83C984" w:rsidR="00872350" w:rsidRPr="00702A51" w:rsidRDefault="00872350" w:rsidP="001224C3">
      <w:pPr>
        <w:pStyle w:val="NoSpacing"/>
      </w:pPr>
    </w:p>
    <w:p w14:paraId="76D77E70" w14:textId="3FCB8616" w:rsidR="00A15504" w:rsidRPr="00702A51" w:rsidRDefault="00A15504" w:rsidP="00517CF7">
      <w:r w:rsidRPr="00702A51">
        <w:rPr>
          <w:rStyle w:val="Strong"/>
          <w:rFonts w:cs="Calibri Light"/>
          <w:color w:val="000000"/>
          <w:szCs w:val="22"/>
        </w:rPr>
        <w:t>Jenny Wilkinson PSM</w:t>
      </w:r>
      <w:r w:rsidRPr="00702A51">
        <w:rPr>
          <w:rFonts w:cs="Calibri Light"/>
          <w:szCs w:val="22"/>
        </w:rPr>
        <w:br/>
      </w:r>
      <w:r w:rsidRPr="00702A51">
        <w:t>Secretary</w:t>
      </w:r>
    </w:p>
    <w:p w14:paraId="00A6C516" w14:textId="639EF962" w:rsidR="008F28AA" w:rsidRPr="00702A51" w:rsidRDefault="00A15504" w:rsidP="00A15504">
      <w:r w:rsidRPr="00702A51">
        <w:t xml:space="preserve">August </w:t>
      </w:r>
      <w:r w:rsidR="00921A9D" w:rsidRPr="00702A51">
        <w:t>2026</w:t>
      </w:r>
    </w:p>
    <w:p w14:paraId="00F23A26" w14:textId="00C946F3" w:rsidR="00E36BBB" w:rsidRPr="00702A51" w:rsidRDefault="002068F9" w:rsidP="006A7DB1">
      <w:pPr>
        <w:pStyle w:val="SingleParagraph"/>
      </w:pPr>
      <w:r w:rsidRPr="00702A51">
        <w:br w:type="page"/>
      </w:r>
      <w:bookmarkStart w:id="3" w:name="_Hlk111191510"/>
      <w:bookmarkStart w:id="4" w:name="_Toc256000012"/>
      <w:bookmarkStart w:id="5" w:name="_Toc100828650"/>
      <w:bookmarkStart w:id="6" w:name="_Toc102736727"/>
    </w:p>
    <w:p w14:paraId="49BA2263" w14:textId="77777777" w:rsidR="004603FC" w:rsidRPr="00702A51" w:rsidRDefault="004603FC" w:rsidP="004603FC">
      <w:pPr>
        <w:pStyle w:val="Heading1"/>
      </w:pPr>
      <w:bookmarkStart w:id="7" w:name="_Toc237339140"/>
      <w:bookmarkStart w:id="8" w:name="_Toc234228953"/>
      <w:bookmarkStart w:id="9" w:name="_Toc108517457"/>
      <w:bookmarkStart w:id="10" w:name="_Hlk110354690"/>
      <w:bookmarkEnd w:id="3"/>
      <w:bookmarkEnd w:id="4"/>
      <w:bookmarkEnd w:id="5"/>
      <w:bookmarkEnd w:id="6"/>
      <w:r w:rsidRPr="00702A51">
        <w:lastRenderedPageBreak/>
        <w:t>Treasury Corporate Plan 2026–27 to 2029–30</w:t>
      </w:r>
      <w:bookmarkEnd w:id="7"/>
    </w:p>
    <w:p w14:paraId="04C5FD85" w14:textId="77777777" w:rsidR="004603FC" w:rsidRPr="00702A51" w:rsidRDefault="004603FC" w:rsidP="009A2DCF">
      <w:pPr>
        <w:pStyle w:val="Heading2noTOC"/>
        <w:rPr>
          <w:b/>
        </w:rPr>
      </w:pPr>
      <w:r w:rsidRPr="00702A51">
        <w:rPr>
          <w:rStyle w:val="Strong"/>
          <w:b w:val="0"/>
        </w:rPr>
        <w:t xml:space="preserve">Our </w:t>
      </w:r>
      <w:r w:rsidRPr="00D428F5">
        <w:rPr>
          <w:rStyle w:val="Strong"/>
          <w:b w:val="0"/>
          <w:bCs/>
        </w:rPr>
        <w:t>purpose</w:t>
      </w:r>
    </w:p>
    <w:p w14:paraId="3A9B8AB8" w14:textId="77777777" w:rsidR="004603FC" w:rsidRPr="00702A51" w:rsidRDefault="004603FC" w:rsidP="004603FC">
      <w:pPr>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rPr>
          <w:szCs w:val="22"/>
        </w:rPr>
      </w:pPr>
      <w:r w:rsidRPr="00702A51">
        <w:rPr>
          <w:szCs w:val="22"/>
        </w:rPr>
        <w:t>We provide advice to the government and implement policies and programs to achieve strong and sustainable economic and fiscal outcomes for Australians.</w:t>
      </w:r>
    </w:p>
    <w:p w14:paraId="7C257F8B" w14:textId="77777777" w:rsidR="004603FC" w:rsidRPr="00702A51" w:rsidRDefault="004603FC" w:rsidP="004603FC">
      <w:pPr>
        <w:spacing w:before="0" w:after="0"/>
        <w:rPr>
          <w:sz w:val="2"/>
          <w:szCs w:val="2"/>
        </w:rPr>
      </w:pPr>
    </w:p>
    <w:p w14:paraId="459AFB5F" w14:textId="77777777" w:rsidR="004603FC" w:rsidRPr="00702A51" w:rsidRDefault="004603FC" w:rsidP="004603FC">
      <w:pPr>
        <w:spacing w:before="0" w:after="0"/>
        <w:sectPr w:rsidR="004603FC" w:rsidRPr="00702A51" w:rsidSect="006365BF">
          <w:pgSz w:w="11906" w:h="16838" w:code="9"/>
          <w:pgMar w:top="1843" w:right="1417" w:bottom="1417" w:left="1417" w:header="709" w:footer="709" w:gutter="0"/>
          <w:pgNumType w:start="1"/>
          <w:cols w:space="708"/>
          <w:docGrid w:linePitch="360"/>
        </w:sectPr>
      </w:pPr>
    </w:p>
    <w:p w14:paraId="65AA395C" w14:textId="77777777" w:rsidR="004603FC" w:rsidRPr="00702A51" w:rsidRDefault="004603FC" w:rsidP="009A2DCF">
      <w:pPr>
        <w:pStyle w:val="Heading2noTOC"/>
      </w:pPr>
      <w:r w:rsidRPr="00702A51">
        <w:t xml:space="preserve">Our </w:t>
      </w:r>
      <w:r w:rsidRPr="009A2DCF">
        <w:t>operating</w:t>
      </w:r>
      <w:r w:rsidRPr="00702A51">
        <w:t xml:space="preserve"> context</w:t>
      </w:r>
    </w:p>
    <w:p w14:paraId="4E67740F" w14:textId="2A1936C2"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rPr>
          <w:szCs w:val="22"/>
        </w:rPr>
      </w:pPr>
      <w:r w:rsidRPr="00702A51">
        <w:rPr>
          <w:szCs w:val="22"/>
        </w:rPr>
        <w:t>Navigating short</w:t>
      </w:r>
      <w:r w:rsidRPr="00702A51">
        <w:rPr>
          <w:szCs w:val="22"/>
        </w:rPr>
        <w:noBreakHyphen/>
        <w:t>term complexities and uncertainties</w:t>
      </w:r>
    </w:p>
    <w:p w14:paraId="71DC4407" w14:textId="24568539"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rPr>
          <w:szCs w:val="22"/>
        </w:rPr>
      </w:pPr>
      <w:r w:rsidRPr="00702A51">
        <w:rPr>
          <w:szCs w:val="22"/>
        </w:rPr>
        <w:t>Addressing medium</w:t>
      </w:r>
      <w:r w:rsidRPr="00702A51">
        <w:rPr>
          <w:szCs w:val="22"/>
        </w:rPr>
        <w:noBreakHyphen/>
        <w:t>term structural challenges</w:t>
      </w:r>
    </w:p>
    <w:p w14:paraId="2A2AC5EB" w14:textId="2C9DE737"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spacing w:after="240"/>
        <w:rPr>
          <w:szCs w:val="22"/>
        </w:rPr>
      </w:pPr>
      <w:r w:rsidRPr="00702A51">
        <w:rPr>
          <w:szCs w:val="22"/>
        </w:rPr>
        <w:t>Promoting strong</w:t>
      </w:r>
      <w:r w:rsidR="00C73196">
        <w:rPr>
          <w:szCs w:val="22"/>
        </w:rPr>
        <w:t xml:space="preserve"> and</w:t>
      </w:r>
      <w:r w:rsidRPr="00702A51">
        <w:rPr>
          <w:szCs w:val="22"/>
        </w:rPr>
        <w:t xml:space="preserve"> sustainable</w:t>
      </w:r>
      <w:r w:rsidR="002444E5">
        <w:rPr>
          <w:szCs w:val="22"/>
        </w:rPr>
        <w:t> </w:t>
      </w:r>
      <w:r w:rsidRPr="00702A51">
        <w:rPr>
          <w:szCs w:val="22"/>
        </w:rPr>
        <w:t>outcomes</w:t>
      </w:r>
    </w:p>
    <w:p w14:paraId="45F78823" w14:textId="77777777" w:rsidR="004603FC" w:rsidRPr="00702A51" w:rsidRDefault="004603FC" w:rsidP="009A2DCF">
      <w:pPr>
        <w:pStyle w:val="Heading2noTOC"/>
        <w:spacing w:before="480"/>
      </w:pPr>
      <w:bookmarkStart w:id="11" w:name="_Toc234225725"/>
      <w:bookmarkStart w:id="12" w:name="_Toc234228956"/>
      <w:r w:rsidRPr="00702A51">
        <w:t xml:space="preserve">Our </w:t>
      </w:r>
      <w:bookmarkEnd w:id="11"/>
      <w:bookmarkEnd w:id="12"/>
      <w:r w:rsidRPr="009A2DCF">
        <w:t>areas</w:t>
      </w:r>
      <w:r w:rsidRPr="00702A51">
        <w:t xml:space="preserve"> of focus</w:t>
      </w:r>
    </w:p>
    <w:p w14:paraId="442E704B" w14:textId="54AA1C2A"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rPr>
          <w:szCs w:val="22"/>
        </w:rPr>
      </w:pPr>
      <w:r w:rsidRPr="00702A51">
        <w:rPr>
          <w:szCs w:val="22"/>
        </w:rPr>
        <w:t>A strong</w:t>
      </w:r>
      <w:r w:rsidR="00C73196">
        <w:rPr>
          <w:szCs w:val="22"/>
        </w:rPr>
        <w:t xml:space="preserve"> and</w:t>
      </w:r>
      <w:r w:rsidR="00055562" w:rsidRPr="00702A51">
        <w:rPr>
          <w:szCs w:val="22"/>
        </w:rPr>
        <w:t xml:space="preserve"> </w:t>
      </w:r>
      <w:r w:rsidRPr="00702A51">
        <w:rPr>
          <w:szCs w:val="22"/>
        </w:rPr>
        <w:t>sustainable</w:t>
      </w:r>
      <w:r w:rsidR="00055562" w:rsidRPr="00702A51">
        <w:rPr>
          <w:szCs w:val="22"/>
        </w:rPr>
        <w:t xml:space="preserve"> </w:t>
      </w:r>
      <w:r w:rsidRPr="00702A51">
        <w:rPr>
          <w:szCs w:val="22"/>
        </w:rPr>
        <w:t>economic and fiscal environment</w:t>
      </w:r>
    </w:p>
    <w:p w14:paraId="4496D552" w14:textId="26419FE5"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rPr>
          <w:szCs w:val="22"/>
        </w:rPr>
      </w:pPr>
      <w:r w:rsidRPr="00702A51">
        <w:rPr>
          <w:szCs w:val="22"/>
        </w:rPr>
        <w:t>Effective government policies, programs and regulation</w:t>
      </w:r>
    </w:p>
    <w:p w14:paraId="69829017" w14:textId="77777777"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rPr>
          <w:szCs w:val="22"/>
        </w:rPr>
        <w:sectPr w:rsidR="004603FC" w:rsidRPr="00702A51" w:rsidSect="004603FC">
          <w:type w:val="continuous"/>
          <w:pgSz w:w="11906" w:h="16838" w:code="9"/>
          <w:pgMar w:top="1843" w:right="1417" w:bottom="1417" w:left="1417" w:header="709" w:footer="709" w:gutter="0"/>
          <w:pgNumType w:start="1"/>
          <w:cols w:num="2" w:space="852" w:equalWidth="0">
            <w:col w:w="4139" w:space="852"/>
            <w:col w:w="4081"/>
          </w:cols>
          <w:docGrid w:linePitch="360"/>
        </w:sectPr>
      </w:pPr>
      <w:r w:rsidRPr="00702A51">
        <w:rPr>
          <w:szCs w:val="22"/>
        </w:rPr>
        <w:t>Organisational capability, pro</w:t>
      </w:r>
      <w:r w:rsidRPr="00702A51">
        <w:rPr>
          <w:szCs w:val="22"/>
        </w:rPr>
        <w:noBreakHyphen/>
        <w:t>integrity culture, sound governance and assurance</w:t>
      </w:r>
    </w:p>
    <w:p w14:paraId="50DEB25F" w14:textId="77777777" w:rsidR="004603FC" w:rsidRPr="00702A51" w:rsidRDefault="004603FC" w:rsidP="004603FC">
      <w:pPr>
        <w:pStyle w:val="NoSpacing"/>
        <w:rPr>
          <w:sz w:val="2"/>
          <w:szCs w:val="2"/>
        </w:rPr>
        <w:sectPr w:rsidR="004603FC" w:rsidRPr="00702A51" w:rsidSect="004603FC">
          <w:type w:val="continuous"/>
          <w:pgSz w:w="11906" w:h="16838" w:code="9"/>
          <w:pgMar w:top="1843" w:right="1417" w:bottom="1417" w:left="1417" w:header="709" w:footer="709" w:gutter="0"/>
          <w:pgNumType w:start="1"/>
          <w:cols w:space="708"/>
          <w:docGrid w:linePitch="360"/>
        </w:sectPr>
      </w:pPr>
    </w:p>
    <w:p w14:paraId="0A6DD58F" w14:textId="77777777" w:rsidR="004603FC" w:rsidRPr="00702A51" w:rsidRDefault="004603FC" w:rsidP="009A2DCF">
      <w:pPr>
        <w:pStyle w:val="Heading2noTOC"/>
      </w:pPr>
      <w:r w:rsidRPr="009A2DCF">
        <w:t>Enablers</w:t>
      </w:r>
    </w:p>
    <w:p w14:paraId="32A689C5" w14:textId="77777777" w:rsidR="004603FC" w:rsidRPr="00702A51" w:rsidRDefault="004603FC" w:rsidP="004603FC">
      <w:pPr>
        <w:pStyle w:val="Heading3"/>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spacing w:before="120"/>
        <w:rPr>
          <w:color w:val="2C384A" w:themeColor="accent1"/>
          <w:szCs w:val="28"/>
        </w:rPr>
      </w:pPr>
      <w:r w:rsidRPr="00702A51">
        <w:rPr>
          <w:color w:val="2C384A" w:themeColor="accent1"/>
          <w:szCs w:val="28"/>
        </w:rPr>
        <w:t>People</w:t>
      </w:r>
    </w:p>
    <w:p w14:paraId="3A001499" w14:textId="77777777" w:rsidR="004603FC" w:rsidRPr="00702A51" w:rsidRDefault="004603FC" w:rsidP="004603FC">
      <w:pPr>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pPr>
      <w:r w:rsidRPr="00702A51">
        <w:t xml:space="preserve">Successful delivery of our purpose relies on our capable and professional workforce. We are committed to investing in our people and supporting their wellbeing. </w:t>
      </w:r>
    </w:p>
    <w:p w14:paraId="3022F6BE" w14:textId="77777777" w:rsidR="004603FC" w:rsidRPr="00702A51" w:rsidRDefault="004603FC" w:rsidP="004603FC">
      <w:pPr>
        <w:pStyle w:val="Heading3"/>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spacing w:before="120"/>
        <w:rPr>
          <w:color w:val="2C384A" w:themeColor="accent1"/>
          <w:szCs w:val="28"/>
        </w:rPr>
      </w:pPr>
      <w:r w:rsidRPr="00702A51">
        <w:rPr>
          <w:color w:val="2C384A" w:themeColor="accent1"/>
          <w:szCs w:val="28"/>
        </w:rPr>
        <w:t>Information management</w:t>
      </w:r>
    </w:p>
    <w:p w14:paraId="4860A39A" w14:textId="614B6544" w:rsidR="004603FC" w:rsidRPr="00702A51" w:rsidRDefault="004603FC" w:rsidP="004603FC">
      <w:pPr>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pPr>
      <w:r w:rsidRPr="00702A51">
        <w:t xml:space="preserve">Access to </w:t>
      </w:r>
      <w:r w:rsidR="000503B4" w:rsidRPr="00702A51">
        <w:t>high-quality</w:t>
      </w:r>
      <w:r w:rsidRPr="00702A51">
        <w:t xml:space="preserve"> data, modelling and analysis as well as timely access to information is important for delivering high</w:t>
      </w:r>
      <w:r w:rsidR="000503B4">
        <w:t>-</w:t>
      </w:r>
      <w:r w:rsidRPr="00702A51">
        <w:t>quality advice to government. We also rely on responsive information and communication technology solutions as enablers of our work</w:t>
      </w:r>
      <w:r w:rsidR="006A6233" w:rsidRPr="00702A51">
        <w:t>.</w:t>
      </w:r>
    </w:p>
    <w:p w14:paraId="3E7116D9" w14:textId="77777777" w:rsidR="004603FC" w:rsidRPr="00702A51" w:rsidRDefault="004603FC" w:rsidP="004603FC">
      <w:pPr>
        <w:pStyle w:val="Heading3"/>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spacing w:before="120"/>
        <w:rPr>
          <w:color w:val="2C384A" w:themeColor="accent1"/>
          <w:szCs w:val="28"/>
        </w:rPr>
      </w:pPr>
      <w:r w:rsidRPr="00702A51">
        <w:rPr>
          <w:color w:val="2C384A" w:themeColor="accent1"/>
          <w:szCs w:val="28"/>
        </w:rPr>
        <w:t>Risk oversight and management</w:t>
      </w:r>
    </w:p>
    <w:p w14:paraId="13865CC0" w14:textId="7FD0D917" w:rsidR="004603FC" w:rsidRPr="00702A51" w:rsidRDefault="004603FC" w:rsidP="004603FC">
      <w:pPr>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pPr>
      <w:r w:rsidRPr="00702A51">
        <w:t>Risk management is an enabler of good decision making and robust advice to government. It supports accountability, transparency, and engagement and helps identify opportunities as they arise</w:t>
      </w:r>
      <w:r w:rsidR="006A6233" w:rsidRPr="00702A51">
        <w:t>.</w:t>
      </w:r>
    </w:p>
    <w:p w14:paraId="24A0E407" w14:textId="77777777" w:rsidR="004603FC" w:rsidRPr="00702A51" w:rsidRDefault="004603FC" w:rsidP="004603FC">
      <w:pPr>
        <w:spacing w:before="0" w:after="0"/>
        <w:rPr>
          <w:sz w:val="2"/>
          <w:szCs w:val="2"/>
        </w:rPr>
      </w:pPr>
    </w:p>
    <w:p w14:paraId="4B58B5D0" w14:textId="77777777" w:rsidR="004603FC" w:rsidRPr="009A2DCF" w:rsidRDefault="004603FC" w:rsidP="009A2DCF">
      <w:pPr>
        <w:pStyle w:val="Heading2noTOC"/>
      </w:pPr>
      <w:r w:rsidRPr="00702A51">
        <w:t>How</w:t>
      </w:r>
    </w:p>
    <w:p w14:paraId="2543BB2A" w14:textId="77777777"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pPr>
      <w:r w:rsidRPr="00702A51">
        <w:t>Ensuring our work aligns with our purpose</w:t>
      </w:r>
    </w:p>
    <w:p w14:paraId="3270027D" w14:textId="77777777"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pPr>
      <w:r w:rsidRPr="00702A51">
        <w:t>Creating and sustaining productive relationships</w:t>
      </w:r>
    </w:p>
    <w:p w14:paraId="0E1C5326" w14:textId="77777777"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pPr>
      <w:r w:rsidRPr="00702A51">
        <w:t>Developing high performing teams</w:t>
      </w:r>
    </w:p>
    <w:p w14:paraId="6FAE9532" w14:textId="77777777"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pPr>
      <w:r w:rsidRPr="00702A51">
        <w:t>Rewarding an inclusive and pro</w:t>
      </w:r>
      <w:r w:rsidRPr="00702A51">
        <w:noBreakHyphen/>
        <w:t>integrity culture</w:t>
      </w:r>
    </w:p>
    <w:p w14:paraId="179E8871" w14:textId="77777777" w:rsidR="004603FC" w:rsidRPr="00702A51" w:rsidRDefault="004603FC" w:rsidP="004603FC">
      <w:pPr>
        <w:pStyle w:val="Bullet"/>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spacing w:after="360"/>
      </w:pPr>
      <w:r w:rsidRPr="00702A51">
        <w:t>Sound governance and assurance</w:t>
      </w:r>
    </w:p>
    <w:p w14:paraId="37E51278" w14:textId="77777777" w:rsidR="004603FC" w:rsidRPr="00702A51" w:rsidRDefault="004603FC" w:rsidP="00870FE6">
      <w:pPr>
        <w:pStyle w:val="Heading2noTOC"/>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pacing w:before="600"/>
      </w:pPr>
      <w:r w:rsidRPr="00702A51">
        <w:lastRenderedPageBreak/>
        <w:t>Our key activities and intended results</w:t>
      </w:r>
    </w:p>
    <w:p w14:paraId="6A026101" w14:textId="77777777" w:rsidR="004603FC" w:rsidRPr="00702A51" w:rsidRDefault="004603FC" w:rsidP="00870FE6">
      <w:pPr>
        <w:pStyle w:val="Heading3"/>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before="120"/>
        <w:rPr>
          <w:rStyle w:val="Strong"/>
          <w:b/>
          <w:bCs w:val="0"/>
          <w:color w:val="2C384A" w:themeColor="accent1"/>
          <w:szCs w:val="28"/>
        </w:rPr>
      </w:pPr>
      <w:r w:rsidRPr="00702A51">
        <w:rPr>
          <w:rStyle w:val="Strong"/>
          <w:b/>
          <w:bCs w:val="0"/>
          <w:color w:val="2C384A" w:themeColor="accent1"/>
          <w:szCs w:val="28"/>
        </w:rPr>
        <w:t>Key activity 1: Treasury’s policy advice and analysis is impactful, informed and influential</w:t>
      </w:r>
    </w:p>
    <w:p w14:paraId="78505447" w14:textId="4C2EB926"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before="120"/>
        <w:rPr>
          <w:szCs w:val="22"/>
        </w:rPr>
      </w:pPr>
      <w:r w:rsidRPr="00702A51">
        <w:rPr>
          <w:szCs w:val="22"/>
        </w:rPr>
        <w:t>Treasury’s policy advice</w:t>
      </w:r>
      <w:r w:rsidRPr="00702A51">
        <w:rPr>
          <w:rFonts w:eastAsia="Calibri"/>
          <w:szCs w:val="22"/>
        </w:rPr>
        <w:t xml:space="preserve"> </w:t>
      </w:r>
      <w:r w:rsidRPr="00702A51">
        <w:rPr>
          <w:szCs w:val="22"/>
        </w:rPr>
        <w:t>on fiscal, macroeconomic, tax, markets</w:t>
      </w:r>
      <w:r w:rsidR="009D7062" w:rsidRPr="00702A51">
        <w:rPr>
          <w:szCs w:val="22"/>
        </w:rPr>
        <w:t xml:space="preserve">, </w:t>
      </w:r>
      <w:r w:rsidR="00E0568E" w:rsidRPr="00702A51">
        <w:rPr>
          <w:szCs w:val="22"/>
        </w:rPr>
        <w:t xml:space="preserve">housing, </w:t>
      </w:r>
      <w:r w:rsidR="009D7062" w:rsidRPr="00702A51">
        <w:rPr>
          <w:szCs w:val="22"/>
        </w:rPr>
        <w:t>small business</w:t>
      </w:r>
      <w:r w:rsidRPr="00702A51">
        <w:rPr>
          <w:szCs w:val="22"/>
        </w:rPr>
        <w:t xml:space="preserve"> and regulatory issues reflects a whole of economy view and supports improved productivity outcomes for the Australian economy.</w:t>
      </w:r>
    </w:p>
    <w:p w14:paraId="3CBE1DBB" w14:textId="77777777"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before="120"/>
        <w:rPr>
          <w:szCs w:val="22"/>
        </w:rPr>
      </w:pPr>
      <w:r w:rsidRPr="00702A51">
        <w:rPr>
          <w:szCs w:val="22"/>
        </w:rPr>
        <w:t>Treasury forecasts inform policy advice to government and are in an acceptable range of variance with actuals.</w:t>
      </w:r>
    </w:p>
    <w:p w14:paraId="6487652D" w14:textId="77777777"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rPr>
          <w:szCs w:val="22"/>
        </w:rPr>
      </w:pPr>
      <w:r w:rsidRPr="00702A51">
        <w:rPr>
          <w:szCs w:val="22"/>
        </w:rPr>
        <w:t>Budgets, fiscal and economic updates are timely and comply with the Charter of Budget Honesty.</w:t>
      </w:r>
    </w:p>
    <w:p w14:paraId="39414BCF" w14:textId="77777777" w:rsidR="004603FC" w:rsidRPr="00702A51" w:rsidRDefault="004603FC" w:rsidP="00870FE6">
      <w:pPr>
        <w:pStyle w:val="Heading3"/>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before="240"/>
        <w:rPr>
          <w:rStyle w:val="Strong"/>
          <w:b/>
          <w:bCs w:val="0"/>
          <w:color w:val="2C384A" w:themeColor="accent1"/>
          <w:szCs w:val="28"/>
        </w:rPr>
      </w:pPr>
      <w:r w:rsidRPr="00702A51">
        <w:rPr>
          <w:rStyle w:val="Strong"/>
          <w:b/>
          <w:bCs w:val="0"/>
          <w:color w:val="2C384A" w:themeColor="accent1"/>
          <w:szCs w:val="28"/>
        </w:rPr>
        <w:t>Key activity 2: Treasury’s implementation of policies and regulation supports Australia’s economy and national interest</w:t>
      </w:r>
    </w:p>
    <w:p w14:paraId="19062396" w14:textId="5FE3B26A"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before="120"/>
        <w:rPr>
          <w:szCs w:val="22"/>
        </w:rPr>
      </w:pPr>
      <w:r w:rsidRPr="00702A51">
        <w:rPr>
          <w:szCs w:val="22"/>
        </w:rPr>
        <w:t>Treasury’s policy advice on markets and regulator</w:t>
      </w:r>
      <w:r w:rsidR="00A34EA3">
        <w:rPr>
          <w:szCs w:val="22"/>
        </w:rPr>
        <w:t>y</w:t>
      </w:r>
      <w:r w:rsidRPr="00702A51">
        <w:rPr>
          <w:szCs w:val="22"/>
        </w:rPr>
        <w:t xml:space="preserve"> issues assists the Australian economy to be competitive and key markets to be dynamic.</w:t>
      </w:r>
    </w:p>
    <w:p w14:paraId="1B8FEDBD" w14:textId="77777777"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before="120"/>
        <w:rPr>
          <w:szCs w:val="22"/>
        </w:rPr>
      </w:pPr>
      <w:r w:rsidRPr="00702A51">
        <w:rPr>
          <w:szCs w:val="22"/>
        </w:rPr>
        <w:t>Treasury’s policy advice on prudential and financial market infrastructure issues contributes to the stability of Australia’s financial system and provides confidence to consumers and investors, supporting economic growth.</w:t>
      </w:r>
    </w:p>
    <w:p w14:paraId="7BA020A2" w14:textId="77777777"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rPr>
          <w:szCs w:val="22"/>
        </w:rPr>
      </w:pPr>
      <w:r w:rsidRPr="00702A51">
        <w:rPr>
          <w:szCs w:val="22"/>
        </w:rPr>
        <w:t>Treasury’s policy advice, research, support, and coordination across government and jurisdictions addresses structural barriers to housing supply, access, and affordability, including social and affordable housing programs delivered by Housing Australia.</w:t>
      </w:r>
    </w:p>
    <w:p w14:paraId="4910D0CD" w14:textId="77777777"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rPr>
          <w:szCs w:val="22"/>
        </w:rPr>
      </w:pPr>
      <w:r w:rsidRPr="00702A51">
        <w:rPr>
          <w:szCs w:val="22"/>
        </w:rPr>
        <w:t>Treasury’s regulatory functions:</w:t>
      </w:r>
    </w:p>
    <w:p w14:paraId="25271C52" w14:textId="77777777" w:rsidR="004603FC" w:rsidRPr="00702A51" w:rsidRDefault="004603FC" w:rsidP="00870FE6">
      <w:pPr>
        <w:pStyle w:val="Bullet"/>
        <w:numPr>
          <w:ilvl w:val="0"/>
          <w:numId w:val="28"/>
        </w:numPr>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rPr>
          <w:spacing w:val="-2"/>
        </w:rPr>
      </w:pPr>
      <w:bookmarkStart w:id="13" w:name="tempbookmark"/>
      <w:r w:rsidRPr="00702A51">
        <w:rPr>
          <w:rFonts w:cs="Calibri Light"/>
        </w:rPr>
        <w:t>–</w:t>
      </w:r>
      <w:r w:rsidRPr="00702A51">
        <w:t xml:space="preserve"> Treasury administers Australia’s foreign investment framework consistent with Australia’s national and economic interests.</w:t>
      </w:r>
    </w:p>
    <w:p w14:paraId="68763314" w14:textId="77777777" w:rsidR="004603FC" w:rsidRPr="00702A51" w:rsidRDefault="004603FC" w:rsidP="00870FE6">
      <w:pPr>
        <w:pStyle w:val="Bullet"/>
        <w:numPr>
          <w:ilvl w:val="0"/>
          <w:numId w:val="28"/>
        </w:numPr>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ind w:left="522" w:hanging="522"/>
        <w:rPr>
          <w:spacing w:val="-2"/>
        </w:rPr>
      </w:pPr>
      <w:r w:rsidRPr="00702A51">
        <w:rPr>
          <w:rFonts w:cs="Calibri Light"/>
        </w:rPr>
        <w:t xml:space="preserve">– </w:t>
      </w:r>
      <w:r w:rsidRPr="00702A51">
        <w:t>Treasury administers the Payment Times Reporting Scheme to improve payment practices and foster a prompt payment culture to support economic growth and outcomes for small business suppliers.</w:t>
      </w:r>
    </w:p>
    <w:p w14:paraId="19927670" w14:textId="77777777" w:rsidR="004603FC" w:rsidRPr="00702A51" w:rsidRDefault="004603FC" w:rsidP="00870FE6">
      <w:pPr>
        <w:pStyle w:val="Heading3"/>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before="120"/>
        <w:rPr>
          <w:color w:val="2C384A" w:themeColor="accent1"/>
          <w:szCs w:val="28"/>
        </w:rPr>
      </w:pPr>
      <w:bookmarkStart w:id="14" w:name="_Hlk234233536"/>
      <w:bookmarkEnd w:id="13"/>
      <w:r w:rsidRPr="00702A51">
        <w:rPr>
          <w:color w:val="2C384A" w:themeColor="accent1"/>
          <w:szCs w:val="28"/>
        </w:rPr>
        <w:t xml:space="preserve">Key activity 3: Treasury’s external engagements enable implementation of the government’s economic and fiscal agenda </w:t>
      </w:r>
    </w:p>
    <w:p w14:paraId="22D656F2" w14:textId="77777777"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before="120"/>
        <w:rPr>
          <w:szCs w:val="22"/>
        </w:rPr>
      </w:pPr>
      <w:r w:rsidRPr="00702A51">
        <w:rPr>
          <w:szCs w:val="22"/>
        </w:rPr>
        <w:t>Relationships with Treasury ministers, Treasury portfolio agencies and regulators, and key stakeholders enable implementation of the government’s agenda.</w:t>
      </w:r>
    </w:p>
    <w:p w14:paraId="13D2347E" w14:textId="77777777" w:rsidR="004603FC" w:rsidRPr="00702A51" w:rsidRDefault="004603FC" w:rsidP="00870FE6">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rPr>
          <w:szCs w:val="22"/>
        </w:rPr>
      </w:pPr>
      <w:r w:rsidRPr="00702A51">
        <w:rPr>
          <w:szCs w:val="22"/>
        </w:rPr>
        <w:t>Partnering with international financial institutions promotes international monetary cooperation, fosters financial system stability and economic growth, and facilitates the government’s objectives in international forums.</w:t>
      </w:r>
    </w:p>
    <w:p w14:paraId="140997E9" w14:textId="352301B1" w:rsidR="004603FC" w:rsidRPr="00987BC5" w:rsidRDefault="004603FC" w:rsidP="00987BC5">
      <w:pPr>
        <w:pStyle w:val="Bullet"/>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after="240"/>
        <w:rPr>
          <w:szCs w:val="22"/>
        </w:rPr>
      </w:pPr>
      <w:r w:rsidRPr="00702A51">
        <w:rPr>
          <w:szCs w:val="22"/>
        </w:rPr>
        <w:t>Payments to the states and territories (the states) are administered in accordance with the Intergovernmental Agreement on Federal Financial Relations and other relevant agreements between the Commonwealth and the states.</w:t>
      </w:r>
      <w:bookmarkEnd w:id="14"/>
    </w:p>
    <w:p w14:paraId="517039B9" w14:textId="77777777" w:rsidR="004603FC" w:rsidRPr="00702A51" w:rsidRDefault="004603FC" w:rsidP="00870FE6">
      <w:pPr>
        <w:pStyle w:val="Bullet"/>
        <w:numPr>
          <w:ilvl w:val="0"/>
          <w:numId w:val="0"/>
        </w:numPr>
        <w:pBdr>
          <w:top w:val="single" w:sz="8" w:space="15"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after="240"/>
        <w:ind w:left="284" w:hanging="284"/>
        <w:rPr>
          <w:sz w:val="14"/>
          <w:szCs w:val="14"/>
        </w:rPr>
      </w:pPr>
    </w:p>
    <w:p w14:paraId="0234908E" w14:textId="77777777" w:rsidR="004603FC" w:rsidRPr="00702A51" w:rsidRDefault="004603FC" w:rsidP="004603FC">
      <w:pPr>
        <w:pStyle w:val="Bullet"/>
        <w:numPr>
          <w:ilvl w:val="0"/>
          <w:numId w:val="0"/>
        </w:numPr>
        <w:pBdr>
          <w:top w:val="single" w:sz="8" w:space="10" w:color="E8F0FC" w:themeColor="accent5" w:themeTint="33"/>
          <w:left w:val="single" w:sz="8" w:space="15" w:color="E8F0FC" w:themeColor="accent5" w:themeTint="33"/>
          <w:bottom w:val="single" w:sz="8" w:space="10" w:color="E8F0FC" w:themeColor="accent5" w:themeTint="33"/>
          <w:right w:val="single" w:sz="8" w:space="15" w:color="E8F0FC" w:themeColor="accent5" w:themeTint="33"/>
        </w:pBdr>
        <w:shd w:val="clear" w:color="auto" w:fill="E8F0FC" w:themeFill="accent5" w:themeFillTint="33"/>
        <w:spacing w:after="240"/>
        <w:ind w:left="284" w:hanging="284"/>
        <w:rPr>
          <w:szCs w:val="22"/>
        </w:rPr>
        <w:sectPr w:rsidR="004603FC" w:rsidRPr="00702A51" w:rsidSect="000420F7">
          <w:type w:val="continuous"/>
          <w:pgSz w:w="11906" w:h="16838" w:code="9"/>
          <w:pgMar w:top="1843" w:right="1417" w:bottom="1417" w:left="1417" w:header="709" w:footer="709" w:gutter="0"/>
          <w:pgNumType w:start="2"/>
          <w:cols w:space="708"/>
          <w:docGrid w:linePitch="360"/>
        </w:sectPr>
      </w:pPr>
    </w:p>
    <w:p w14:paraId="063D0765" w14:textId="21C1A4B3" w:rsidR="00CE6207" w:rsidRPr="00702A51" w:rsidRDefault="00F5138C" w:rsidP="00D058AC">
      <w:pPr>
        <w:pStyle w:val="Heading1"/>
      </w:pPr>
      <w:bookmarkStart w:id="15" w:name="_Toc237339141"/>
      <w:bookmarkEnd w:id="8"/>
      <w:r w:rsidRPr="00702A51">
        <w:rPr>
          <w:rStyle w:val="Heading1Char"/>
          <w:b/>
          <w:color w:val="5D779D"/>
        </w:rPr>
        <w:lastRenderedPageBreak/>
        <w:t>Operating context</w:t>
      </w:r>
      <w:bookmarkEnd w:id="9"/>
      <w:bookmarkEnd w:id="15"/>
      <w:r w:rsidRPr="00702A51">
        <w:t xml:space="preserve"> </w:t>
      </w:r>
    </w:p>
    <w:p w14:paraId="6E515F37" w14:textId="22884A6A" w:rsidR="00CE6207" w:rsidRPr="00702A51" w:rsidRDefault="00F5138C" w:rsidP="009967A4">
      <w:pPr>
        <w:pStyle w:val="Heading2"/>
      </w:pPr>
      <w:bookmarkStart w:id="16" w:name="_Toc108517458"/>
      <w:bookmarkStart w:id="17" w:name="_Toc237339142"/>
      <w:r w:rsidRPr="00702A51">
        <w:t>Environment</w:t>
      </w:r>
      <w:bookmarkEnd w:id="16"/>
      <w:bookmarkEnd w:id="17"/>
    </w:p>
    <w:p w14:paraId="42BEC3A8" w14:textId="08AE2DAB" w:rsidR="00CE6207" w:rsidRPr="00702A51" w:rsidRDefault="00F5138C" w:rsidP="00455F35">
      <w:bookmarkStart w:id="18" w:name="_Hlk110354682"/>
      <w:bookmarkStart w:id="19" w:name="_Hlk104214993"/>
      <w:bookmarkEnd w:id="10"/>
      <w:r w:rsidRPr="00702A51">
        <w:t>Australia</w:t>
      </w:r>
      <w:r w:rsidR="006225C6" w:rsidRPr="00702A51">
        <w:t>’</w:t>
      </w:r>
      <w:r w:rsidRPr="00702A51">
        <w:t>s economy, and Treasury</w:t>
      </w:r>
      <w:r w:rsidR="006225C6" w:rsidRPr="00702A51">
        <w:t>’</w:t>
      </w:r>
      <w:r w:rsidRPr="00702A51">
        <w:t xml:space="preserve">s operating environment, </w:t>
      </w:r>
      <w:r w:rsidR="00907738" w:rsidRPr="00702A51">
        <w:t>continue</w:t>
      </w:r>
      <w:r w:rsidR="00DE46F5" w:rsidRPr="00702A51">
        <w:t>s</w:t>
      </w:r>
      <w:r w:rsidR="00907738" w:rsidRPr="00702A51">
        <w:t xml:space="preserve"> to </w:t>
      </w:r>
      <w:r w:rsidRPr="00702A51">
        <w:t xml:space="preserve">be shaped by </w:t>
      </w:r>
      <w:r w:rsidR="00DE46F5" w:rsidRPr="00702A51">
        <w:t xml:space="preserve">evolving structural and geopolitical </w:t>
      </w:r>
      <w:r w:rsidR="009A7052" w:rsidRPr="00702A51">
        <w:t xml:space="preserve">forces </w:t>
      </w:r>
      <w:r w:rsidR="00DE46F5" w:rsidRPr="00702A51">
        <w:t xml:space="preserve">that are creating </w:t>
      </w:r>
      <w:r w:rsidRPr="00702A51">
        <w:t>significant</w:t>
      </w:r>
      <w:r w:rsidR="00895696" w:rsidRPr="00702A51">
        <w:t xml:space="preserve"> </w:t>
      </w:r>
      <w:r w:rsidR="009948FE" w:rsidRPr="00702A51">
        <w:t>uncertainty</w:t>
      </w:r>
      <w:r w:rsidRPr="00702A51">
        <w:t>.</w:t>
      </w:r>
    </w:p>
    <w:p w14:paraId="476FB176" w14:textId="30CF601D" w:rsidR="00363BBB" w:rsidRPr="00702A51" w:rsidRDefault="009244FC" w:rsidP="002D355F">
      <w:pPr>
        <w:pStyle w:val="Heading3"/>
      </w:pPr>
      <w:bookmarkStart w:id="20" w:name="_Toc108517459"/>
      <w:r w:rsidRPr="00702A51">
        <w:t xml:space="preserve">Navigating </w:t>
      </w:r>
      <w:r w:rsidR="00DE46F5" w:rsidRPr="00702A51">
        <w:t>short</w:t>
      </w:r>
      <w:r w:rsidR="006225C6" w:rsidRPr="00702A51">
        <w:noBreakHyphen/>
      </w:r>
      <w:r w:rsidR="00DE46F5" w:rsidRPr="00702A51">
        <w:t xml:space="preserve">term complexities and uncertainties </w:t>
      </w:r>
    </w:p>
    <w:p w14:paraId="638D85C2" w14:textId="1B04B44D" w:rsidR="008D6350" w:rsidRPr="00702A51" w:rsidRDefault="008D6350" w:rsidP="008D6350">
      <w:r w:rsidRPr="00702A51">
        <w:t xml:space="preserve">The conflict in the Middle East has disrupted global supply chains and had a substantial impact on commodity prices. This is expected to weigh on the global economic outlook, resulting in higher inflation and lower growth. The economic </w:t>
      </w:r>
      <w:r w:rsidR="009D7062" w:rsidRPr="00702A51">
        <w:t xml:space="preserve">and geopolitical </w:t>
      </w:r>
      <w:r w:rsidRPr="00702A51">
        <w:t>impacts of the conflict in the Middle East are likely to linger beyond the resolution of the conflict.</w:t>
      </w:r>
    </w:p>
    <w:p w14:paraId="475158E4" w14:textId="65D2E9C2" w:rsidR="008D6350" w:rsidRPr="00702A51" w:rsidRDefault="008D6350" w:rsidP="008D6350">
      <w:r w:rsidRPr="00702A51">
        <w:t>Australia is not immune from the impacts of the conflict, which are expected to weigh on growth in household consumption and real incomes in the near</w:t>
      </w:r>
      <w:r w:rsidR="00AA3546" w:rsidRPr="00702A51">
        <w:t xml:space="preserve"> </w:t>
      </w:r>
      <w:r w:rsidRPr="00702A51">
        <w:t xml:space="preserve">term. However, Australia is well placed to navigate the challenges. Our economy is growing faster than </w:t>
      </w:r>
      <w:r w:rsidR="002D355F" w:rsidRPr="00702A51">
        <w:t xml:space="preserve">other </w:t>
      </w:r>
      <w:r w:rsidRPr="00702A51">
        <w:t>major advanced econom</w:t>
      </w:r>
      <w:r w:rsidR="002D355F" w:rsidRPr="00702A51">
        <w:t>ies</w:t>
      </w:r>
      <w:r w:rsidRPr="00702A51">
        <w:t>, unemployment remains low</w:t>
      </w:r>
      <w:r w:rsidR="002D355F" w:rsidRPr="00702A51">
        <w:t>,</w:t>
      </w:r>
      <w:r w:rsidRPr="00702A51">
        <w:t xml:space="preserve"> and public finances are among the strongest in the developed world. </w:t>
      </w:r>
    </w:p>
    <w:p w14:paraId="16CBEE82" w14:textId="6261D042" w:rsidR="008D6350" w:rsidRPr="00702A51" w:rsidRDefault="008D6350" w:rsidP="008D6350">
      <w:r w:rsidRPr="00702A51">
        <w:t>There are risks to the outlook. There are significant risks in relation to the duration of the conflict and the extent of the disruption in the Middle East. Ongoing global uncertainty also creates the risk of volatility in financial markets, with any significant repricing of financial assets likely to have real economy impacts. There is also the risk that domestic inflation could remain persistently high</w:t>
      </w:r>
      <w:r w:rsidR="00A96C4C" w:rsidRPr="00702A51">
        <w:t>er</w:t>
      </w:r>
      <w:r w:rsidRPr="00702A51">
        <w:t xml:space="preserve"> and that the conflict could weigh more heavily on economic growth</w:t>
      </w:r>
      <w:r w:rsidR="000701F3" w:rsidRPr="00702A51">
        <w:t>, including creating downside risks for housing supply in the near term</w:t>
      </w:r>
      <w:r w:rsidRPr="00702A51">
        <w:t>.</w:t>
      </w:r>
    </w:p>
    <w:p w14:paraId="09EC5E9D" w14:textId="674E54E8" w:rsidR="008D6350" w:rsidRPr="00702A51" w:rsidRDefault="008D6350" w:rsidP="00490D50">
      <w:r w:rsidRPr="00702A51">
        <w:t xml:space="preserve">Continued subdued productivity growth and rising global protectionism could lead to lower growth in output and real wages although strong investment in </w:t>
      </w:r>
      <w:r w:rsidR="00513EB7" w:rsidRPr="00702A51">
        <w:t>AI</w:t>
      </w:r>
      <w:r w:rsidRPr="00702A51">
        <w:t xml:space="preserve"> and other emerging technologies provides </w:t>
      </w:r>
      <w:r w:rsidR="00A96C4C" w:rsidRPr="00702A51">
        <w:t xml:space="preserve">an offsetting </w:t>
      </w:r>
      <w:r w:rsidRPr="00702A51">
        <w:t>new source of growth.</w:t>
      </w:r>
    </w:p>
    <w:p w14:paraId="79D7106F" w14:textId="09C96670" w:rsidR="005F0553" w:rsidRPr="00702A51" w:rsidRDefault="005F2EF7" w:rsidP="00455F35">
      <w:pPr>
        <w:pStyle w:val="Heading3"/>
      </w:pPr>
      <w:bookmarkStart w:id="21" w:name="_Hlk173916237"/>
      <w:r w:rsidRPr="00702A51">
        <w:t>Addressing medium</w:t>
      </w:r>
      <w:r w:rsidR="006225C6" w:rsidRPr="00702A51">
        <w:noBreakHyphen/>
      </w:r>
      <w:r w:rsidRPr="00702A51">
        <w:t>term structural</w:t>
      </w:r>
      <w:r w:rsidR="00BB04F4" w:rsidRPr="00702A51">
        <w:t xml:space="preserve"> challenges </w:t>
      </w:r>
    </w:p>
    <w:p w14:paraId="1B17C5D0" w14:textId="2980EEFF" w:rsidR="007F0572" w:rsidRPr="00702A51" w:rsidRDefault="005F2EF7" w:rsidP="007F0572">
      <w:r w:rsidRPr="00702A51">
        <w:t xml:space="preserve">Complex structural changes continue to shape </w:t>
      </w:r>
      <w:r w:rsidR="002E3DEB" w:rsidRPr="00702A51">
        <w:t>Australia</w:t>
      </w:r>
      <w:r w:rsidR="006225C6" w:rsidRPr="00702A51">
        <w:t>’</w:t>
      </w:r>
      <w:r w:rsidR="002E3DEB" w:rsidRPr="00702A51">
        <w:t>s economic</w:t>
      </w:r>
      <w:r w:rsidR="00055562" w:rsidRPr="00702A51">
        <w:t>, social</w:t>
      </w:r>
      <w:r w:rsidR="002E3DEB" w:rsidRPr="00702A51">
        <w:t xml:space="preserve"> and fiscal performance</w:t>
      </w:r>
      <w:r w:rsidR="007F0572" w:rsidRPr="00702A51">
        <w:t xml:space="preserve">. The geopolitical environment means that economic and national security issues have become </w:t>
      </w:r>
      <w:r w:rsidR="00D1314B" w:rsidRPr="00702A51">
        <w:t xml:space="preserve">more </w:t>
      </w:r>
      <w:r w:rsidR="007F0572" w:rsidRPr="00702A51">
        <w:t xml:space="preserve">interconnected. International engagement and connectivity are </w:t>
      </w:r>
      <w:r w:rsidR="00D1314B" w:rsidRPr="00702A51">
        <w:t>increasingly</w:t>
      </w:r>
      <w:r w:rsidR="007F0572" w:rsidRPr="00702A51">
        <w:t xml:space="preserve"> important. </w:t>
      </w:r>
    </w:p>
    <w:p w14:paraId="7A0C7FC5" w14:textId="20E98B0E" w:rsidR="007F0572" w:rsidRPr="00702A51" w:rsidRDefault="007F0572" w:rsidP="007F0572">
      <w:r w:rsidRPr="00702A51">
        <w:t>Geopolitical tensions are increasing volatility in global commodity and financial markets and complicat</w:t>
      </w:r>
      <w:r w:rsidR="001B215C">
        <w:t>ing</w:t>
      </w:r>
      <w:r w:rsidRPr="00702A51">
        <w:t xml:space="preserve"> the climate and digital transformations, affect</w:t>
      </w:r>
      <w:r w:rsidR="001B215C">
        <w:t>ing</w:t>
      </w:r>
      <w:r w:rsidRPr="00702A51">
        <w:t xml:space="preserve"> trade and investment flows</w:t>
      </w:r>
      <w:r w:rsidR="0077223F" w:rsidRPr="00702A51">
        <w:t xml:space="preserve"> </w:t>
      </w:r>
      <w:r w:rsidRPr="00702A51">
        <w:t xml:space="preserve">and </w:t>
      </w:r>
      <w:r w:rsidR="0077223F" w:rsidRPr="00702A51">
        <w:t>increas</w:t>
      </w:r>
      <w:r w:rsidR="001B215C">
        <w:t>ing</w:t>
      </w:r>
      <w:r w:rsidR="0077223F" w:rsidRPr="00702A51">
        <w:t xml:space="preserve"> the likelihood of economic </w:t>
      </w:r>
      <w:r w:rsidRPr="00702A51">
        <w:t xml:space="preserve">shocks. Australia’s economic and fiscal performance will depend on harnessing the opportunities that arise from these transitions, managing the challenges and lifting productivity. </w:t>
      </w:r>
    </w:p>
    <w:p w14:paraId="4C8EA625" w14:textId="24BECF6B" w:rsidR="007F0572" w:rsidRPr="00702A51" w:rsidRDefault="007F0572" w:rsidP="007F0572">
      <w:r w:rsidRPr="00702A51">
        <w:t xml:space="preserve">Housing remains one of Australia’s biggest domestic challenges, particularly as the population grows. Unaffordable or insufficient housing reduces economic participation, affects social inclusion and </w:t>
      </w:r>
      <w:r w:rsidR="00852606" w:rsidRPr="00702A51">
        <w:t>increases</w:t>
      </w:r>
      <w:r w:rsidRPr="00702A51">
        <w:t xml:space="preserve"> fiscal costs. Increasing the supply of affordable</w:t>
      </w:r>
      <w:r w:rsidR="00852606" w:rsidRPr="00702A51">
        <w:t xml:space="preserve">, </w:t>
      </w:r>
      <w:r w:rsidRPr="00702A51">
        <w:t>well</w:t>
      </w:r>
      <w:r w:rsidRPr="00702A51">
        <w:noBreakHyphen/>
        <w:t xml:space="preserve">located dwellings will support Australia’s economy. </w:t>
      </w:r>
    </w:p>
    <w:p w14:paraId="1788C3C4" w14:textId="7A01065C" w:rsidR="007F0572" w:rsidRPr="00702A51" w:rsidRDefault="007F0572" w:rsidP="007F0572">
      <w:r w:rsidRPr="00702A51">
        <w:t>Effective competition policy settings are necessary to support the government’s drive for productivity</w:t>
      </w:r>
      <w:r w:rsidR="00BB7DD9" w:rsidRPr="00702A51">
        <w:t> </w:t>
      </w:r>
      <w:r w:rsidRPr="00702A51">
        <w:t>gains and economic resilience. A more competitive market environment drives innovation, enhances productivity, and encourages fairer pricing, wider choice and better</w:t>
      </w:r>
      <w:r w:rsidRPr="00702A51">
        <w:noBreakHyphen/>
        <w:t>quality goods and services for</w:t>
      </w:r>
      <w:r w:rsidR="00BB7DD9" w:rsidRPr="00702A51">
        <w:t> </w:t>
      </w:r>
      <w:r w:rsidRPr="00702A51">
        <w:t>consumers.</w:t>
      </w:r>
    </w:p>
    <w:p w14:paraId="74CB0660" w14:textId="1EF2B743" w:rsidR="007F0572" w:rsidRPr="00702A51" w:rsidRDefault="007F0572" w:rsidP="000E7196">
      <w:pPr>
        <w:keepLines/>
      </w:pPr>
      <w:r w:rsidRPr="00702A51">
        <w:lastRenderedPageBreak/>
        <w:t>Working effectively with state and territory governments is crucial to delivering the government’s economic reforms. This includes significant measures across housing, productivity, competition and better regulation. Delivering this agenda requires strong alignment between Treasury, our portfolio agencies and regulators.</w:t>
      </w:r>
    </w:p>
    <w:p w14:paraId="5CBC5334" w14:textId="5C0A2E75" w:rsidR="00A64989" w:rsidRPr="00702A51" w:rsidRDefault="00F5138C" w:rsidP="00455F35">
      <w:pPr>
        <w:pStyle w:val="Heading3"/>
      </w:pPr>
      <w:bookmarkStart w:id="22" w:name="_Hlk205976365"/>
      <w:bookmarkEnd w:id="21"/>
      <w:r w:rsidRPr="00702A51">
        <w:t>Promoting strong</w:t>
      </w:r>
      <w:r w:rsidR="004A535D">
        <w:t xml:space="preserve"> and</w:t>
      </w:r>
      <w:r w:rsidRPr="00702A51">
        <w:t xml:space="preserve"> sustainable</w:t>
      </w:r>
      <w:r w:rsidR="00055562" w:rsidRPr="00702A51">
        <w:t xml:space="preserve"> </w:t>
      </w:r>
      <w:r w:rsidRPr="00702A51">
        <w:t>outcomes</w:t>
      </w:r>
    </w:p>
    <w:p w14:paraId="7EE87FBE" w14:textId="6879A449" w:rsidR="004D0609" w:rsidRPr="00702A51" w:rsidRDefault="00A96C4C" w:rsidP="004D0609">
      <w:bookmarkStart w:id="23" w:name="_Hlk205976121"/>
      <w:bookmarkEnd w:id="18"/>
      <w:bookmarkEnd w:id="22"/>
      <w:r w:rsidRPr="00702A51">
        <w:t xml:space="preserve">Throughout 2026–27, </w:t>
      </w:r>
      <w:r w:rsidR="004D0609" w:rsidRPr="00702A51">
        <w:t>Treasury will monitor evolving global and domestic economic developments and advise on achieving strong</w:t>
      </w:r>
      <w:r w:rsidR="004A535D">
        <w:t xml:space="preserve"> and</w:t>
      </w:r>
      <w:r w:rsidR="00055562" w:rsidRPr="00702A51">
        <w:t xml:space="preserve"> </w:t>
      </w:r>
      <w:r w:rsidR="004D0609" w:rsidRPr="00702A51">
        <w:t>sustainable economic</w:t>
      </w:r>
      <w:r w:rsidR="00055562" w:rsidRPr="00702A51">
        <w:t>, social</w:t>
      </w:r>
      <w:r w:rsidR="004D0609" w:rsidRPr="00702A51">
        <w:t xml:space="preserve"> and fiscal outcomes. We will provide advice to the government on how to strengthen the budget to prepare for future economic shocks and manage long</w:t>
      </w:r>
      <w:r w:rsidR="004D0609" w:rsidRPr="00702A51">
        <w:noBreakHyphen/>
        <w:t xml:space="preserve">term fiscal pressures. We will also provide advice on the operation of the </w:t>
      </w:r>
      <w:r w:rsidR="004D0609" w:rsidRPr="00987BC5">
        <w:t>tax</w:t>
      </w:r>
      <w:r w:rsidR="00987BC5">
        <w:t> </w:t>
      </w:r>
      <w:r w:rsidR="004D0609" w:rsidRPr="00987BC5">
        <w:t>system</w:t>
      </w:r>
      <w:r w:rsidR="004D0609" w:rsidRPr="00702A51">
        <w:t xml:space="preserve"> and how it can be improved.</w:t>
      </w:r>
    </w:p>
    <w:p w14:paraId="79AB7E70" w14:textId="20881561" w:rsidR="007F0572" w:rsidRPr="00702A51" w:rsidRDefault="007F0572" w:rsidP="007F0572">
      <w:r w:rsidRPr="00702A51">
        <w:t xml:space="preserve">Treasury will prepare the 2027–28 Budget, other economic and budget updates, the annual Population Statement, the </w:t>
      </w:r>
      <w:r w:rsidR="00484BA0" w:rsidRPr="00702A51">
        <w:t xml:space="preserve">2026 </w:t>
      </w:r>
      <w:r w:rsidRPr="00702A51">
        <w:t>Intergenerational Report</w:t>
      </w:r>
      <w:r w:rsidR="00A96C4C" w:rsidRPr="00702A51">
        <w:t xml:space="preserve"> and the 2026 Measuring What Matters</w:t>
      </w:r>
      <w:r w:rsidR="00987BC5">
        <w:t> </w:t>
      </w:r>
      <w:r w:rsidR="00A96C4C" w:rsidRPr="00702A51">
        <w:t>Statement</w:t>
      </w:r>
      <w:r w:rsidRPr="00702A51">
        <w:t>.</w:t>
      </w:r>
    </w:p>
    <w:p w14:paraId="431E769D" w14:textId="36079EB1" w:rsidR="007F0572" w:rsidRPr="00702A51" w:rsidRDefault="007F0572" w:rsidP="007F0572">
      <w:r w:rsidRPr="00702A51">
        <w:t>Treasury will support implementation of major tax and spending reforms targeting equity, efficiency and intergenerational fairness. Reforms to the tax system aim to help more Australians realise home ownership, encourage productive investment and boost business activity.</w:t>
      </w:r>
    </w:p>
    <w:p w14:paraId="0069A323" w14:textId="050EE2E9" w:rsidR="007F0572" w:rsidRPr="00702A51" w:rsidRDefault="007F0572" w:rsidP="004D0609">
      <w:r w:rsidRPr="00702A51">
        <w:t>We will continue to provide whole</w:t>
      </w:r>
      <w:r w:rsidR="001224C3" w:rsidRPr="00702A51">
        <w:noBreakHyphen/>
      </w:r>
      <w:r w:rsidRPr="00702A51">
        <w:t>of</w:t>
      </w:r>
      <w:r w:rsidR="001224C3" w:rsidRPr="00702A51">
        <w:noBreakHyphen/>
      </w:r>
      <w:r w:rsidRPr="00702A51">
        <w:t>economy advice on national and economic security issues to support the government and our portfolio agencies.</w:t>
      </w:r>
      <w:r w:rsidR="00A96C4C" w:rsidRPr="00702A51">
        <w:t xml:space="preserve"> We will advise on industrial priorities relating to net zero and economic resilience and security.</w:t>
      </w:r>
    </w:p>
    <w:p w14:paraId="53B0F462" w14:textId="77777777" w:rsidR="0068788D" w:rsidRPr="00702A51" w:rsidRDefault="0068788D" w:rsidP="0068788D">
      <w:r w:rsidRPr="00702A51">
        <w:t>Treasury will continue to support the government’s productivity and better regulation agendas. This includes advancing National Competition Policy reforms, working with states and territories, to create a single national market and support worker mobility. We will also continue to review competition policy settings, including in respect of AI, and implement non competes reforms.</w:t>
      </w:r>
    </w:p>
    <w:p w14:paraId="469C4857" w14:textId="77777777" w:rsidR="0068788D" w:rsidRPr="00702A51" w:rsidRDefault="0068788D" w:rsidP="0068788D">
      <w:r w:rsidRPr="00702A51">
        <w:t>Treasury will continue to work with the Council of Financial Regulators and other stakeholders to strengthen Australia’s financial system. Priorities include strengthening investor protections, supporting community access to cash, working with regulators and industry to address geopolitical risks and responding to the rapid digital transformation of payments and capital markets.</w:t>
      </w:r>
    </w:p>
    <w:p w14:paraId="16B0C5B2" w14:textId="01CB1610" w:rsidR="004D0609" w:rsidRPr="00702A51" w:rsidRDefault="004D0609" w:rsidP="004D0609">
      <w:r w:rsidRPr="00702A51">
        <w:t xml:space="preserve">Treasury will </w:t>
      </w:r>
      <w:r w:rsidR="007F0572" w:rsidRPr="00702A51">
        <w:t>support the government to implement reforms announced in the 2026</w:t>
      </w:r>
      <w:r w:rsidR="004C2E2F" w:rsidRPr="00702A51">
        <w:t>–</w:t>
      </w:r>
      <w:r w:rsidR="007F0572" w:rsidRPr="00702A51">
        <w:t xml:space="preserve">27 Budget to further streamline and strengthen the foreign investment framework. </w:t>
      </w:r>
      <w:r w:rsidR="004C2E2F" w:rsidRPr="00702A51">
        <w:t>We will continue using a</w:t>
      </w:r>
      <w:r w:rsidRPr="00702A51">
        <w:t xml:space="preserve"> risk</w:t>
      </w:r>
      <w:r w:rsidRPr="00702A51">
        <w:noBreakHyphen/>
        <w:t xml:space="preserve">based approach </w:t>
      </w:r>
      <w:r w:rsidRPr="00702A51" w:rsidDel="004C2E2F">
        <w:t xml:space="preserve">to </w:t>
      </w:r>
      <w:r w:rsidR="004C2E2F" w:rsidRPr="00702A51">
        <w:t>streamline</w:t>
      </w:r>
      <w:r w:rsidRPr="00702A51">
        <w:t xml:space="preserve"> the approvals of low</w:t>
      </w:r>
      <w:r w:rsidRPr="00702A51">
        <w:noBreakHyphen/>
        <w:t>risk investments, increase scrutiny of high</w:t>
      </w:r>
      <w:r w:rsidRPr="00702A51">
        <w:noBreakHyphen/>
        <w:t>risk investments, and bolster compliance monitoring and enforcement activities. This will ensure Australia attracts the significant foreign investment needed to promote and protect the national interest.</w:t>
      </w:r>
    </w:p>
    <w:p w14:paraId="169D0C31" w14:textId="6B84B1AA" w:rsidR="004D0609" w:rsidRPr="00702A51" w:rsidRDefault="004D0609" w:rsidP="004D0609">
      <w:r w:rsidRPr="00702A51">
        <w:t>Treasury will continue to implement the government’s housing initiatives, including the National Housing Accord and deliver</w:t>
      </w:r>
      <w:r w:rsidR="00846DA8" w:rsidRPr="00702A51">
        <w:t>y of</w:t>
      </w:r>
      <w:r w:rsidRPr="00702A51">
        <w:t xml:space="preserve"> the</w:t>
      </w:r>
      <w:r w:rsidR="00D904E9" w:rsidRPr="00702A51">
        <w:t xml:space="preserve"> $47 billion </w:t>
      </w:r>
      <w:hyperlink r:id="rId19" w:history="1">
        <w:r w:rsidR="00D904E9" w:rsidRPr="00EC2207">
          <w:rPr>
            <w:rStyle w:val="Hyperlink"/>
            <w:i/>
            <w:iCs/>
          </w:rPr>
          <w:t>Homes for Australia</w:t>
        </w:r>
      </w:hyperlink>
      <w:r w:rsidR="00D904E9" w:rsidRPr="00702A51">
        <w:t xml:space="preserve"> national plan released in May 2026</w:t>
      </w:r>
      <w:r w:rsidRPr="00702A51">
        <w:t>.</w:t>
      </w:r>
      <w:r w:rsidR="00846DA8" w:rsidRPr="00702A51">
        <w:t xml:space="preserve"> We will work closely with Housing Australia, states and territories and industry partners to ensure delivery of key government commitments.</w:t>
      </w:r>
      <w:r w:rsidRPr="00702A51">
        <w:t xml:space="preserve"> </w:t>
      </w:r>
      <w:r w:rsidR="00F55F54" w:rsidRPr="00702A51">
        <w:t xml:space="preserve">Priorities include </w:t>
      </w:r>
      <w:r w:rsidR="00B3359C" w:rsidRPr="00702A51">
        <w:t xml:space="preserve">continuing delivery of the Housing Australia Future Fund, </w:t>
      </w:r>
      <w:r w:rsidR="00F55F54" w:rsidRPr="00702A51">
        <w:t xml:space="preserve">implementation of the Local Infrastructure Fund and modernisation of the National Construction Code. </w:t>
      </w:r>
      <w:r w:rsidRPr="00702A51">
        <w:t>We will advise on approaches to improve housing supply</w:t>
      </w:r>
      <w:r w:rsidR="00011D02" w:rsidRPr="00702A51">
        <w:t xml:space="preserve"> and</w:t>
      </w:r>
      <w:r w:rsidR="00987BC5">
        <w:t> </w:t>
      </w:r>
      <w:r w:rsidR="00011D02" w:rsidRPr="00702A51">
        <w:t>affordability</w:t>
      </w:r>
      <w:r w:rsidRPr="00702A51">
        <w:t xml:space="preserve">. </w:t>
      </w:r>
    </w:p>
    <w:p w14:paraId="118E648C" w14:textId="47ADC5BE" w:rsidR="008860D7" w:rsidRPr="00702A51" w:rsidRDefault="004D0609" w:rsidP="004D0609">
      <w:r w:rsidRPr="00702A51">
        <w:t xml:space="preserve">Treasury will provide policy advice </w:t>
      </w:r>
      <w:r w:rsidR="00A675B7" w:rsidRPr="00702A51">
        <w:t xml:space="preserve">and </w:t>
      </w:r>
      <w:r w:rsidR="005977F9" w:rsidRPr="00702A51">
        <w:t xml:space="preserve">administer </w:t>
      </w:r>
      <w:r w:rsidR="00A675B7" w:rsidRPr="00702A51">
        <w:t>program</w:t>
      </w:r>
      <w:r w:rsidR="005977F9" w:rsidRPr="00702A51">
        <w:t>s</w:t>
      </w:r>
      <w:r w:rsidR="00A675B7" w:rsidRPr="00702A51">
        <w:t xml:space="preserve"> to support a sustainable and productive small business sector, recognising </w:t>
      </w:r>
      <w:r w:rsidR="005977F9" w:rsidRPr="00702A51">
        <w:t xml:space="preserve">its contribution </w:t>
      </w:r>
      <w:r w:rsidR="00A675B7" w:rsidRPr="00702A51">
        <w:t xml:space="preserve">to the economy and local communities. </w:t>
      </w:r>
      <w:r w:rsidR="005977F9" w:rsidRPr="00702A51">
        <w:t>Priorities i</w:t>
      </w:r>
      <w:r w:rsidRPr="00702A51">
        <w:t xml:space="preserve">nclude </w:t>
      </w:r>
      <w:r w:rsidR="005977F9" w:rsidRPr="00702A51">
        <w:t>implementing</w:t>
      </w:r>
      <w:r w:rsidRPr="00702A51">
        <w:t xml:space="preserve"> the National Small Business Strategy</w:t>
      </w:r>
      <w:r w:rsidR="00A96C4C" w:rsidRPr="00702A51">
        <w:t xml:space="preserve"> and</w:t>
      </w:r>
      <w:r w:rsidR="005977F9" w:rsidRPr="00702A51">
        <w:t xml:space="preserve"> </w:t>
      </w:r>
      <w:r w:rsidRPr="00702A51">
        <w:t>improv</w:t>
      </w:r>
      <w:r w:rsidR="005977F9" w:rsidRPr="00702A51">
        <w:t>ing</w:t>
      </w:r>
      <w:r w:rsidRPr="00702A51">
        <w:t xml:space="preserve"> payment times through the Payment Times Reporting Scheme</w:t>
      </w:r>
      <w:r w:rsidR="00A96C4C" w:rsidRPr="00702A51">
        <w:t xml:space="preserve">. </w:t>
      </w:r>
    </w:p>
    <w:p w14:paraId="7A124B44" w14:textId="6BDD8290" w:rsidR="00B955C2" w:rsidRPr="00702A51" w:rsidRDefault="004D0609" w:rsidP="00455F35">
      <w:r w:rsidRPr="00702A51">
        <w:lastRenderedPageBreak/>
        <w:t>Through the First Nations Economic Partnership, Treasury will continue to collaborate with First</w:t>
      </w:r>
      <w:r w:rsidR="00066269" w:rsidRPr="00702A51">
        <w:t> </w:t>
      </w:r>
      <w:r w:rsidRPr="00702A51">
        <w:t>Nations people and communities to support economic empowerment and self</w:t>
      </w:r>
      <w:r w:rsidR="001224C3" w:rsidRPr="00702A51">
        <w:noBreakHyphen/>
      </w:r>
      <w:r w:rsidRPr="00702A51">
        <w:t>determination. Priorities include strengthening mainstream systems to better serve First Nations interests, fostering job creation, supporting thriving businesses, and unlocking the potential of land and Native Title to build enduring economic prosperity for First Nations peoples, communities and organisations</w:t>
      </w:r>
      <w:r w:rsidR="008677BD" w:rsidRPr="00702A51">
        <w:t>.</w:t>
      </w:r>
      <w:bookmarkEnd w:id="23"/>
      <w:r w:rsidR="00D045C0" w:rsidRPr="00702A51">
        <w:t xml:space="preserve"> Through the Housing Policy Partnership, Treasury is collaborating with First Nations representatives and representatives from federal, state and territory governments to address and improve the housing outcomes of Aboriginal and Torres Strait Islander people, aligned with Closing the Gap Outcome 9. </w:t>
      </w:r>
      <w:r w:rsidR="00B955C2" w:rsidRPr="00702A51">
        <w:br w:type="page"/>
      </w:r>
    </w:p>
    <w:p w14:paraId="409ECCCD" w14:textId="61288A69" w:rsidR="00CE6207" w:rsidRPr="00702A51" w:rsidRDefault="00F5138C" w:rsidP="009967A4">
      <w:pPr>
        <w:pStyle w:val="Heading2"/>
      </w:pPr>
      <w:bookmarkStart w:id="24" w:name="_Toc237339143"/>
      <w:r w:rsidRPr="00702A51">
        <w:lastRenderedPageBreak/>
        <w:t>Capability</w:t>
      </w:r>
      <w:bookmarkEnd w:id="20"/>
      <w:bookmarkEnd w:id="24"/>
    </w:p>
    <w:p w14:paraId="2723B009" w14:textId="0E30A526" w:rsidR="00CE6207" w:rsidRPr="00702A51" w:rsidRDefault="00F5138C" w:rsidP="009967A4">
      <w:pPr>
        <w:pStyle w:val="Heading3"/>
      </w:pPr>
      <w:bookmarkStart w:id="25" w:name="_Toc108517460"/>
      <w:bookmarkStart w:id="26" w:name="_Hlk106624009"/>
      <w:bookmarkStart w:id="27" w:name="_Hlk106788728"/>
      <w:r w:rsidRPr="00702A51">
        <w:rPr>
          <w:rStyle w:val="Heading3Char"/>
          <w:b/>
          <w:bCs/>
        </w:rPr>
        <w:t>Our people</w:t>
      </w:r>
      <w:bookmarkEnd w:id="25"/>
    </w:p>
    <w:p w14:paraId="7389FB98" w14:textId="2D3E992F" w:rsidR="00ED3143" w:rsidRPr="00702A51" w:rsidRDefault="00ED3143" w:rsidP="00ED3143">
      <w:bookmarkStart w:id="28" w:name="_Hlk106623922"/>
      <w:bookmarkEnd w:id="19"/>
      <w:bookmarkEnd w:id="26"/>
      <w:r w:rsidRPr="00702A51">
        <w:t xml:space="preserve">Treasury is committed to investing in our people to ensure we continue to deliver on our priorities and purpose to </w:t>
      </w:r>
      <w:r w:rsidR="000C794A" w:rsidRPr="00702A51">
        <w:t>g</w:t>
      </w:r>
      <w:r w:rsidRPr="00702A51">
        <w:t>overnment.</w:t>
      </w:r>
    </w:p>
    <w:p w14:paraId="0F85E724" w14:textId="3C7D4DCC" w:rsidR="00ED3143" w:rsidRPr="00702A51" w:rsidRDefault="00ED3143" w:rsidP="00ED3143">
      <w:r w:rsidRPr="00702A51">
        <w:t>Our Strategic Workforce Plan (the Plan) is central to this commitment. It sets a clear, forward</w:t>
      </w:r>
      <w:r w:rsidR="001224C3" w:rsidRPr="00702A51">
        <w:noBreakHyphen/>
      </w:r>
      <w:r w:rsidRPr="00702A51">
        <w:t>looking approach to building the workforce capabilities and management practices we need to attract, develop and retain skills</w:t>
      </w:r>
      <w:r w:rsidRPr="00702A51" w:rsidDel="00590D06">
        <w:t xml:space="preserve"> </w:t>
      </w:r>
      <w:r w:rsidRPr="00702A51">
        <w:t xml:space="preserve">now and into the future. </w:t>
      </w:r>
    </w:p>
    <w:p w14:paraId="1F00F95E" w14:textId="64AA32EA" w:rsidR="00ED3143" w:rsidRPr="00702A51" w:rsidRDefault="00ED3143" w:rsidP="00ED3143">
      <w:r w:rsidRPr="00702A51">
        <w:t>In 2026</w:t>
      </w:r>
      <w:r w:rsidR="00F833EF" w:rsidRPr="00702A51">
        <w:t>–</w:t>
      </w:r>
      <w:r w:rsidRPr="00702A51">
        <w:t>27, Treasury will continue to deliver actions under the Plan, with a focus on:</w:t>
      </w:r>
    </w:p>
    <w:p w14:paraId="036B41DA" w14:textId="10B9CA4F" w:rsidR="00ED3143" w:rsidRPr="00702A51" w:rsidRDefault="00ED3143" w:rsidP="00066269">
      <w:pPr>
        <w:pStyle w:val="Bullet"/>
      </w:pPr>
      <w:r w:rsidRPr="00702A51">
        <w:t>supporting employees and leaders to effectively navigate and lead through change</w:t>
      </w:r>
    </w:p>
    <w:p w14:paraId="44C9EC3C" w14:textId="31043F3E" w:rsidR="00ED3143" w:rsidRPr="00702A51" w:rsidRDefault="00ED3143" w:rsidP="00066269">
      <w:pPr>
        <w:pStyle w:val="Bullet"/>
      </w:pPr>
      <w:bookmarkStart w:id="29" w:name="_Hlk230707352"/>
      <w:r w:rsidRPr="00702A51">
        <w:t>strengthen</w:t>
      </w:r>
      <w:r w:rsidR="00AA4716" w:rsidRPr="00702A51">
        <w:t>ing</w:t>
      </w:r>
      <w:r w:rsidRPr="00702A51">
        <w:t xml:space="preserve"> system controls and reduc</w:t>
      </w:r>
      <w:r w:rsidR="00AA4716" w:rsidRPr="00702A51">
        <w:t>ing</w:t>
      </w:r>
      <w:r w:rsidRPr="00702A51">
        <w:t xml:space="preserve"> manual </w:t>
      </w:r>
      <w:r w:rsidR="00AA4716" w:rsidRPr="00702A51">
        <w:t xml:space="preserve">processing </w:t>
      </w:r>
      <w:r w:rsidRPr="00702A51">
        <w:t>to support data</w:t>
      </w:r>
      <w:r w:rsidR="001224C3" w:rsidRPr="00702A51">
        <w:noBreakHyphen/>
      </w:r>
      <w:r w:rsidRPr="00702A51">
        <w:t>driven workforce</w:t>
      </w:r>
      <w:r w:rsidR="00066269" w:rsidRPr="00702A51">
        <w:t> </w:t>
      </w:r>
      <w:r w:rsidRPr="00702A51">
        <w:t>investment</w:t>
      </w:r>
    </w:p>
    <w:bookmarkEnd w:id="29"/>
    <w:p w14:paraId="1178A1CD" w14:textId="32093595" w:rsidR="00ED3143" w:rsidRPr="00702A51" w:rsidRDefault="00ED3143" w:rsidP="00066269">
      <w:pPr>
        <w:pStyle w:val="Bullet"/>
      </w:pPr>
      <w:r w:rsidRPr="00702A51">
        <w:t xml:space="preserve">implementing the </w:t>
      </w:r>
      <w:proofErr w:type="spellStart"/>
      <w:r w:rsidRPr="00702A51">
        <w:rPr>
          <w:i/>
          <w:iCs/>
        </w:rPr>
        <w:t>Respect@Treasury</w:t>
      </w:r>
      <w:proofErr w:type="spellEnd"/>
      <w:r w:rsidRPr="00702A51">
        <w:t xml:space="preserve"> Framework</w:t>
      </w:r>
      <w:r w:rsidR="00AA4716" w:rsidRPr="00702A51">
        <w:t xml:space="preserve"> with</w:t>
      </w:r>
      <w:r w:rsidRPr="00702A51">
        <w:t xml:space="preserve"> behaviour expectations across all cohorts</w:t>
      </w:r>
    </w:p>
    <w:p w14:paraId="5BE3ED71" w14:textId="136561AC" w:rsidR="00ED3143" w:rsidRPr="00702A51" w:rsidRDefault="001E3F44" w:rsidP="00066269">
      <w:pPr>
        <w:pStyle w:val="Bullet"/>
      </w:pPr>
      <w:r w:rsidRPr="00702A51">
        <w:t xml:space="preserve">developing and </w:t>
      </w:r>
      <w:r w:rsidR="00ED3143" w:rsidRPr="00702A51">
        <w:t>implementing best practices at every stage of Treasury’s recruitment lifecycle.</w:t>
      </w:r>
    </w:p>
    <w:p w14:paraId="5218FC30" w14:textId="6979D492" w:rsidR="00ED3143" w:rsidRPr="00702A51" w:rsidRDefault="00ED3143" w:rsidP="00ED3143">
      <w:r w:rsidRPr="00702A51">
        <w:t>These actions are supported by our enduring commitment to foster safe, respectful and accessible workplaces, where difference is valued</w:t>
      </w:r>
      <w:r w:rsidR="00C2336C" w:rsidRPr="00702A51">
        <w:t xml:space="preserve">. </w:t>
      </w:r>
      <w:r w:rsidR="0041573A" w:rsidRPr="00702A51">
        <w:t>T</w:t>
      </w:r>
      <w:r w:rsidR="00C2336C" w:rsidRPr="00702A51">
        <w:t>his</w:t>
      </w:r>
      <w:r w:rsidRPr="00702A51">
        <w:t xml:space="preserve"> strengthen</w:t>
      </w:r>
      <w:r w:rsidR="00C2336C" w:rsidRPr="00702A51">
        <w:t>s</w:t>
      </w:r>
      <w:r w:rsidRPr="00702A51">
        <w:t xml:space="preserve"> our capability to respond to complex policy challenges and deliver high</w:t>
      </w:r>
      <w:r w:rsidR="001224C3" w:rsidRPr="00702A51">
        <w:noBreakHyphen/>
      </w:r>
      <w:r w:rsidRPr="00702A51">
        <w:t xml:space="preserve">quality advice to </w:t>
      </w:r>
      <w:r w:rsidR="0078692B" w:rsidRPr="00702A51">
        <w:t>g</w:t>
      </w:r>
      <w:r w:rsidRPr="00702A51">
        <w:t>overnment.</w:t>
      </w:r>
      <w:r w:rsidR="00C27504" w:rsidRPr="00702A51">
        <w:t xml:space="preserve"> Treasury will also continue to embed and support the staff and functions that transferred as part of the machinery of government changes last</w:t>
      </w:r>
      <w:r w:rsidR="00987BC5">
        <w:t> </w:t>
      </w:r>
      <w:r w:rsidR="00C27504" w:rsidRPr="00702A51">
        <w:t>year.</w:t>
      </w:r>
    </w:p>
    <w:p w14:paraId="238FAC1C" w14:textId="5CAF4B7F" w:rsidR="00ED3143" w:rsidRPr="00702A51" w:rsidRDefault="00ED3143" w:rsidP="00ED3143">
      <w:r w:rsidRPr="00702A51">
        <w:t>Treasury remains committed to prioritising</w:t>
      </w:r>
      <w:r w:rsidR="007F2A42" w:rsidRPr="00702A51">
        <w:t xml:space="preserve"> building internal</w:t>
      </w:r>
      <w:r w:rsidRPr="00702A51">
        <w:t xml:space="preserve"> capability and bringing ICT and digital solutions core work in</w:t>
      </w:r>
      <w:r w:rsidR="001224C3" w:rsidRPr="00702A51">
        <w:noBreakHyphen/>
      </w:r>
      <w:r w:rsidRPr="00702A51">
        <w:t>house in line with the APS Strategic Commissioning Framework. Treasury’s outsourcing of core work is limited, and measures are in place to continue embedding the Framework within the department.</w:t>
      </w:r>
    </w:p>
    <w:p w14:paraId="32A76729" w14:textId="1AE6583F" w:rsidR="000A04B9" w:rsidRPr="00702A51" w:rsidRDefault="000A04B9" w:rsidP="000A04B9">
      <w:bookmarkStart w:id="30" w:name="_Hlk137196290"/>
      <w:r w:rsidRPr="00702A51">
        <w:br w:type="page"/>
      </w:r>
    </w:p>
    <w:p w14:paraId="4F1EB878" w14:textId="17C9010C" w:rsidR="00E86D65" w:rsidRPr="00702A51" w:rsidRDefault="006753D8" w:rsidP="007F2A47">
      <w:pPr>
        <w:pStyle w:val="Heading3"/>
        <w:keepLines/>
      </w:pPr>
      <w:r w:rsidRPr="00702A51">
        <w:lastRenderedPageBreak/>
        <w:t>Our</w:t>
      </w:r>
      <w:r w:rsidR="00C71B0D" w:rsidRPr="00702A51">
        <w:t xml:space="preserve"> p</w:t>
      </w:r>
      <w:r w:rsidR="00E86D65" w:rsidRPr="00702A51">
        <w:t>ro</w:t>
      </w:r>
      <w:r w:rsidR="006225C6" w:rsidRPr="00702A51">
        <w:noBreakHyphen/>
      </w:r>
      <w:r w:rsidR="00E86D65" w:rsidRPr="00702A51">
        <w:t>integrity culture</w:t>
      </w:r>
    </w:p>
    <w:p w14:paraId="2D48E152" w14:textId="0A6DCE04" w:rsidR="00B41D4A" w:rsidRPr="00702A51" w:rsidRDefault="00B41D4A" w:rsidP="00455F35">
      <w:r w:rsidRPr="00702A51">
        <w:t>Treasury is committed to the highest standards of integrity, professionalism and ethical behaviour, including through:</w:t>
      </w:r>
    </w:p>
    <w:p w14:paraId="5FF8DDA1" w14:textId="689786E0" w:rsidR="00B41D4A" w:rsidRPr="00702A51" w:rsidRDefault="00B41D4A" w:rsidP="006E4C3F">
      <w:pPr>
        <w:pStyle w:val="Bullet"/>
      </w:pPr>
      <w:r w:rsidRPr="00702A51">
        <w:t>building and maintaining a pro</w:t>
      </w:r>
      <w:r w:rsidR="006225C6" w:rsidRPr="00702A51">
        <w:noBreakHyphen/>
      </w:r>
      <w:r w:rsidRPr="00702A51">
        <w:t>integrity culture</w:t>
      </w:r>
    </w:p>
    <w:p w14:paraId="02E39CF6" w14:textId="3D7DDE97" w:rsidR="00455F35" w:rsidRPr="00702A51" w:rsidRDefault="00B41D4A" w:rsidP="00455F35">
      <w:pPr>
        <w:pStyle w:val="Bullet"/>
      </w:pPr>
      <w:r w:rsidRPr="00702A51">
        <w:t xml:space="preserve">ensuring integrity is embedded in everything we do as an organisation, and our </w:t>
      </w:r>
      <w:r w:rsidR="00716D5B" w:rsidRPr="00702A51">
        <w:t xml:space="preserve">employees </w:t>
      </w:r>
      <w:r w:rsidRPr="00702A51">
        <w:t>are supported to do the right thing at the right time.</w:t>
      </w:r>
    </w:p>
    <w:p w14:paraId="466A17F4" w14:textId="3776AE34" w:rsidR="003E3915" w:rsidRPr="00702A51" w:rsidRDefault="003E3915" w:rsidP="003E3915">
      <w:r w:rsidRPr="00702A51">
        <w:rPr>
          <w:rStyle w:val="Emphasis"/>
        </w:rPr>
        <w:t>Treasury</w:t>
      </w:r>
      <w:r w:rsidR="006225C6" w:rsidRPr="00702A51">
        <w:rPr>
          <w:rStyle w:val="Emphasis"/>
        </w:rPr>
        <w:t>’</w:t>
      </w:r>
      <w:r w:rsidRPr="00702A51">
        <w:rPr>
          <w:rStyle w:val="Emphasis"/>
        </w:rPr>
        <w:t>s Integrity Strategy 2024–2028</w:t>
      </w:r>
      <w:r w:rsidRPr="00702A51">
        <w:rPr>
          <w:i/>
        </w:rPr>
        <w:t xml:space="preserve"> </w:t>
      </w:r>
      <w:r w:rsidRPr="00702A51">
        <w:t xml:space="preserve">reflects our commitment and approach to building and sustaining trust with government, stakeholders and the Australian people. </w:t>
      </w:r>
    </w:p>
    <w:p w14:paraId="2E293112" w14:textId="7D129BB5" w:rsidR="003E3915" w:rsidRPr="00702A51" w:rsidRDefault="003E3915" w:rsidP="003E3915">
      <w:r w:rsidRPr="00702A51">
        <w:rPr>
          <w:rStyle w:val="Emphasis"/>
        </w:rPr>
        <w:t>Treasury</w:t>
      </w:r>
      <w:r w:rsidR="006225C6" w:rsidRPr="00702A51">
        <w:rPr>
          <w:rStyle w:val="Emphasis"/>
        </w:rPr>
        <w:t>’</w:t>
      </w:r>
      <w:r w:rsidRPr="00702A51">
        <w:rPr>
          <w:rStyle w:val="Emphasis"/>
        </w:rPr>
        <w:t>s Integrity Framework</w:t>
      </w:r>
      <w:r w:rsidRPr="00702A51">
        <w:t xml:space="preserve"> is a core foundation of the strategy (Figure 1). The Framework brings together standards, legislation, policies and structures to foster integrity and reduce the risk of corruption. In 202</w:t>
      </w:r>
      <w:r w:rsidR="004D72EA" w:rsidRPr="00702A51">
        <w:t>6</w:t>
      </w:r>
      <w:r w:rsidRPr="00702A51">
        <w:t>–2</w:t>
      </w:r>
      <w:r w:rsidR="004D72EA" w:rsidRPr="00702A51">
        <w:t>7</w:t>
      </w:r>
      <w:r w:rsidRPr="00702A51">
        <w:t>, Treasury will continue to embed the Strategy and pro</w:t>
      </w:r>
      <w:r w:rsidR="006225C6" w:rsidRPr="00702A51">
        <w:noBreakHyphen/>
      </w:r>
      <w:r w:rsidRPr="00702A51">
        <w:t>integrity culture into everything we do. We will focus on values, behaviours and institutional practices</w:t>
      </w:r>
      <w:r w:rsidR="00ED3143" w:rsidRPr="00702A51">
        <w:t>. We will continue to</w:t>
      </w:r>
      <w:r w:rsidRPr="00702A51">
        <w:t xml:space="preserve"> strengthen conflict of interest identification, management and reporting.</w:t>
      </w:r>
    </w:p>
    <w:p w14:paraId="15709761" w14:textId="77777777" w:rsidR="003E3915" w:rsidRPr="00702A51" w:rsidRDefault="003E3915" w:rsidP="008E1709">
      <w:pPr>
        <w:pStyle w:val="SingleParagraph"/>
      </w:pPr>
    </w:p>
    <w:p w14:paraId="51242F90" w14:textId="0291BCF2" w:rsidR="000E6A57" w:rsidRPr="00702A51" w:rsidRDefault="000E6A57" w:rsidP="000A04B9">
      <w:pPr>
        <w:pStyle w:val="ChartMainHeading"/>
      </w:pPr>
      <w:bookmarkStart w:id="31" w:name="_Toc203042640"/>
      <w:r w:rsidRPr="00702A51">
        <w:t xml:space="preserve">Figure </w:t>
      </w:r>
      <w:r w:rsidR="008B3E53" w:rsidRPr="00702A51">
        <w:t>1</w:t>
      </w:r>
      <w:r w:rsidRPr="00702A51">
        <w:t xml:space="preserve"> – Treasury</w:t>
      </w:r>
      <w:r w:rsidR="006225C6" w:rsidRPr="00702A51">
        <w:t>’</w:t>
      </w:r>
      <w:r w:rsidRPr="00702A51">
        <w:t>s Integrity Framework</w:t>
      </w:r>
      <w:bookmarkEnd w:id="31"/>
    </w:p>
    <w:p w14:paraId="3DDD5925" w14:textId="77777777" w:rsidR="00F87012" w:rsidRPr="00702A51" w:rsidRDefault="00F87012" w:rsidP="00F87012">
      <w:pPr>
        <w:pStyle w:val="SingleParagraph"/>
      </w:pPr>
    </w:p>
    <w:p w14:paraId="4E739221" w14:textId="6E9107B8" w:rsidR="000A04B9" w:rsidRPr="00702A51" w:rsidRDefault="00A63842" w:rsidP="00066269">
      <w:pPr>
        <w:pStyle w:val="ChartGraphic"/>
      </w:pPr>
      <w:r w:rsidRPr="00702A51">
        <w:rPr>
          <w:noProof/>
        </w:rPr>
        <w:drawing>
          <wp:inline distT="0" distB="0" distL="0" distR="0" wp14:anchorId="44462122" wp14:editId="0086094D">
            <wp:extent cx="4402359" cy="4404360"/>
            <wp:effectExtent l="0" t="0" r="0" b="0"/>
            <wp:docPr id="33" name="Picture 33" descr="This circular diagram of Treasury’s Integrity Framework highlights the key legislation, frameworks, policies and processes that provide the foundation blocks for integrity. &#10;The centre of the circle says ‘Treasury’s pro integrity culture’.&#10;Inner segments – Policies and processes: Financial frameworks including gifts and benefits; Conﬂict of interest policy, including secondary and post employment; Fraud and corruption control plan; Personnel Security Policy; Agency security framework; Information governance framework; Recruitment policy; Procedures for determining suspected breaches of the APS Code of Conduct; Treasury employee’s digital and social media policy.&#10;Middle circle – Legislation and regulation: Lobbying Code of Conduct; Protective Security Policy Framework (PSPF); National Anti Corruption Commission (NACC); Australian Public Service Values, Code of Conduct and Employment Principles; Public Interest Disclosure Act 2013 (PID); Public Governance, Performance and Accountability Act 2014 (PGPA).&#10;Outer circle – Principles: Professionalism and ethical behaviour; Integrity embedded in everything that we do; Doing the right thing at the righ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is circular diagram of Treasury’s Integrity Framework highlights the key legislation, frameworks, policies and processes that provide the foundation blocks for integrity. &#10;The centre of the circle says ‘Treasury’s pro integrity culture’.&#10;Inner segments – Policies and processes: Financial frameworks including gifts and benefits; Conﬂict of interest policy, including secondary and post employment; Fraud and corruption control plan; Personnel Security Policy; Agency security framework; Information governance framework; Recruitment policy; Procedures for determining suspected breaches of the APS Code of Conduct; Treasury employee’s digital and social media policy.&#10;Middle circle – Legislation and regulation: Lobbying Code of Conduct; Protective Security Policy Framework (PSPF); National Anti Corruption Commission (NACC); Australian Public Service Values, Code of Conduct and Employment Principles; Public Interest Disclosure Act 2013 (PID); Public Governance, Performance and Accountability Act 2014 (PGPA).&#10;Outer circle – Principles: Professionalism and ethical behaviour; Integrity embedded in everything that we do; Doing the right thing at the right time."/>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02359" cy="4404360"/>
                    </a:xfrm>
                    <a:prstGeom prst="rect">
                      <a:avLst/>
                    </a:prstGeom>
                  </pic:spPr>
                </pic:pic>
              </a:graphicData>
            </a:graphic>
          </wp:inline>
        </w:drawing>
      </w:r>
      <w:bookmarkEnd w:id="30"/>
      <w:r w:rsidR="000A04B9" w:rsidRPr="00702A51">
        <w:br w:type="page"/>
      </w:r>
    </w:p>
    <w:p w14:paraId="6E2894BA" w14:textId="6AB19F27" w:rsidR="001A3392" w:rsidRPr="00702A51" w:rsidRDefault="00B1113C" w:rsidP="00455F35">
      <w:pPr>
        <w:pStyle w:val="Heading3"/>
        <w:rPr>
          <w:rStyle w:val="Heading3Char"/>
          <w:b/>
        </w:rPr>
      </w:pPr>
      <w:r w:rsidRPr="00702A51">
        <w:rPr>
          <w:rStyle w:val="Heading3Char"/>
          <w:b/>
        </w:rPr>
        <w:lastRenderedPageBreak/>
        <w:t>Our</w:t>
      </w:r>
      <w:r w:rsidR="00F5138C" w:rsidRPr="00702A51">
        <w:rPr>
          <w:rStyle w:val="Heading3Char"/>
          <w:b/>
        </w:rPr>
        <w:t xml:space="preserve"> cooperation and collaboration</w:t>
      </w:r>
    </w:p>
    <w:p w14:paraId="0754987B" w14:textId="4CE20AF0" w:rsidR="000C794A" w:rsidRPr="00702A51" w:rsidRDefault="000C794A" w:rsidP="000C794A">
      <w:bookmarkStart w:id="32" w:name="_Hlk105503847"/>
      <w:bookmarkStart w:id="33" w:name="_Hlk169081281"/>
      <w:r w:rsidRPr="00702A51">
        <w:t xml:space="preserve">Effective stakeholder engagement is core to Treasury’s work. It helps us deliver timely, informed and influential advice. Stakeholder perspectives improve our advice to </w:t>
      </w:r>
      <w:proofErr w:type="gramStart"/>
      <w:r w:rsidRPr="00702A51">
        <w:t>government</w:t>
      </w:r>
      <w:proofErr w:type="gramEnd"/>
      <w:r w:rsidRPr="00702A51">
        <w:t xml:space="preserve"> and the engagement process deepens our relationships with the Australian community.</w:t>
      </w:r>
    </w:p>
    <w:p w14:paraId="536A5464" w14:textId="74DFED42" w:rsidR="000C794A" w:rsidRPr="00702A51" w:rsidRDefault="000C794A" w:rsidP="000C794A">
      <w:r w:rsidRPr="00702A51">
        <w:t>Treasury’s stakeholder group is broad and diverse. It includes peak bodies, regulators, consumers, academics, business, unions, community groups and other government entities at the international, Commonwealth and state and territory levels. It also includes bilateral and multilateral international cooperation.</w:t>
      </w:r>
      <w:r w:rsidR="007F2A42" w:rsidRPr="00702A51">
        <w:t xml:space="preserve"> We </w:t>
      </w:r>
      <w:r w:rsidR="00017AF4">
        <w:t>engage</w:t>
      </w:r>
      <w:r w:rsidR="00017AF4" w:rsidRPr="00702A51">
        <w:t xml:space="preserve"> </w:t>
      </w:r>
      <w:r w:rsidR="007F2A42" w:rsidRPr="00702A51">
        <w:t xml:space="preserve">through a variety of forums to understand our environment and actively seek views through </w:t>
      </w:r>
      <w:r w:rsidR="006B0E44">
        <w:t>formal and informal</w:t>
      </w:r>
      <w:r w:rsidR="007F2A42" w:rsidRPr="00702A51">
        <w:t xml:space="preserve"> consultation processes.</w:t>
      </w:r>
    </w:p>
    <w:p w14:paraId="31345287" w14:textId="556D5128" w:rsidR="000C794A" w:rsidRPr="00702A51" w:rsidRDefault="000C794A" w:rsidP="000C794A">
      <w:r w:rsidRPr="00702A51">
        <w:t>Treasury is committed to fostering a culture of effective stakeholder engagement. The Corporate Plan sets out how we will measure the effectiveness of our stakeholder engagement and consultation.</w:t>
      </w:r>
      <w:r w:rsidRPr="00702A51">
        <w:rPr>
          <w:lang w:val="en-US"/>
        </w:rPr>
        <w:t xml:space="preserve"> For</w:t>
      </w:r>
      <w:r w:rsidR="00066269" w:rsidRPr="00702A51">
        <w:rPr>
          <w:lang w:val="en-US"/>
        </w:rPr>
        <w:t> </w:t>
      </w:r>
      <w:r w:rsidRPr="00702A51">
        <w:rPr>
          <w:lang w:val="en-US"/>
        </w:rPr>
        <w:t>2026–27, we have updated the questions in our annual stakeholder surveys to reflect the 6</w:t>
      </w:r>
      <w:r w:rsidR="00066269" w:rsidRPr="00702A51">
        <w:rPr>
          <w:lang w:val="en-US"/>
        </w:rPr>
        <w:t> </w:t>
      </w:r>
      <w:r w:rsidRPr="00702A51">
        <w:rPr>
          <w:lang w:val="en-US"/>
        </w:rPr>
        <w:t xml:space="preserve">principles in the </w:t>
      </w:r>
      <w:hyperlink r:id="rId21" w:history="1">
        <w:r w:rsidR="007F2A42" w:rsidRPr="00702A51">
          <w:rPr>
            <w:rStyle w:val="Hyperlink"/>
          </w:rPr>
          <w:t>Charter of Partnerships and Engagement</w:t>
        </w:r>
      </w:hyperlink>
      <w:r w:rsidR="007F2A42" w:rsidRPr="00702A51">
        <w:t xml:space="preserve">. The principles </w:t>
      </w:r>
      <w:proofErr w:type="gramStart"/>
      <w:r w:rsidR="007F2A42" w:rsidRPr="00702A51">
        <w:t>are:</w:t>
      </w:r>
      <w:proofErr w:type="gramEnd"/>
      <w:r w:rsidR="007F2A42" w:rsidRPr="00702A51">
        <w:rPr>
          <w:lang w:val="en-US"/>
        </w:rPr>
        <w:t xml:space="preserve"> </w:t>
      </w:r>
      <w:r w:rsidR="00D21272" w:rsidRPr="00702A51">
        <w:rPr>
          <w:lang w:val="en-US"/>
        </w:rPr>
        <w:t xml:space="preserve">be open, </w:t>
      </w:r>
      <w:r w:rsidRPr="00702A51">
        <w:rPr>
          <w:lang w:val="en-US"/>
        </w:rPr>
        <w:t>be responsive, be transparent, be accountable, be informed and be collaborative.</w:t>
      </w:r>
    </w:p>
    <w:p w14:paraId="3F4EC27C" w14:textId="5DCF4C7D" w:rsidR="000C794A" w:rsidRPr="00702A51" w:rsidRDefault="000C794A" w:rsidP="000C794A">
      <w:r w:rsidRPr="00702A51">
        <w:t xml:space="preserve">We work closely with the other agencies in the Treasury portfolio, across the Australian Government and with international institutions to deliver our shared objectives and Treasury’s purpose. Treasury uses data from </w:t>
      </w:r>
      <w:r w:rsidR="007F2A42" w:rsidRPr="00702A51">
        <w:t xml:space="preserve">our portfolio entities and other organisations to achieve policy outcomes and </w:t>
      </w:r>
      <w:r w:rsidRPr="00702A51">
        <w:t>demonstrate our performance.</w:t>
      </w:r>
    </w:p>
    <w:p w14:paraId="4B87E6CA" w14:textId="7D88B7F2" w:rsidR="000C794A" w:rsidRPr="00702A51" w:rsidRDefault="000C794A" w:rsidP="000C794A">
      <w:r w:rsidRPr="00702A51">
        <w:t>Through the First Nations Economic Partnership</w:t>
      </w:r>
      <w:r w:rsidR="0070522B" w:rsidRPr="00702A51">
        <w:t xml:space="preserve"> and Housing Policy Partnership</w:t>
      </w:r>
      <w:r w:rsidRPr="00702A51">
        <w:t>, Treasury will work in</w:t>
      </w:r>
      <w:r w:rsidR="00987BC5">
        <w:t> </w:t>
      </w:r>
      <w:r w:rsidRPr="00702A51">
        <w:t>genuine partnership with other government agencies and First Nations Partners to co</w:t>
      </w:r>
      <w:r w:rsidR="001224C3" w:rsidRPr="00702A51">
        <w:noBreakHyphen/>
      </w:r>
      <w:r w:rsidRPr="00702A51">
        <w:t>design First</w:t>
      </w:r>
      <w:r w:rsidR="00987BC5">
        <w:t> </w:t>
      </w:r>
      <w:r w:rsidRPr="00702A51">
        <w:t xml:space="preserve">Nations policy advice to </w:t>
      </w:r>
      <w:r w:rsidR="007F2A42" w:rsidRPr="00702A51">
        <w:t xml:space="preserve">lift </w:t>
      </w:r>
      <w:r w:rsidRPr="00702A51">
        <w:t>economic empowerment</w:t>
      </w:r>
      <w:r w:rsidR="0070522B" w:rsidRPr="00702A51">
        <w:t xml:space="preserve"> and enhance housing outcomes</w:t>
      </w:r>
      <w:r w:rsidRPr="00702A51">
        <w:t>.</w:t>
      </w:r>
    </w:p>
    <w:p w14:paraId="37ADA1C2" w14:textId="00067460" w:rsidR="000C794A" w:rsidRPr="00702A51" w:rsidRDefault="000C794A" w:rsidP="007F2A42">
      <w:r w:rsidRPr="00702A51">
        <w:t xml:space="preserve">The Australian Centre for Evaluation (ACE) in Treasury provides support across government to enhance the quality and depth of evidence available to help drive better outcomes for individuals, communities and society. The </w:t>
      </w:r>
      <w:r w:rsidRPr="00702A51">
        <w:rPr>
          <w:rStyle w:val="Emphasis"/>
        </w:rPr>
        <w:t>ACE Strategy</w:t>
      </w:r>
      <w:r w:rsidRPr="00702A51">
        <w:t xml:space="preserve"> outlines how Treasury works with entities across government and beyond to oversee a service</w:t>
      </w:r>
      <w:r w:rsidRPr="00702A51">
        <w:noBreakHyphen/>
        <w:t xml:space="preserve">wide evaluation capability uplift. </w:t>
      </w:r>
    </w:p>
    <w:p w14:paraId="34F1F475" w14:textId="41F72842" w:rsidR="000C794A" w:rsidRPr="00702A51" w:rsidRDefault="000C794A" w:rsidP="000C794A">
      <w:r w:rsidRPr="00702A51">
        <w:t xml:space="preserve">Treasury also supports the Evaluation </w:t>
      </w:r>
      <w:r w:rsidR="00077DAC" w:rsidRPr="00702A51">
        <w:t>P</w:t>
      </w:r>
      <w:r w:rsidRPr="00702A51">
        <w:t>rofessional stream</w:t>
      </w:r>
      <w:r w:rsidRPr="00702A51">
        <w:rPr>
          <w:i/>
          <w:iCs/>
        </w:rPr>
        <w:t>,</w:t>
      </w:r>
      <w:r w:rsidRPr="00702A51">
        <w:t xml:space="preserve"> in collaboration with the Australian Public Service Commission</w:t>
      </w:r>
      <w:r w:rsidR="00235EB0" w:rsidRPr="00702A51">
        <w:t>.</w:t>
      </w:r>
      <w:r w:rsidR="00BE10F6" w:rsidRPr="00702A51">
        <w:t xml:space="preserve"> This</w:t>
      </w:r>
      <w:r w:rsidRPr="00702A51">
        <w:t xml:space="preserve"> bring</w:t>
      </w:r>
      <w:r w:rsidR="00BE10F6" w:rsidRPr="00702A51">
        <w:t>s</w:t>
      </w:r>
      <w:r w:rsidRPr="00702A51">
        <w:t xml:space="preserve"> together people who assess the effectiveness and efficiency of government policies, programs and initiatives and champion evaluation in all its forms across the APS. </w:t>
      </w:r>
    </w:p>
    <w:p w14:paraId="5A1235F2" w14:textId="00EC406A" w:rsidR="00CE6207" w:rsidRPr="00702A51" w:rsidRDefault="00B1113C" w:rsidP="009967A4">
      <w:pPr>
        <w:pStyle w:val="Heading3"/>
        <w:rPr>
          <w:rStyle w:val="Heading3Char"/>
          <w:b/>
        </w:rPr>
      </w:pPr>
      <w:bookmarkStart w:id="34" w:name="_Toc108517461"/>
      <w:bookmarkStart w:id="35" w:name="_Hlk205905074"/>
      <w:bookmarkEnd w:id="27"/>
      <w:bookmarkEnd w:id="32"/>
      <w:bookmarkEnd w:id="33"/>
      <w:r w:rsidRPr="00702A51">
        <w:rPr>
          <w:rStyle w:val="Heading3Char"/>
          <w:b/>
        </w:rPr>
        <w:t>Our</w:t>
      </w:r>
      <w:r w:rsidR="00F5138C" w:rsidRPr="00702A51">
        <w:rPr>
          <w:rStyle w:val="Heading3Char"/>
          <w:b/>
        </w:rPr>
        <w:t xml:space="preserve"> technology</w:t>
      </w:r>
      <w:bookmarkEnd w:id="34"/>
      <w:r w:rsidR="00F5138C" w:rsidRPr="00702A51">
        <w:rPr>
          <w:rStyle w:val="Heading3Char"/>
          <w:b/>
        </w:rPr>
        <w:t xml:space="preserve"> </w:t>
      </w:r>
      <w:r w:rsidRPr="00702A51">
        <w:rPr>
          <w:rStyle w:val="Heading3Char"/>
          <w:b/>
        </w:rPr>
        <w:t xml:space="preserve">and digital capability </w:t>
      </w:r>
    </w:p>
    <w:p w14:paraId="0AA0BA3E" w14:textId="06BD4B1D" w:rsidR="00ED3143" w:rsidRPr="00702A51" w:rsidRDefault="00ED3143" w:rsidP="00ED3143">
      <w:bookmarkStart w:id="36" w:name="_Hlk205976173"/>
      <w:bookmarkEnd w:id="35"/>
      <w:r w:rsidRPr="00702A51">
        <w:t xml:space="preserve">Treasury’s </w:t>
      </w:r>
      <w:r w:rsidRPr="00702A51">
        <w:rPr>
          <w:i/>
          <w:iCs/>
        </w:rPr>
        <w:t>Digital and Cyber Security Strategy 2026–29</w:t>
      </w:r>
      <w:r w:rsidRPr="00702A51">
        <w:t xml:space="preserve"> sets a clear strategic direction for the next three years. It defines priorities across four core digital pillars, </w:t>
      </w:r>
      <w:r w:rsidR="00755224" w:rsidRPr="00702A51">
        <w:t>including</w:t>
      </w:r>
      <w:r w:rsidRPr="00702A51">
        <w:t xml:space="preserve"> AI, cyber security, data and information management. Together, these capabilities support secure and reliable operations, protect information and improve productivity in an increasingly complex and evolving environment.</w:t>
      </w:r>
    </w:p>
    <w:p w14:paraId="5315905F" w14:textId="77777777" w:rsidR="00ED3143" w:rsidRPr="00702A51" w:rsidRDefault="00ED3143" w:rsidP="00ED3143">
      <w:r w:rsidRPr="00702A51">
        <w:t>By investing in digital capability and responsible adoption of AI, Treasury will use emerging technologies to drive operational efficiency and enhance service delivery. AI will be embedded as a core capability to improve how we work and support innovation across the department.</w:t>
      </w:r>
    </w:p>
    <w:p w14:paraId="7D508106" w14:textId="77777777" w:rsidR="00ED3143" w:rsidRPr="00702A51" w:rsidRDefault="00ED3143" w:rsidP="00ED3143">
      <w:r w:rsidRPr="00702A51">
        <w:t xml:space="preserve">Cyber threats are becoming increasingly sophisticated and persistent, requiring a coordinated and deliberate response to build trust and actively defend our people, systems and information. </w:t>
      </w:r>
    </w:p>
    <w:p w14:paraId="1AE3E79D" w14:textId="3CB9745E" w:rsidR="000A04B9" w:rsidRPr="00702A51" w:rsidRDefault="003E3915" w:rsidP="000A04B9">
      <w:r w:rsidRPr="00702A51">
        <w:rPr>
          <w:lang w:val="en-US"/>
        </w:rPr>
        <w:t xml:space="preserve">During </w:t>
      </w:r>
      <w:r w:rsidR="0097026E" w:rsidRPr="00702A51">
        <w:rPr>
          <w:lang w:val="en-US"/>
        </w:rPr>
        <w:t>2026–27</w:t>
      </w:r>
      <w:r w:rsidRPr="00702A51">
        <w:rPr>
          <w:lang w:val="en-US"/>
        </w:rPr>
        <w:t xml:space="preserve">, Treasury will launch its second </w:t>
      </w:r>
      <w:r w:rsidRPr="00702A51">
        <w:rPr>
          <w:rStyle w:val="Emphasis"/>
        </w:rPr>
        <w:t>Enterprise Data Strategy</w:t>
      </w:r>
      <w:r w:rsidR="004C38AC" w:rsidRPr="00702A51">
        <w:rPr>
          <w:rStyle w:val="Emphasis"/>
        </w:rPr>
        <w:t xml:space="preserve"> </w:t>
      </w:r>
      <w:r w:rsidR="004C38AC" w:rsidRPr="00702A51">
        <w:rPr>
          <w:rStyle w:val="Emphasis"/>
          <w:i w:val="0"/>
          <w:iCs w:val="0"/>
        </w:rPr>
        <w:t>(the Strategy)</w:t>
      </w:r>
      <w:r w:rsidRPr="00702A51">
        <w:rPr>
          <w:lang w:val="en-US"/>
        </w:rPr>
        <w:t>. This Strategy will set</w:t>
      </w:r>
      <w:r w:rsidRPr="00702A51">
        <w:t xml:space="preserve"> out a vision and direction for investment in data culture, capability, governance and use across Treasury and will </w:t>
      </w:r>
      <w:r w:rsidRPr="00702A51">
        <w:rPr>
          <w:lang w:val="en-US"/>
        </w:rPr>
        <w:t xml:space="preserve">complement the </w:t>
      </w:r>
      <w:r w:rsidRPr="00702A51">
        <w:rPr>
          <w:rStyle w:val="Emphasis"/>
        </w:rPr>
        <w:t>Digital and Cyber Security Strategy</w:t>
      </w:r>
      <w:r w:rsidRPr="00702A51">
        <w:rPr>
          <w:lang w:val="en-US"/>
        </w:rPr>
        <w:t>.</w:t>
      </w:r>
      <w:r w:rsidR="001775D0" w:rsidRPr="00702A51">
        <w:rPr>
          <w:lang w:val="en-US"/>
        </w:rPr>
        <w:t xml:space="preserve"> </w:t>
      </w:r>
      <w:bookmarkStart w:id="37" w:name="_Toc108517463"/>
      <w:bookmarkEnd w:id="28"/>
      <w:bookmarkEnd w:id="36"/>
      <w:r w:rsidR="000A04B9" w:rsidRPr="00702A51">
        <w:br w:type="page"/>
      </w:r>
    </w:p>
    <w:p w14:paraId="08DD3809" w14:textId="2CBAF208" w:rsidR="00C7248F" w:rsidRPr="00702A51" w:rsidRDefault="00F5138C" w:rsidP="00455F35">
      <w:pPr>
        <w:pStyle w:val="Heading1"/>
      </w:pPr>
      <w:bookmarkStart w:id="38" w:name="_Toc237339144"/>
      <w:r w:rsidRPr="00702A51">
        <w:rPr>
          <w:rStyle w:val="Heading1Char"/>
          <w:b/>
        </w:rPr>
        <w:lastRenderedPageBreak/>
        <w:t>Risk oversight and management</w:t>
      </w:r>
      <w:bookmarkEnd w:id="37"/>
      <w:bookmarkEnd w:id="38"/>
    </w:p>
    <w:p w14:paraId="4CC290DA" w14:textId="6B3A2111" w:rsidR="00E17998" w:rsidRPr="00702A51" w:rsidRDefault="00F5138C" w:rsidP="000A04B9">
      <w:r w:rsidRPr="00702A51">
        <w:t xml:space="preserve">Risk management at Treasury </w:t>
      </w:r>
      <w:r w:rsidR="008E4C16" w:rsidRPr="00702A51">
        <w:t xml:space="preserve">enables </w:t>
      </w:r>
      <w:r w:rsidRPr="00702A51">
        <w:t>good decision making and robust, high</w:t>
      </w:r>
      <w:r w:rsidR="006225C6" w:rsidRPr="00702A51">
        <w:noBreakHyphen/>
      </w:r>
      <w:r w:rsidRPr="00702A51">
        <w:t>quality</w:t>
      </w:r>
      <w:r w:rsidR="008E4C16" w:rsidRPr="00702A51">
        <w:t>,</w:t>
      </w:r>
      <w:r w:rsidRPr="00702A51">
        <w:t xml:space="preserve"> timely </w:t>
      </w:r>
      <w:r w:rsidR="00B76789" w:rsidRPr="00702A51">
        <w:t xml:space="preserve">analysis and </w:t>
      </w:r>
      <w:r w:rsidRPr="00702A51">
        <w:t>advice to</w:t>
      </w:r>
      <w:r w:rsidR="00793D6D" w:rsidRPr="00702A51">
        <w:t> </w:t>
      </w:r>
      <w:r w:rsidRPr="00702A51">
        <w:t>government</w:t>
      </w:r>
      <w:r w:rsidR="00B76789" w:rsidRPr="00702A51">
        <w:t xml:space="preserve"> and effective delivery of our policy and program </w:t>
      </w:r>
      <w:r w:rsidR="00A3125E" w:rsidRPr="00702A51">
        <w:t>priorities.</w:t>
      </w:r>
      <w:r w:rsidRPr="00702A51">
        <w:t xml:space="preserve"> </w:t>
      </w:r>
    </w:p>
    <w:p w14:paraId="28C95FB0" w14:textId="6745568F" w:rsidR="002260DD" w:rsidRPr="00702A51" w:rsidRDefault="00F5138C" w:rsidP="000A04B9">
      <w:r w:rsidRPr="00702A51">
        <w:t>Our risk management policy and framework support Treasury</w:t>
      </w:r>
      <w:r w:rsidR="006225C6" w:rsidRPr="00702A51">
        <w:t>’</w:t>
      </w:r>
      <w:r w:rsidR="00864C56" w:rsidRPr="00702A51">
        <w:t>s accountable authority, the Secretary,</w:t>
      </w:r>
      <w:r w:rsidRPr="00702A51">
        <w:t xml:space="preserve"> to meet </w:t>
      </w:r>
      <w:r w:rsidR="00864C56" w:rsidRPr="00702A51">
        <w:t xml:space="preserve">her </w:t>
      </w:r>
      <w:r w:rsidRPr="00702A51">
        <w:t xml:space="preserve">obligations under section 16 of the PGPA Act </w:t>
      </w:r>
      <w:r w:rsidR="00A92993" w:rsidRPr="00702A51">
        <w:t>in line with</w:t>
      </w:r>
      <w:r w:rsidRPr="00702A51">
        <w:t xml:space="preserve"> the Commonwealth Risk </w:t>
      </w:r>
      <w:r w:rsidR="00A92993" w:rsidRPr="00702A51">
        <w:t xml:space="preserve">Management </w:t>
      </w:r>
      <w:r w:rsidRPr="00702A51">
        <w:t>Policy.</w:t>
      </w:r>
    </w:p>
    <w:p w14:paraId="5DC74112" w14:textId="4A4308D6" w:rsidR="00864C56" w:rsidRPr="00702A51" w:rsidRDefault="00864C56" w:rsidP="00864C56">
      <w:r w:rsidRPr="00702A51">
        <w:t>In 202</w:t>
      </w:r>
      <w:r w:rsidR="00ED11E5" w:rsidRPr="00702A51">
        <w:t>6</w:t>
      </w:r>
      <w:r w:rsidRPr="00702A51">
        <w:t>–2</w:t>
      </w:r>
      <w:r w:rsidR="00ED11E5" w:rsidRPr="00702A51">
        <w:t>7</w:t>
      </w:r>
      <w:r w:rsidRPr="00702A51">
        <w:t>, we will continue to embed risk</w:t>
      </w:r>
      <w:r w:rsidR="006225C6" w:rsidRPr="00702A51">
        <w:noBreakHyphen/>
      </w:r>
      <w:r w:rsidRPr="00702A51">
        <w:t>based decision</w:t>
      </w:r>
      <w:r w:rsidR="006225C6" w:rsidRPr="00702A51">
        <w:noBreakHyphen/>
      </w:r>
      <w:r w:rsidRPr="00702A51">
        <w:t>making and practices in our day</w:t>
      </w:r>
      <w:r w:rsidR="006225C6" w:rsidRPr="00702A51">
        <w:noBreakHyphen/>
      </w:r>
      <w:r w:rsidRPr="00702A51">
        <w:t>to</w:t>
      </w:r>
      <w:r w:rsidR="006225C6" w:rsidRPr="00702A51">
        <w:noBreakHyphen/>
      </w:r>
      <w:r w:rsidRPr="00702A51">
        <w:t xml:space="preserve">day operations and governance, in line with </w:t>
      </w:r>
      <w:r w:rsidR="00B76789" w:rsidRPr="00702A51">
        <w:t xml:space="preserve">our </w:t>
      </w:r>
      <w:r w:rsidR="002B2C10" w:rsidRPr="00702A51">
        <w:t>Risk Management Policy and Framework</w:t>
      </w:r>
      <w:r w:rsidR="00B76789" w:rsidRPr="00702A51">
        <w:t>.</w:t>
      </w:r>
      <w:r w:rsidRPr="00702A51">
        <w:t xml:space="preserve"> We will strengthen our </w:t>
      </w:r>
      <w:r w:rsidR="002B2C10" w:rsidRPr="00702A51">
        <w:t>approach</w:t>
      </w:r>
      <w:r w:rsidRPr="00702A51">
        <w:t xml:space="preserve"> by integrating risk with governance and strategic planning </w:t>
      </w:r>
      <w:r w:rsidR="002B2C10" w:rsidRPr="00702A51">
        <w:t>to build</w:t>
      </w:r>
      <w:r w:rsidRPr="00702A51">
        <w:t xml:space="preserve"> capability and further mature our </w:t>
      </w:r>
      <w:r w:rsidR="002B2C10" w:rsidRPr="00702A51">
        <w:t>risk practices</w:t>
      </w:r>
      <w:r w:rsidRPr="00702A51">
        <w:t xml:space="preserve">. </w:t>
      </w:r>
      <w:r w:rsidR="002B2C10" w:rsidRPr="00702A51">
        <w:t>Our arrangements are review</w:t>
      </w:r>
      <w:r w:rsidR="00D151BE" w:rsidRPr="00702A51">
        <w:t xml:space="preserve">ed </w:t>
      </w:r>
      <w:r w:rsidR="002B2C10" w:rsidRPr="00702A51">
        <w:t xml:space="preserve">regularly to ensure they remain </w:t>
      </w:r>
      <w:r w:rsidR="00D151BE" w:rsidRPr="00702A51">
        <w:t>curren</w:t>
      </w:r>
      <w:r w:rsidR="002B2C10" w:rsidRPr="00702A51">
        <w:t>t</w:t>
      </w:r>
      <w:r w:rsidR="00D151BE" w:rsidRPr="00702A51">
        <w:t xml:space="preserve"> and effective, </w:t>
      </w:r>
      <w:r w:rsidR="002B2C10" w:rsidRPr="00702A51">
        <w:t xml:space="preserve">with the next review of </w:t>
      </w:r>
      <w:r w:rsidR="00D151BE" w:rsidRPr="00702A51">
        <w:t xml:space="preserve">the Risk Management Policy and Framework </w:t>
      </w:r>
      <w:r w:rsidR="002B2C10" w:rsidRPr="00702A51">
        <w:t>scheduled for</w:t>
      </w:r>
      <w:r w:rsidR="00D151BE" w:rsidRPr="00702A51">
        <w:t xml:space="preserve"> 2027.</w:t>
      </w:r>
    </w:p>
    <w:p w14:paraId="70DA9736" w14:textId="48B43F56" w:rsidR="00241089" w:rsidRPr="00702A51" w:rsidRDefault="00864C56" w:rsidP="000A04B9">
      <w:r w:rsidRPr="00702A51">
        <w:t xml:space="preserve">A suite of tools </w:t>
      </w:r>
      <w:r w:rsidR="00595E4A" w:rsidRPr="00702A51">
        <w:t xml:space="preserve">supports </w:t>
      </w:r>
      <w:r w:rsidRPr="00702A51">
        <w:t>implementation of the risk policy and framework</w:t>
      </w:r>
      <w:r w:rsidR="00595E4A" w:rsidRPr="00702A51">
        <w:t>, ensuring</w:t>
      </w:r>
      <w:r w:rsidR="008E4C16" w:rsidRPr="00702A51">
        <w:t xml:space="preserve"> consistent</w:t>
      </w:r>
      <w:r w:rsidRPr="00702A51">
        <w:t xml:space="preserve"> risk identification, communication, monitoring and decision making. </w:t>
      </w:r>
      <w:r w:rsidR="00595E4A" w:rsidRPr="00702A51">
        <w:t>R</w:t>
      </w:r>
      <w:r w:rsidRPr="00702A51">
        <w:t xml:space="preserve">isk and opportunities </w:t>
      </w:r>
      <w:r w:rsidR="00595E4A" w:rsidRPr="00702A51">
        <w:t xml:space="preserve">are managed at the </w:t>
      </w:r>
      <w:r w:rsidRPr="00702A51">
        <w:t xml:space="preserve">group and program level, </w:t>
      </w:r>
      <w:r w:rsidR="008E4C16" w:rsidRPr="00702A51">
        <w:t xml:space="preserve">overseen by </w:t>
      </w:r>
      <w:r w:rsidR="007F4B4E" w:rsidRPr="00702A51">
        <w:t xml:space="preserve">our </w:t>
      </w:r>
      <w:r w:rsidRPr="00702A51">
        <w:t xml:space="preserve">governance committees. At the operational level, </w:t>
      </w:r>
      <w:r w:rsidR="00595E4A" w:rsidRPr="00702A51">
        <w:t>the</w:t>
      </w:r>
      <w:r w:rsidR="00006A18" w:rsidRPr="00702A51">
        <w:t> </w:t>
      </w:r>
      <w:r w:rsidRPr="00702A51">
        <w:t xml:space="preserve">focus is on </w:t>
      </w:r>
      <w:r w:rsidR="00595E4A" w:rsidRPr="00702A51">
        <w:t>identifying</w:t>
      </w:r>
      <w:r w:rsidRPr="00702A51">
        <w:t>, assess</w:t>
      </w:r>
      <w:r w:rsidR="00595E4A" w:rsidRPr="00702A51">
        <w:t>ing</w:t>
      </w:r>
      <w:r w:rsidRPr="00702A51">
        <w:t xml:space="preserve"> and </w:t>
      </w:r>
      <w:r w:rsidR="00595E4A" w:rsidRPr="00702A51">
        <w:t>managing risks through</w:t>
      </w:r>
      <w:r w:rsidRPr="00702A51">
        <w:t xml:space="preserve"> effective controls, with escalation through appropriate governance channels.</w:t>
      </w:r>
      <w:r w:rsidR="00B76789" w:rsidRPr="00702A51">
        <w:t xml:space="preserve"> </w:t>
      </w:r>
    </w:p>
    <w:p w14:paraId="1A9AF68C" w14:textId="7B035484" w:rsidR="00E17998" w:rsidRPr="00702A51" w:rsidRDefault="00F5138C" w:rsidP="00B67763">
      <w:pPr>
        <w:pStyle w:val="Heading2"/>
      </w:pPr>
      <w:bookmarkStart w:id="39" w:name="_Toc237339145"/>
      <w:r w:rsidRPr="00702A51">
        <w:t>Risk appetite and tolerance</w:t>
      </w:r>
      <w:bookmarkEnd w:id="39"/>
    </w:p>
    <w:p w14:paraId="45F1280F" w14:textId="7A104DD8" w:rsidR="00E17998" w:rsidRPr="00702A51" w:rsidRDefault="00F5138C" w:rsidP="000A04B9">
      <w:r w:rsidRPr="00702A51">
        <w:t>Treasur</w:t>
      </w:r>
      <w:r w:rsidR="005632C5" w:rsidRPr="00702A51">
        <w:t>y</w:t>
      </w:r>
      <w:r w:rsidR="00FC6A33" w:rsidRPr="00702A51">
        <w:t xml:space="preserve"> </w:t>
      </w:r>
      <w:r w:rsidRPr="00702A51">
        <w:t>strive</w:t>
      </w:r>
      <w:r w:rsidR="005632C5" w:rsidRPr="00702A51">
        <w:t>s</w:t>
      </w:r>
      <w:r w:rsidRPr="00702A51">
        <w:t xml:space="preserve"> to achieve the right balance between engaging with risk to effectively deliver our policy and program outcomes, while upholding accountability requirements and protecting the reputation of the </w:t>
      </w:r>
      <w:r w:rsidR="00EC0EF7" w:rsidRPr="00702A51">
        <w:t>d</w:t>
      </w:r>
      <w:r w:rsidRPr="00702A51">
        <w:t>epartment and our status as trusted advis</w:t>
      </w:r>
      <w:r w:rsidR="2B889292" w:rsidRPr="00702A51">
        <w:t>e</w:t>
      </w:r>
      <w:r w:rsidRPr="00702A51">
        <w:t>rs.</w:t>
      </w:r>
    </w:p>
    <w:p w14:paraId="08D98093" w14:textId="34EDB7B7" w:rsidR="00241089" w:rsidRPr="00702A51" w:rsidRDefault="00864C56" w:rsidP="000A04B9">
      <w:r w:rsidRPr="00702A51">
        <w:t>To deliver on our purpose, we have a moderate appetite to engage with risk. Treasury must consider our appetite for pursuing risk in the context of the potential consequences of each risk we take, that is, our risk tolerance. Our tolerance for risk varies depending on the activity. Acceptance of risk within the agreed tolerance range is based on good professional judgement. This requires</w:t>
      </w:r>
      <w:r w:rsidR="00D151BE" w:rsidRPr="00702A51">
        <w:t xml:space="preserve"> all Treasury staff</w:t>
      </w:r>
      <w:r w:rsidRPr="00702A51">
        <w:t xml:space="preserve"> to understand potential threats and opportunities and focus on ensuring there are sensible measures in place to mitigate and manage undesirable outcomes.</w:t>
      </w:r>
    </w:p>
    <w:p w14:paraId="7CB3944D" w14:textId="64CA65C5" w:rsidR="00E17998" w:rsidRPr="00702A51" w:rsidRDefault="00F5138C" w:rsidP="00B67763">
      <w:pPr>
        <w:pStyle w:val="Heading2"/>
      </w:pPr>
      <w:bookmarkStart w:id="40" w:name="_Toc237339146"/>
      <w:bookmarkStart w:id="41" w:name="_Hlk169164438"/>
      <w:r w:rsidRPr="00702A51">
        <w:rPr>
          <w:rStyle w:val="Heading3Char"/>
          <w:b w:val="0"/>
          <w:color w:val="2C384A" w:themeColor="accent1"/>
          <w:sz w:val="36"/>
          <w:szCs w:val="28"/>
        </w:rPr>
        <w:t>Enter</w:t>
      </w:r>
      <w:r w:rsidRPr="00702A51">
        <w:t>prise risk</w:t>
      </w:r>
      <w:bookmarkEnd w:id="40"/>
    </w:p>
    <w:p w14:paraId="255A84E2" w14:textId="60EB09DF" w:rsidR="00895EF8" w:rsidRPr="00702A51" w:rsidRDefault="00F5138C" w:rsidP="000A04B9">
      <w:r w:rsidRPr="00702A51">
        <w:t xml:space="preserve">Treasury has identified risks that may impact our ability to deliver </w:t>
      </w:r>
      <w:r w:rsidR="00005D9C" w:rsidRPr="00702A51">
        <w:t xml:space="preserve">our </w:t>
      </w:r>
      <w:r w:rsidRPr="00702A51">
        <w:t>purpose and priorities, and the opportunities we must pursue and realise.</w:t>
      </w:r>
    </w:p>
    <w:p w14:paraId="509EE504" w14:textId="4EC1AC81" w:rsidR="002544E9" w:rsidRPr="00702A51" w:rsidRDefault="002544E9" w:rsidP="000A04B9">
      <w:r w:rsidRPr="00702A51">
        <w:br w:type="page"/>
      </w:r>
    </w:p>
    <w:p w14:paraId="14BD8A47" w14:textId="6847DAC4" w:rsidR="00BE21E4" w:rsidRPr="00702A51" w:rsidRDefault="00705D79" w:rsidP="00696E42">
      <w:pPr>
        <w:pStyle w:val="Heading3"/>
      </w:pPr>
      <w:bookmarkStart w:id="42" w:name="_Hlk233797228"/>
      <w:bookmarkStart w:id="43" w:name="_Toc108517462"/>
      <w:bookmarkStart w:id="44" w:name="_Hlk141255898"/>
      <w:bookmarkEnd w:id="41"/>
      <w:r w:rsidRPr="00702A51">
        <w:lastRenderedPageBreak/>
        <w:t>Treasury enterprise risks 2026–27</w:t>
      </w:r>
    </w:p>
    <w:bookmarkEnd w:id="42"/>
    <w:p w14:paraId="5E5DBA62" w14:textId="77777777" w:rsidR="00945AF2" w:rsidRPr="00702A51" w:rsidRDefault="00945AF2" w:rsidP="00921469">
      <w:pPr>
        <w:pStyle w:val="Heading4"/>
        <w:spacing w:after="120"/>
      </w:pPr>
      <w:r w:rsidRPr="00702A51">
        <w:t>Influential, impactful and trusted policy advice, analysis and reform</w:t>
      </w:r>
    </w:p>
    <w:tbl>
      <w:tblPr>
        <w:tblW w:w="9356" w:type="dxa"/>
        <w:tblLayout w:type="fixed"/>
        <w:tblCellMar>
          <w:top w:w="57" w:type="dxa"/>
          <w:left w:w="113" w:type="dxa"/>
          <w:bottom w:w="57" w:type="dxa"/>
          <w:right w:w="113" w:type="dxa"/>
        </w:tblCellMar>
        <w:tblLook w:val="01E0" w:firstRow="1" w:lastRow="1" w:firstColumn="1" w:lastColumn="1" w:noHBand="0" w:noVBand="0"/>
      </w:tblPr>
      <w:tblGrid>
        <w:gridCol w:w="9356"/>
      </w:tblGrid>
      <w:tr w:rsidR="00945AF2" w:rsidRPr="00702A51" w14:paraId="1EB8DD8C" w14:textId="77777777" w:rsidTr="006C3A97">
        <w:tc>
          <w:tcPr>
            <w:tcW w:w="9356" w:type="dxa"/>
            <w:shd w:val="clear" w:color="auto" w:fill="E8F0FC" w:themeFill="accent5" w:themeFillTint="33"/>
          </w:tcPr>
          <w:p w14:paraId="4CC43883" w14:textId="77777777" w:rsidR="00945AF2" w:rsidRPr="00702A51" w:rsidRDefault="00945AF2" w:rsidP="00921469">
            <w:pPr>
              <w:pStyle w:val="TableColumnHeadingLeft"/>
            </w:pPr>
            <w:r w:rsidRPr="00702A51">
              <w:t>Risks</w:t>
            </w:r>
          </w:p>
        </w:tc>
      </w:tr>
      <w:tr w:rsidR="00945AF2" w:rsidRPr="00702A51" w14:paraId="753E9B7A" w14:textId="77777777" w:rsidTr="006C3A97">
        <w:tc>
          <w:tcPr>
            <w:tcW w:w="9356" w:type="dxa"/>
            <w:tcBorders>
              <w:bottom w:val="single" w:sz="8" w:space="0" w:color="D6D6D6" w:themeColor="background2" w:themeShade="E6"/>
            </w:tcBorders>
          </w:tcPr>
          <w:p w14:paraId="3518032D" w14:textId="77777777" w:rsidR="00945AF2" w:rsidRPr="00702A51" w:rsidRDefault="00945AF2" w:rsidP="0075541D">
            <w:pPr>
              <w:pStyle w:val="TableTextLeft"/>
              <w:ind w:left="720" w:hanging="720"/>
            </w:pPr>
            <w:r w:rsidRPr="00702A51">
              <w:t>1.</w:t>
            </w:r>
            <w:r w:rsidRPr="00702A51">
              <w:tab/>
              <w:t>We do not build and maintain key relationships and effectively collaborate to enable delivery of impactful, informed and influential advice and analysis and implementation of government policy.</w:t>
            </w:r>
          </w:p>
        </w:tc>
      </w:tr>
      <w:tr w:rsidR="00945AF2" w:rsidRPr="00702A51" w14:paraId="05DBC065" w14:textId="77777777" w:rsidTr="006C3A97">
        <w:tc>
          <w:tcPr>
            <w:tcW w:w="9356" w:type="dxa"/>
            <w:tcBorders>
              <w:top w:val="single" w:sz="8" w:space="0" w:color="D6D6D6" w:themeColor="background2" w:themeShade="E6"/>
              <w:bottom w:val="single" w:sz="8" w:space="0" w:color="D6D6D6" w:themeColor="background2" w:themeShade="E6"/>
            </w:tcBorders>
          </w:tcPr>
          <w:p w14:paraId="7DDF981E" w14:textId="726F4A3E" w:rsidR="00945AF2" w:rsidRPr="00702A51" w:rsidRDefault="00945AF2" w:rsidP="0075541D">
            <w:pPr>
              <w:pStyle w:val="TableTextLeft"/>
              <w:ind w:left="720" w:hanging="720"/>
            </w:pPr>
            <w:r w:rsidRPr="00702A51">
              <w:t>2.</w:t>
            </w:r>
            <w:r w:rsidRPr="00702A51">
              <w:tab/>
              <w:t>Our modelling and analytical capability does not enable the provision of timely and reliable advice in an</w:t>
            </w:r>
            <w:r w:rsidR="00921469" w:rsidRPr="00702A51">
              <w:t> </w:t>
            </w:r>
            <w:r w:rsidRPr="00702A51">
              <w:t>environment of rapid change.</w:t>
            </w:r>
          </w:p>
        </w:tc>
      </w:tr>
      <w:tr w:rsidR="00945AF2" w:rsidRPr="00702A51" w14:paraId="2E09AC9A" w14:textId="77777777" w:rsidTr="006C3A97">
        <w:tc>
          <w:tcPr>
            <w:tcW w:w="9356" w:type="dxa"/>
            <w:tcBorders>
              <w:top w:val="single" w:sz="8" w:space="0" w:color="D6D6D6" w:themeColor="background2" w:themeShade="E6"/>
              <w:bottom w:val="single" w:sz="8" w:space="0" w:color="D6D6D6" w:themeColor="background2" w:themeShade="E6"/>
            </w:tcBorders>
          </w:tcPr>
          <w:p w14:paraId="5A70A228" w14:textId="45EEA45A" w:rsidR="00945AF2" w:rsidRPr="00702A51" w:rsidRDefault="00945AF2" w:rsidP="0075541D">
            <w:pPr>
              <w:pStyle w:val="TableTextLeft"/>
              <w:ind w:left="720" w:hanging="720"/>
            </w:pPr>
            <w:r w:rsidRPr="00702A51">
              <w:t>3.</w:t>
            </w:r>
            <w:r w:rsidRPr="00702A51">
              <w:tab/>
              <w:t xml:space="preserve">Our work does not realise opportunities to drive policy and regulatory reform to support the </w:t>
            </w:r>
            <w:r w:rsidR="00055562" w:rsidRPr="00702A51">
              <w:t>g</w:t>
            </w:r>
            <w:r w:rsidRPr="00702A51">
              <w:t>overnment to improve Australia’s economic, social, environmental and fiscal outcomes.</w:t>
            </w:r>
          </w:p>
        </w:tc>
      </w:tr>
    </w:tbl>
    <w:p w14:paraId="35FD3215" w14:textId="77777777" w:rsidR="009F28BC" w:rsidRPr="00702A51" w:rsidRDefault="009F28BC" w:rsidP="009F28BC">
      <w:pPr>
        <w:pStyle w:val="Heading5"/>
      </w:pPr>
      <w:r w:rsidRPr="00702A51">
        <w:t>Risk management strategies</w:t>
      </w:r>
    </w:p>
    <w:p w14:paraId="4D7717EF" w14:textId="77777777" w:rsidR="009F28BC" w:rsidRPr="00702A51" w:rsidRDefault="009F28BC" w:rsidP="009F28BC">
      <w:pPr>
        <w:pStyle w:val="PeformanceMeasuresNormal"/>
      </w:pPr>
      <w:r w:rsidRPr="00702A51">
        <w:t>Effective stakeholder engagement is core to establishing and maintaining trust and is embedded into our processes through dedicated engagement functions. Robust arrangements are in place to protect the integrity of policy consultation activities.</w:t>
      </w:r>
    </w:p>
    <w:p w14:paraId="6CDE1087" w14:textId="77777777" w:rsidR="009F28BC" w:rsidRPr="00702A51" w:rsidRDefault="009F28BC" w:rsidP="009F28BC">
      <w:pPr>
        <w:pStyle w:val="PeformanceMeasuresNormal"/>
      </w:pPr>
      <w:r w:rsidRPr="00702A51">
        <w:t>We invest in our modelling and analytical capability and innovate to improve the quality, reliability and responsiveness of our analysis over time. We measure the accuracy, timeliness, and robustness of our microdata and analysis to assess our performance and inform areas of improvement.</w:t>
      </w:r>
    </w:p>
    <w:p w14:paraId="3293E528" w14:textId="1E2CE9AE" w:rsidR="009F28BC" w:rsidRPr="00702A51" w:rsidRDefault="009F28BC" w:rsidP="009F28BC">
      <w:pPr>
        <w:pStyle w:val="PeformanceMeasuresNormal"/>
      </w:pPr>
      <w:r w:rsidRPr="00702A51">
        <w:t>We continuously build our understanding of the areas where our work can have the greatest impact. Our risk appetite and tolerance settings encourage engagement with opportunities to maximise the benefit they represent.</w:t>
      </w:r>
    </w:p>
    <w:p w14:paraId="7190341F" w14:textId="632F873D" w:rsidR="00945AF2" w:rsidRPr="00702A51" w:rsidRDefault="00945AF2" w:rsidP="00921469">
      <w:pPr>
        <w:pStyle w:val="Heading4"/>
        <w:spacing w:after="120"/>
      </w:pPr>
      <w:r w:rsidRPr="00702A51">
        <w:t>Delivery of the economic agenda</w:t>
      </w:r>
    </w:p>
    <w:tbl>
      <w:tblPr>
        <w:tblW w:w="9356" w:type="dxa"/>
        <w:tblLayout w:type="fixed"/>
        <w:tblCellMar>
          <w:top w:w="57" w:type="dxa"/>
          <w:left w:w="113" w:type="dxa"/>
          <w:bottom w:w="57" w:type="dxa"/>
          <w:right w:w="113" w:type="dxa"/>
        </w:tblCellMar>
        <w:tblLook w:val="01E0" w:firstRow="1" w:lastRow="1" w:firstColumn="1" w:lastColumn="1" w:noHBand="0" w:noVBand="0"/>
      </w:tblPr>
      <w:tblGrid>
        <w:gridCol w:w="9356"/>
      </w:tblGrid>
      <w:tr w:rsidR="00945AF2" w:rsidRPr="00702A51" w14:paraId="786C50F6" w14:textId="77777777" w:rsidTr="006C3A97">
        <w:tc>
          <w:tcPr>
            <w:tcW w:w="9356" w:type="dxa"/>
            <w:shd w:val="clear" w:color="auto" w:fill="E8F0FC" w:themeFill="accent5" w:themeFillTint="33"/>
          </w:tcPr>
          <w:p w14:paraId="442C7409" w14:textId="77777777" w:rsidR="00945AF2" w:rsidRPr="00702A51" w:rsidRDefault="00945AF2" w:rsidP="00921469">
            <w:pPr>
              <w:pStyle w:val="TableColumnHeadingLeft"/>
            </w:pPr>
            <w:r w:rsidRPr="00702A51">
              <w:t>Risks</w:t>
            </w:r>
          </w:p>
        </w:tc>
      </w:tr>
      <w:tr w:rsidR="00945AF2" w:rsidRPr="00702A51" w14:paraId="168AB2D4" w14:textId="77777777" w:rsidTr="006C3A97">
        <w:tc>
          <w:tcPr>
            <w:tcW w:w="9356" w:type="dxa"/>
            <w:tcBorders>
              <w:bottom w:val="single" w:sz="8" w:space="0" w:color="D6D6D6" w:themeColor="background2" w:themeShade="E6"/>
            </w:tcBorders>
          </w:tcPr>
          <w:p w14:paraId="6E6AE972" w14:textId="77777777" w:rsidR="00945AF2" w:rsidRPr="00702A51" w:rsidRDefault="00945AF2" w:rsidP="0075541D">
            <w:pPr>
              <w:pStyle w:val="TableTextLeft"/>
              <w:ind w:left="720" w:hanging="720"/>
            </w:pPr>
            <w:r w:rsidRPr="00702A51">
              <w:t>4.</w:t>
            </w:r>
            <w:r w:rsidRPr="00702A51">
              <w:tab/>
              <w:t xml:space="preserve">We do not efficiently, effectively and ethically deliver the government’s program and policy priorities, missing opportunities to improve economic, housing, environmental and fiscal outcomes for Australians. </w:t>
            </w:r>
          </w:p>
        </w:tc>
      </w:tr>
      <w:tr w:rsidR="00945AF2" w:rsidRPr="00702A51" w14:paraId="79D1942B" w14:textId="77777777" w:rsidTr="006C3A97">
        <w:tc>
          <w:tcPr>
            <w:tcW w:w="9356" w:type="dxa"/>
            <w:tcBorders>
              <w:top w:val="single" w:sz="8" w:space="0" w:color="D6D6D6" w:themeColor="background2" w:themeShade="E6"/>
              <w:bottom w:val="single" w:sz="8" w:space="0" w:color="D6D6D6" w:themeColor="background2" w:themeShade="E6"/>
            </w:tcBorders>
          </w:tcPr>
          <w:p w14:paraId="61FB1E98" w14:textId="77777777" w:rsidR="00945AF2" w:rsidRPr="00702A51" w:rsidRDefault="00945AF2" w:rsidP="0075541D">
            <w:pPr>
              <w:pStyle w:val="TableTextLeft"/>
              <w:ind w:left="720" w:hanging="720"/>
            </w:pPr>
            <w:r w:rsidRPr="00702A51">
              <w:t>5.</w:t>
            </w:r>
            <w:r w:rsidRPr="00702A51">
              <w:tab/>
              <w:t>Our regulation administration is not effective, flexible, transparent, and fair, and creates unnecessary burdens on, or uncertainty for, industry and consumers.</w:t>
            </w:r>
          </w:p>
        </w:tc>
      </w:tr>
      <w:tr w:rsidR="00945AF2" w:rsidRPr="00702A51" w14:paraId="1D610D98" w14:textId="77777777" w:rsidTr="006C3A97">
        <w:tc>
          <w:tcPr>
            <w:tcW w:w="9356" w:type="dxa"/>
            <w:tcBorders>
              <w:top w:val="single" w:sz="8" w:space="0" w:color="D6D6D6" w:themeColor="background2" w:themeShade="E6"/>
              <w:bottom w:val="single" w:sz="8" w:space="0" w:color="D6D6D6" w:themeColor="background2" w:themeShade="E6"/>
            </w:tcBorders>
          </w:tcPr>
          <w:p w14:paraId="782E257C" w14:textId="77777777" w:rsidR="00945AF2" w:rsidRPr="00702A51" w:rsidRDefault="00945AF2" w:rsidP="0075541D">
            <w:pPr>
              <w:pStyle w:val="TableTextLeft"/>
              <w:ind w:left="720" w:hanging="720"/>
            </w:pPr>
            <w:r w:rsidRPr="00702A51">
              <w:t>6.</w:t>
            </w:r>
            <w:r w:rsidRPr="00702A51">
              <w:tab/>
              <w:t>We do not effectively and ethically steward the financial resources and responsibilities allocated to us and do not adopt strong budget management processes, leading to poor value for money and loss of trust in Treasury.</w:t>
            </w:r>
          </w:p>
        </w:tc>
      </w:tr>
    </w:tbl>
    <w:p w14:paraId="52DCE7FF" w14:textId="77777777" w:rsidR="009F28BC" w:rsidRPr="00702A51" w:rsidRDefault="009F28BC" w:rsidP="009F28BC">
      <w:pPr>
        <w:pStyle w:val="Heading5"/>
      </w:pPr>
      <w:r w:rsidRPr="00702A51">
        <w:t>Risk management strategies</w:t>
      </w:r>
    </w:p>
    <w:p w14:paraId="7FBD158C" w14:textId="4F500F2A" w:rsidR="009F28BC" w:rsidRPr="00702A51" w:rsidRDefault="009F28BC" w:rsidP="009F28BC">
      <w:pPr>
        <w:pStyle w:val="PeformanceMeasuresNormal"/>
      </w:pPr>
      <w:r w:rsidRPr="00702A51">
        <w:t>Treasury’s activities are documented and reviewed through governance and assurance mechanisms to</w:t>
      </w:r>
      <w:r w:rsidR="0075541D" w:rsidRPr="00702A51">
        <w:t> </w:t>
      </w:r>
      <w:r w:rsidRPr="00702A51">
        <w:t>ensure they align with the expectations of government and interested parties including the wider</w:t>
      </w:r>
      <w:r w:rsidR="0075541D" w:rsidRPr="00702A51">
        <w:t> </w:t>
      </w:r>
      <w:r w:rsidRPr="00702A51">
        <w:t>public.</w:t>
      </w:r>
    </w:p>
    <w:p w14:paraId="13F09BFD" w14:textId="77777777" w:rsidR="009F28BC" w:rsidRPr="00702A51" w:rsidRDefault="009F28BC" w:rsidP="009F28BC">
      <w:pPr>
        <w:pStyle w:val="PeformanceMeasuresNormal"/>
      </w:pPr>
      <w:r w:rsidRPr="00702A51">
        <w:t>We build our internal capability to support the planning, consultation and analysis needed to enable effective partnerships and solutions.</w:t>
      </w:r>
    </w:p>
    <w:p w14:paraId="109D03C4" w14:textId="77777777" w:rsidR="009F28BC" w:rsidRPr="00702A51" w:rsidRDefault="009F28BC" w:rsidP="009F28BC">
      <w:pPr>
        <w:pStyle w:val="PeformanceMeasuresNormal"/>
      </w:pPr>
      <w:r w:rsidRPr="00702A51">
        <w:t>We maintain strong financial management policies, processes, systems and governance arrangements. Key policies and frameworks that support our financial management include accountable authority instructions, budget processes and reporting.</w:t>
      </w:r>
    </w:p>
    <w:p w14:paraId="7BBEEC75" w14:textId="72A63B49" w:rsidR="009F28BC" w:rsidRPr="00702A51" w:rsidRDefault="009F28BC" w:rsidP="009F28BC">
      <w:pPr>
        <w:pStyle w:val="PeformanceMeasuresNormal"/>
      </w:pPr>
      <w:r w:rsidRPr="00702A51">
        <w:t>We adopt a risk-based approach to approving payments to states and territories and regulation, with a focus on continuous improvement, centralised coordination and building trust.</w:t>
      </w:r>
    </w:p>
    <w:p w14:paraId="503557C9" w14:textId="1F82E604" w:rsidR="00945AF2" w:rsidRPr="00702A51" w:rsidRDefault="00945AF2" w:rsidP="00921469">
      <w:pPr>
        <w:pStyle w:val="Heading4"/>
        <w:spacing w:after="120"/>
      </w:pPr>
      <w:r w:rsidRPr="00702A51">
        <w:lastRenderedPageBreak/>
        <w:t>People, capability and culture</w:t>
      </w:r>
    </w:p>
    <w:tbl>
      <w:tblPr>
        <w:tblW w:w="9356" w:type="dxa"/>
        <w:tblLayout w:type="fixed"/>
        <w:tblCellMar>
          <w:top w:w="57" w:type="dxa"/>
          <w:left w:w="113" w:type="dxa"/>
          <w:bottom w:w="57" w:type="dxa"/>
          <w:right w:w="113" w:type="dxa"/>
        </w:tblCellMar>
        <w:tblLook w:val="01E0" w:firstRow="1" w:lastRow="1" w:firstColumn="1" w:lastColumn="1" w:noHBand="0" w:noVBand="0"/>
      </w:tblPr>
      <w:tblGrid>
        <w:gridCol w:w="9356"/>
      </w:tblGrid>
      <w:tr w:rsidR="00945AF2" w:rsidRPr="00702A51" w14:paraId="1DE17A2B" w14:textId="77777777" w:rsidTr="006C3A97">
        <w:tc>
          <w:tcPr>
            <w:tcW w:w="9356" w:type="dxa"/>
            <w:shd w:val="clear" w:color="auto" w:fill="E8F0FC" w:themeFill="accent5" w:themeFillTint="33"/>
          </w:tcPr>
          <w:p w14:paraId="29758E51" w14:textId="77777777" w:rsidR="00945AF2" w:rsidRPr="00702A51" w:rsidRDefault="00945AF2" w:rsidP="00921469">
            <w:pPr>
              <w:pStyle w:val="TableColumnHeadingLeft"/>
            </w:pPr>
            <w:r w:rsidRPr="00702A51">
              <w:t>Risks</w:t>
            </w:r>
          </w:p>
        </w:tc>
      </w:tr>
      <w:tr w:rsidR="00945AF2" w:rsidRPr="00702A51" w14:paraId="3B41CFE5" w14:textId="77777777" w:rsidTr="006C3A97">
        <w:tc>
          <w:tcPr>
            <w:tcW w:w="9356" w:type="dxa"/>
            <w:tcBorders>
              <w:bottom w:val="single" w:sz="4" w:space="0" w:color="D6D6D6" w:themeColor="background2" w:themeShade="E6"/>
            </w:tcBorders>
          </w:tcPr>
          <w:p w14:paraId="6E1874B2" w14:textId="77777777" w:rsidR="00945AF2" w:rsidRPr="00702A51" w:rsidRDefault="00945AF2" w:rsidP="0075541D">
            <w:pPr>
              <w:pStyle w:val="TableTextLeft"/>
              <w:ind w:left="720" w:hanging="720"/>
            </w:pPr>
            <w:r w:rsidRPr="00702A51">
              <w:t>7.</w:t>
            </w:r>
            <w:r w:rsidRPr="00702A51">
              <w:tab/>
              <w:t>We do not sustain and embed a culture that promotes health, safety, wellbeing, inclusion, diversity and integrity, and we do not attract, retain, continually develop and fully utilise the potential of our staff, including future leaders.</w:t>
            </w:r>
          </w:p>
        </w:tc>
      </w:tr>
      <w:tr w:rsidR="00945AF2" w:rsidRPr="00702A51" w14:paraId="05C9D058" w14:textId="77777777" w:rsidTr="006C3A97">
        <w:tc>
          <w:tcPr>
            <w:tcW w:w="9356" w:type="dxa"/>
            <w:tcBorders>
              <w:top w:val="single" w:sz="4" w:space="0" w:color="D6D6D6" w:themeColor="background2" w:themeShade="E6"/>
              <w:bottom w:val="single" w:sz="8" w:space="0" w:color="D6D6D6" w:themeColor="background2" w:themeShade="E6"/>
            </w:tcBorders>
          </w:tcPr>
          <w:p w14:paraId="66D14826" w14:textId="77777777" w:rsidR="00945AF2" w:rsidRPr="00702A51" w:rsidDel="005856D3" w:rsidRDefault="00945AF2" w:rsidP="0075541D">
            <w:pPr>
              <w:pStyle w:val="TableTextLeft"/>
              <w:ind w:left="720" w:hanging="720"/>
            </w:pPr>
            <w:r w:rsidRPr="00702A51">
              <w:t>8.</w:t>
            </w:r>
            <w:r w:rsidRPr="00702A51">
              <w:tab/>
              <w:t>We do not adequately invest in our ICT platforms and capability, impacting our ability to protect Treasury's digital assets and evolve and transform our digital solutions and capability, resulting in reduced operational resilience, unmet business needs and elevated cyber security risks.</w:t>
            </w:r>
          </w:p>
        </w:tc>
      </w:tr>
    </w:tbl>
    <w:p w14:paraId="5F88B599" w14:textId="77777777" w:rsidR="009F28BC" w:rsidRPr="00702A51" w:rsidRDefault="009F28BC" w:rsidP="006C3A97">
      <w:pPr>
        <w:pStyle w:val="Heading5"/>
      </w:pPr>
      <w:r w:rsidRPr="00702A51">
        <w:t>Risk management strategies</w:t>
      </w:r>
    </w:p>
    <w:p w14:paraId="1AAB9430" w14:textId="77777777" w:rsidR="009F28BC" w:rsidRPr="00702A51" w:rsidRDefault="009F28BC" w:rsidP="009F28BC">
      <w:r w:rsidRPr="00702A51">
        <w:t>Through our people initiatives and priorities, we embed appropriate behaviours, leadership expectations and responsibilities. Through our contemporary workplace strategies, policies and procedures; we provide a safe environment where inclusion, diversity, wellbeing, and continual learning is encouraged and supported at all levels.</w:t>
      </w:r>
    </w:p>
    <w:p w14:paraId="4360B49A" w14:textId="77777777" w:rsidR="009F28BC" w:rsidRPr="00702A51" w:rsidRDefault="009F28BC" w:rsidP="009F28BC">
      <w:r w:rsidRPr="00702A51">
        <w:t xml:space="preserve">Our Digital and Cyber Security Strategy outlines our direction in digital and cyber security. </w:t>
      </w:r>
    </w:p>
    <w:p w14:paraId="6FFD5681" w14:textId="77777777" w:rsidR="009F28BC" w:rsidRPr="00702A51" w:rsidRDefault="009F28BC" w:rsidP="009F28BC">
      <w:r w:rsidRPr="00702A51">
        <w:t xml:space="preserve">We leverage emerging technologies to transform how we work and deliver value, while also embedding security into every layer of the digital environment. </w:t>
      </w:r>
    </w:p>
    <w:p w14:paraId="0685FF9A" w14:textId="64EC758B" w:rsidR="009F28BC" w:rsidRPr="00702A51" w:rsidRDefault="009F28BC" w:rsidP="009F28BC">
      <w:r w:rsidRPr="00702A51">
        <w:t>We continuously maintain, improve and evolve the department’s digital solutions, services, capabilities, and underpinning technology estate to support operational resilience and meet changing business needs.</w:t>
      </w:r>
    </w:p>
    <w:p w14:paraId="5778703E" w14:textId="346AF6AC" w:rsidR="00FF708F" w:rsidRPr="00702A51" w:rsidRDefault="00FF708F" w:rsidP="00FC6D9A">
      <w:pPr>
        <w:spacing w:before="0" w:after="160" w:line="259" w:lineRule="auto"/>
        <w:rPr>
          <w:rFonts w:eastAsia="Calibri Light"/>
          <w:lang w:val="en-US" w:eastAsia="en-US"/>
        </w:rPr>
      </w:pPr>
      <w:r w:rsidRPr="00702A51">
        <w:br w:type="page"/>
      </w:r>
    </w:p>
    <w:p w14:paraId="0D7D9751" w14:textId="092185D7" w:rsidR="00C401F2" w:rsidRPr="00702A51" w:rsidRDefault="00F5138C" w:rsidP="00B67763">
      <w:pPr>
        <w:pStyle w:val="Heading2"/>
      </w:pPr>
      <w:bookmarkStart w:id="45" w:name="_Toc237339147"/>
      <w:r w:rsidRPr="00702A51">
        <w:lastRenderedPageBreak/>
        <w:t>Governance</w:t>
      </w:r>
      <w:bookmarkEnd w:id="43"/>
      <w:bookmarkEnd w:id="45"/>
    </w:p>
    <w:p w14:paraId="5FC789D3" w14:textId="11CB51C9" w:rsidR="008E43AA" w:rsidRPr="00702A51" w:rsidRDefault="00F5138C" w:rsidP="003525D5">
      <w:r w:rsidRPr="00702A51">
        <w:t xml:space="preserve">An impactful and efficient governance </w:t>
      </w:r>
      <w:bookmarkEnd w:id="44"/>
      <w:r w:rsidRPr="00702A51">
        <w:t xml:space="preserve">structure enables Treasury to achieve </w:t>
      </w:r>
      <w:r w:rsidR="00E3343D" w:rsidRPr="00702A51">
        <w:t xml:space="preserve">our </w:t>
      </w:r>
      <w:r w:rsidRPr="00702A51">
        <w:t>purpose and meet our performance objectives.</w:t>
      </w:r>
    </w:p>
    <w:p w14:paraId="03ACD163" w14:textId="5CF76828" w:rsidR="00E842EA" w:rsidRPr="00702A51" w:rsidRDefault="00F5138C" w:rsidP="00A724BD">
      <w:r w:rsidRPr="00702A51">
        <w:t xml:space="preserve">Our enterprise governance committees provide transparency, direction and oversight of risks and complex strategic and operational matters that affect Treasury. </w:t>
      </w:r>
    </w:p>
    <w:p w14:paraId="085AA4FF" w14:textId="05E41DC3" w:rsidR="00A724BD" w:rsidRPr="00702A51" w:rsidRDefault="00E842EA" w:rsidP="00A724BD">
      <w:r w:rsidRPr="00702A51">
        <w:t xml:space="preserve">In 2026, Treasury refreshed </w:t>
      </w:r>
      <w:r w:rsidR="0097026E" w:rsidRPr="00702A51">
        <w:t>the</w:t>
      </w:r>
      <w:r w:rsidRPr="00702A51">
        <w:t xml:space="preserve"> governance committee structure</w:t>
      </w:r>
      <w:r w:rsidR="009F7B39" w:rsidRPr="00702A51">
        <w:t xml:space="preserve"> </w:t>
      </w:r>
      <w:r w:rsidR="002C09C6" w:rsidRPr="00702A51">
        <w:t xml:space="preserve">to </w:t>
      </w:r>
      <w:r w:rsidR="004D1EBB" w:rsidRPr="00702A51">
        <w:t xml:space="preserve">support </w:t>
      </w:r>
      <w:r w:rsidR="009F7B39" w:rsidRPr="00702A51">
        <w:t>effective oversight</w:t>
      </w:r>
      <w:r w:rsidR="004D1EBB" w:rsidRPr="00702A51">
        <w:t xml:space="preserve"> by management</w:t>
      </w:r>
      <w:r w:rsidR="009F7B39" w:rsidRPr="00702A51">
        <w:t xml:space="preserve">. </w:t>
      </w:r>
      <w:r w:rsidR="00FC14A4" w:rsidRPr="00702A51">
        <w:t>In 202</w:t>
      </w:r>
      <w:r w:rsidR="007C264A" w:rsidRPr="00702A51">
        <w:t>6</w:t>
      </w:r>
      <w:r w:rsidR="00FC14A4" w:rsidRPr="00702A51">
        <w:t>–2</w:t>
      </w:r>
      <w:r w:rsidR="007C264A" w:rsidRPr="00702A51">
        <w:t>7</w:t>
      </w:r>
      <w:r w:rsidR="00FC14A4" w:rsidRPr="00702A51">
        <w:t xml:space="preserve">, we will continue to </w:t>
      </w:r>
      <w:r w:rsidR="002C09C6" w:rsidRPr="00702A51">
        <w:t xml:space="preserve">strengthen </w:t>
      </w:r>
      <w:r w:rsidR="004D1EBB" w:rsidRPr="00702A51">
        <w:t>our</w:t>
      </w:r>
      <w:r w:rsidR="002C09C6" w:rsidRPr="00702A51">
        <w:t xml:space="preserve"> governance arrangements, including to</w:t>
      </w:r>
      <w:r w:rsidR="006C3A97" w:rsidRPr="00702A51">
        <w:t> </w:t>
      </w:r>
      <w:r w:rsidR="002C09C6" w:rsidRPr="00702A51">
        <w:t xml:space="preserve">address the opportunities and challenges </w:t>
      </w:r>
      <w:r w:rsidR="004D1EBB" w:rsidRPr="00702A51">
        <w:t xml:space="preserve">arising from </w:t>
      </w:r>
      <w:r w:rsidR="00AC0A1E" w:rsidRPr="00702A51">
        <w:t>AI</w:t>
      </w:r>
      <w:r w:rsidR="004D1EBB" w:rsidRPr="00702A51">
        <w:t>, c</w:t>
      </w:r>
      <w:r w:rsidR="002C09C6" w:rsidRPr="00702A51">
        <w:t xml:space="preserve">limate change </w:t>
      </w:r>
      <w:r w:rsidR="004D1EBB" w:rsidRPr="00702A51">
        <w:t>and</w:t>
      </w:r>
      <w:r w:rsidR="002C09C6" w:rsidRPr="00702A51">
        <w:t xml:space="preserve"> the security environment.</w:t>
      </w:r>
    </w:p>
    <w:p w14:paraId="69182D73" w14:textId="7E36DB1E" w:rsidR="00DF00AB" w:rsidRPr="00702A51" w:rsidRDefault="00F5138C" w:rsidP="00CB102A">
      <w:pPr>
        <w:pStyle w:val="ChartMainHeading"/>
      </w:pPr>
      <w:bookmarkStart w:id="46" w:name="_Toc203042648"/>
      <w:r w:rsidRPr="00702A51">
        <w:t xml:space="preserve">Figure </w:t>
      </w:r>
      <w:r w:rsidR="008B3E53" w:rsidRPr="00702A51">
        <w:t>2</w:t>
      </w:r>
      <w:r w:rsidRPr="00702A51">
        <w:t xml:space="preserve"> – Treasury</w:t>
      </w:r>
      <w:r w:rsidR="006225C6" w:rsidRPr="00702A51">
        <w:t>’</w:t>
      </w:r>
      <w:r w:rsidRPr="00702A51">
        <w:t xml:space="preserve">s </w:t>
      </w:r>
      <w:r w:rsidR="00ED668A" w:rsidRPr="00702A51">
        <w:t>g</w:t>
      </w:r>
      <w:r w:rsidRPr="00702A51">
        <w:t xml:space="preserve">overnance </w:t>
      </w:r>
      <w:r w:rsidR="00ED668A" w:rsidRPr="00702A51">
        <w:t>c</w:t>
      </w:r>
      <w:r w:rsidRPr="00702A51">
        <w:t>ommittee structure</w:t>
      </w:r>
      <w:bookmarkStart w:id="47" w:name="_Hlk103776681"/>
      <w:bookmarkEnd w:id="46"/>
    </w:p>
    <w:p w14:paraId="303C3CB1" w14:textId="77777777" w:rsidR="006225C6" w:rsidRPr="00702A51" w:rsidRDefault="006225C6" w:rsidP="006225C6">
      <w:pPr>
        <w:pStyle w:val="SingleParagraph"/>
      </w:pPr>
    </w:p>
    <w:p w14:paraId="7D8F0C9D" w14:textId="77777777" w:rsidR="00C27E0A" w:rsidRPr="00702A51" w:rsidRDefault="00E842EA" w:rsidP="00C27E0A">
      <w:pPr>
        <w:pStyle w:val="ChartGraphic"/>
      </w:pPr>
      <w:r w:rsidRPr="00702A51">
        <w:rPr>
          <w:noProof/>
        </w:rPr>
        <w:drawing>
          <wp:inline distT="0" distB="0" distL="0" distR="0" wp14:anchorId="25F3F75B" wp14:editId="39898A83">
            <wp:extent cx="5670645" cy="3573971"/>
            <wp:effectExtent l="0" t="0" r="6350" b="7620"/>
            <wp:docPr id="237726916" name="Picture 2" descr="This diagram shows the structure of Treasury’s governance committees. The Audit and Risk Committee and Executive Board report to the Secretary (Accountable Authority). The Financial Statements Subcommittee reports to the Audit and Risk Committee. The People and Inclusion Committee and the Delivery Oversight Committee report to the Executiv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26916" name="Picture 2" descr="This diagram shows the structure of Treasury’s governance committees. The Audit and Risk Committee and Executive Board report to the Secretary (Accountable Authority). The Financial Statements Subcommittee reports to the Audit and Risk Committee. The People and Inclusion Committee and the Delivery Oversight Committee report to the Executive Board."/>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678222" cy="3578746"/>
                    </a:xfrm>
                    <a:prstGeom prst="rect">
                      <a:avLst/>
                    </a:prstGeom>
                    <a:noFill/>
                  </pic:spPr>
                </pic:pic>
              </a:graphicData>
            </a:graphic>
          </wp:inline>
        </w:drawing>
      </w:r>
    </w:p>
    <w:p w14:paraId="08636EFB" w14:textId="77777777" w:rsidR="00E842EA" w:rsidRPr="00702A51" w:rsidRDefault="00E842EA" w:rsidP="00C27E0A">
      <w:pPr>
        <w:pStyle w:val="SingleParagraph"/>
      </w:pPr>
    </w:p>
    <w:p w14:paraId="5735AC62" w14:textId="73E3E209" w:rsidR="009F7B39" w:rsidRPr="00702A51" w:rsidRDefault="009F7B39" w:rsidP="003525D5">
      <w:r w:rsidRPr="00702A51">
        <w:t>Information about the role of our governance committees is available in Treasury</w:t>
      </w:r>
      <w:r w:rsidR="007E5411" w:rsidRPr="00702A51">
        <w:t>’s</w:t>
      </w:r>
      <w:r w:rsidRPr="00702A51">
        <w:t xml:space="preserve"> annual report. </w:t>
      </w:r>
    </w:p>
    <w:p w14:paraId="5469EAE9" w14:textId="11EA6258" w:rsidR="0036760D" w:rsidRPr="00702A51" w:rsidRDefault="0036760D" w:rsidP="003525D5">
      <w:r w:rsidRPr="00702A51">
        <w:br w:type="page"/>
      </w:r>
    </w:p>
    <w:p w14:paraId="79ECDB54" w14:textId="138CECC3" w:rsidR="00FE5BBF" w:rsidRPr="00702A51" w:rsidRDefault="00F5138C" w:rsidP="00D058AC">
      <w:pPr>
        <w:pStyle w:val="Heading1"/>
      </w:pPr>
      <w:bookmarkStart w:id="48" w:name="_Toc108517465"/>
      <w:bookmarkStart w:id="49" w:name="_Toc237339148"/>
      <w:bookmarkStart w:id="50" w:name="_Hlk169621216"/>
      <w:bookmarkEnd w:id="47"/>
      <w:r w:rsidRPr="00702A51">
        <w:rPr>
          <w:rStyle w:val="Heading1Char"/>
          <w:b/>
        </w:rPr>
        <w:lastRenderedPageBreak/>
        <w:t>Our approach to performance</w:t>
      </w:r>
      <w:bookmarkEnd w:id="48"/>
      <w:bookmarkEnd w:id="49"/>
    </w:p>
    <w:p w14:paraId="56DABD87" w14:textId="0DFAB58D" w:rsidR="003B30C6" w:rsidRPr="00702A51" w:rsidRDefault="00F5138C" w:rsidP="006B4727">
      <w:bookmarkStart w:id="51" w:name="_Hlk170821564"/>
      <w:r w:rsidRPr="00702A51">
        <w:t xml:space="preserve">The Corporate Plan </w:t>
      </w:r>
      <w:r w:rsidR="002B1B4F" w:rsidRPr="00702A51">
        <w:t>202</w:t>
      </w:r>
      <w:r w:rsidR="007C264A" w:rsidRPr="00702A51">
        <w:t>6</w:t>
      </w:r>
      <w:r w:rsidR="002B1B4F" w:rsidRPr="00702A51">
        <w:t>–2</w:t>
      </w:r>
      <w:r w:rsidR="007C264A" w:rsidRPr="00702A51">
        <w:t>7</w:t>
      </w:r>
      <w:r w:rsidRPr="00702A51">
        <w:t xml:space="preserve"> is Treasury</w:t>
      </w:r>
      <w:r w:rsidR="006225C6" w:rsidRPr="00702A51">
        <w:t>’</w:t>
      </w:r>
      <w:r w:rsidRPr="00702A51">
        <w:t xml:space="preserve">s primary planning document. </w:t>
      </w:r>
    </w:p>
    <w:p w14:paraId="625FE125" w14:textId="01F7DEA3" w:rsidR="00983D3D" w:rsidRPr="00702A51" w:rsidRDefault="00F5138C" w:rsidP="006B4727">
      <w:r w:rsidRPr="00702A51">
        <w:t xml:space="preserve">Treasury </w:t>
      </w:r>
      <w:r w:rsidR="00D26E20" w:rsidRPr="00702A51">
        <w:t xml:space="preserve">continues to </w:t>
      </w:r>
      <w:r w:rsidR="002532F2" w:rsidRPr="00702A51">
        <w:t>improve</w:t>
      </w:r>
      <w:r w:rsidR="00127ED8" w:rsidRPr="00702A51">
        <w:t xml:space="preserve"> </w:t>
      </w:r>
      <w:r w:rsidRPr="00702A51">
        <w:t xml:space="preserve">our performance framework to better reflect </w:t>
      </w:r>
      <w:r w:rsidR="00D26E20" w:rsidRPr="00702A51">
        <w:t xml:space="preserve">what we do and to </w:t>
      </w:r>
      <w:r w:rsidR="00576D48">
        <w:t>explain how we</w:t>
      </w:r>
      <w:r w:rsidR="00AB4343" w:rsidRPr="00702A51">
        <w:t xml:space="preserve"> achiev</w:t>
      </w:r>
      <w:r w:rsidR="005F64F8">
        <w:t>e</w:t>
      </w:r>
      <w:r w:rsidR="00AB4343" w:rsidRPr="00702A51">
        <w:t xml:space="preserve"> our purpose</w:t>
      </w:r>
      <w:r w:rsidRPr="00702A51">
        <w:t xml:space="preserve">. </w:t>
      </w:r>
      <w:r w:rsidR="00983D3D" w:rsidRPr="00702A51">
        <w:t>Treasury reviews the performance framework annually</w:t>
      </w:r>
      <w:r w:rsidR="00AB4343" w:rsidRPr="00702A51">
        <w:t xml:space="preserve"> to assess </w:t>
      </w:r>
      <w:r w:rsidR="00983D3D" w:rsidRPr="00702A51">
        <w:t>completeness.</w:t>
      </w:r>
    </w:p>
    <w:p w14:paraId="5838AD62" w14:textId="1A38FB87" w:rsidR="002532F2" w:rsidRPr="00702A51" w:rsidRDefault="00664992" w:rsidP="006B4727">
      <w:pPr>
        <w:rPr>
          <w:rFonts w:cstheme="minorBidi"/>
        </w:rPr>
      </w:pPr>
      <w:r w:rsidRPr="00702A51">
        <w:rPr>
          <w:rFonts w:cstheme="minorBidi"/>
        </w:rPr>
        <w:t>W</w:t>
      </w:r>
      <w:r w:rsidR="00875EED" w:rsidRPr="00702A51">
        <w:rPr>
          <w:rFonts w:cstheme="minorBidi"/>
        </w:rPr>
        <w:t>e</w:t>
      </w:r>
      <w:r w:rsidR="00127ED8" w:rsidRPr="00702A51">
        <w:rPr>
          <w:rFonts w:cstheme="minorBidi"/>
        </w:rPr>
        <w:t xml:space="preserve"> refine our performance assessment methodologies</w:t>
      </w:r>
      <w:r w:rsidR="002532F2" w:rsidRPr="00702A51">
        <w:rPr>
          <w:rFonts w:cstheme="minorBidi"/>
        </w:rPr>
        <w:t xml:space="preserve"> through each reporting cycle</w:t>
      </w:r>
      <w:r w:rsidR="00AB4343" w:rsidRPr="00702A51">
        <w:rPr>
          <w:rFonts w:cstheme="minorBidi"/>
        </w:rPr>
        <w:t xml:space="preserve"> to improve reporting outcomes</w:t>
      </w:r>
      <w:r w:rsidR="00127ED8" w:rsidRPr="00702A51">
        <w:rPr>
          <w:rFonts w:cstheme="minorBidi"/>
        </w:rPr>
        <w:t xml:space="preserve">. </w:t>
      </w:r>
      <w:r w:rsidR="00AB002B" w:rsidRPr="00702A51">
        <w:rPr>
          <w:rFonts w:cstheme="minorBidi"/>
        </w:rPr>
        <w:t xml:space="preserve">We </w:t>
      </w:r>
      <w:r w:rsidR="00127ED8" w:rsidRPr="00702A51">
        <w:rPr>
          <w:rFonts w:cstheme="minorBidi"/>
        </w:rPr>
        <w:t xml:space="preserve">rely on </w:t>
      </w:r>
      <w:r w:rsidR="00F5138C" w:rsidRPr="00702A51">
        <w:rPr>
          <w:rFonts w:cstheme="minorBidi"/>
        </w:rPr>
        <w:t>existing data sources</w:t>
      </w:r>
      <w:r w:rsidR="00115DBE" w:rsidRPr="00702A51">
        <w:rPr>
          <w:rFonts w:cstheme="minorBidi"/>
        </w:rPr>
        <w:t>, inc</w:t>
      </w:r>
      <w:r w:rsidR="00E3343D" w:rsidRPr="00702A51">
        <w:rPr>
          <w:rFonts w:cstheme="minorBidi"/>
        </w:rPr>
        <w:t>l</w:t>
      </w:r>
      <w:r w:rsidR="00115DBE" w:rsidRPr="00702A51">
        <w:rPr>
          <w:rFonts w:cstheme="minorBidi"/>
        </w:rPr>
        <w:t xml:space="preserve">uding </w:t>
      </w:r>
      <w:r w:rsidR="00F5138C" w:rsidRPr="00702A51">
        <w:rPr>
          <w:rFonts w:cstheme="minorBidi"/>
        </w:rPr>
        <w:t>publicly available</w:t>
      </w:r>
      <w:r w:rsidR="00115DBE" w:rsidRPr="00702A51">
        <w:rPr>
          <w:rFonts w:cstheme="minorBidi"/>
        </w:rPr>
        <w:t xml:space="preserve"> and </w:t>
      </w:r>
      <w:r w:rsidR="000A607A" w:rsidRPr="00702A51">
        <w:rPr>
          <w:rFonts w:cstheme="minorBidi"/>
        </w:rPr>
        <w:t>third</w:t>
      </w:r>
      <w:r w:rsidR="001224C3" w:rsidRPr="00702A51">
        <w:rPr>
          <w:rFonts w:cstheme="minorBidi"/>
        </w:rPr>
        <w:noBreakHyphen/>
      </w:r>
      <w:r w:rsidR="000A607A" w:rsidRPr="00702A51">
        <w:rPr>
          <w:rFonts w:cstheme="minorBidi"/>
        </w:rPr>
        <w:t>party</w:t>
      </w:r>
      <w:r w:rsidR="00F5138C" w:rsidRPr="00702A51">
        <w:rPr>
          <w:rFonts w:cstheme="minorBidi"/>
        </w:rPr>
        <w:t xml:space="preserve">. </w:t>
      </w:r>
      <w:r w:rsidR="007849B3" w:rsidRPr="00702A51">
        <w:rPr>
          <w:rFonts w:cstheme="minorBidi"/>
        </w:rPr>
        <w:t xml:space="preserve">Further insights come from an independent stakeholder survey and structured interviews with Treasury ministers or their </w:t>
      </w:r>
      <w:r w:rsidR="00927FDD" w:rsidRPr="00702A51">
        <w:rPr>
          <w:rFonts w:cstheme="minorBidi"/>
        </w:rPr>
        <w:t>representatives</w:t>
      </w:r>
      <w:r w:rsidR="007849B3" w:rsidRPr="00702A51">
        <w:rPr>
          <w:rFonts w:cstheme="minorBidi"/>
        </w:rPr>
        <w:t xml:space="preserve">. </w:t>
      </w:r>
      <w:r w:rsidR="00F5138C" w:rsidRPr="00702A51">
        <w:rPr>
          <w:rFonts w:cstheme="minorBidi"/>
        </w:rPr>
        <w:t xml:space="preserve">This </w:t>
      </w:r>
      <w:r w:rsidR="00127ED8" w:rsidRPr="00702A51">
        <w:rPr>
          <w:rFonts w:cstheme="minorBidi"/>
        </w:rPr>
        <w:t xml:space="preserve">approach </w:t>
      </w:r>
      <w:r w:rsidR="009B0569" w:rsidRPr="00702A51">
        <w:rPr>
          <w:rFonts w:cstheme="minorBidi"/>
        </w:rPr>
        <w:t>inform</w:t>
      </w:r>
      <w:r w:rsidR="1FDA3BF1" w:rsidRPr="00702A51">
        <w:rPr>
          <w:rFonts w:cstheme="minorBidi"/>
        </w:rPr>
        <w:t>s</w:t>
      </w:r>
      <w:r w:rsidR="009B0569" w:rsidRPr="00702A51">
        <w:rPr>
          <w:rFonts w:cstheme="minorBidi"/>
        </w:rPr>
        <w:t xml:space="preserve"> our decision</w:t>
      </w:r>
      <w:r w:rsidR="00502D94" w:rsidRPr="00702A51">
        <w:rPr>
          <w:rFonts w:cstheme="minorBidi"/>
        </w:rPr>
        <w:t xml:space="preserve"> </w:t>
      </w:r>
      <w:r w:rsidR="009B0569" w:rsidRPr="00702A51">
        <w:rPr>
          <w:rFonts w:cstheme="minorBidi"/>
        </w:rPr>
        <w:t xml:space="preserve">making and </w:t>
      </w:r>
      <w:r w:rsidR="00F5138C" w:rsidRPr="00702A51">
        <w:rPr>
          <w:rFonts w:cstheme="minorBidi"/>
        </w:rPr>
        <w:t>improv</w:t>
      </w:r>
      <w:r w:rsidR="71A2D67C" w:rsidRPr="00702A51">
        <w:rPr>
          <w:rFonts w:cstheme="minorBidi"/>
        </w:rPr>
        <w:t>es</w:t>
      </w:r>
      <w:r w:rsidR="00F5138C" w:rsidRPr="00702A51">
        <w:rPr>
          <w:rFonts w:cstheme="minorBidi"/>
        </w:rPr>
        <w:t xml:space="preserve"> the reliability </w:t>
      </w:r>
      <w:r w:rsidR="003B0EDE" w:rsidRPr="00702A51">
        <w:rPr>
          <w:rFonts w:cstheme="minorBidi"/>
        </w:rPr>
        <w:t xml:space="preserve">and </w:t>
      </w:r>
      <w:r w:rsidR="005613DB" w:rsidRPr="00702A51">
        <w:rPr>
          <w:rFonts w:cstheme="minorBidi"/>
        </w:rPr>
        <w:t>our</w:t>
      </w:r>
      <w:r w:rsidR="003B0EDE" w:rsidRPr="00702A51">
        <w:rPr>
          <w:rFonts w:cstheme="minorBidi"/>
        </w:rPr>
        <w:t xml:space="preserve"> ability to verify</w:t>
      </w:r>
      <w:r w:rsidR="00F5138C" w:rsidRPr="00702A51">
        <w:rPr>
          <w:rFonts w:cstheme="minorBidi"/>
        </w:rPr>
        <w:t xml:space="preserve"> performance reporting over time.</w:t>
      </w:r>
    </w:p>
    <w:p w14:paraId="1194AF3D" w14:textId="7C1E666C" w:rsidR="00E54CC9" w:rsidRPr="00702A51" w:rsidRDefault="00E54CC9" w:rsidP="00E54CC9">
      <w:pPr>
        <w:rPr>
          <w:rFonts w:cstheme="minorBidi"/>
        </w:rPr>
      </w:pPr>
      <w:r w:rsidRPr="00702A51">
        <w:rPr>
          <w:rFonts w:cstheme="minorBidi"/>
        </w:rPr>
        <w:t>Treasury has introduced a new performance measure for 2026</w:t>
      </w:r>
      <w:r w:rsidRPr="00702A51">
        <w:rPr>
          <w:iCs/>
          <w:szCs w:val="22"/>
        </w:rPr>
        <w:t xml:space="preserve">–27 </w:t>
      </w:r>
      <w:r w:rsidRPr="00702A51">
        <w:rPr>
          <w:rFonts w:cstheme="minorBidi"/>
        </w:rPr>
        <w:t>and removed the measure for the delivery of the legislative program from the performance framework. The new measure provides accountability on the government’s priority to improve housing supply. It has been tested through internal reporting and audit to meet the requirements of the Public Governance, Performance and Accountability Rule 2014.</w:t>
      </w:r>
    </w:p>
    <w:p w14:paraId="10136AF0" w14:textId="507EEEB2" w:rsidR="00E54CC9" w:rsidRPr="00702A51" w:rsidRDefault="00E54CC9" w:rsidP="00E54CC9">
      <w:pPr>
        <w:rPr>
          <w:rFonts w:cstheme="minorBidi"/>
        </w:rPr>
      </w:pPr>
      <w:r w:rsidRPr="00702A51">
        <w:rPr>
          <w:szCs w:val="22"/>
        </w:rPr>
        <w:t xml:space="preserve">Treasury is revising the performance measure for commercial foreign investment proposals in response to the </w:t>
      </w:r>
      <w:r w:rsidRPr="00702A51">
        <w:rPr>
          <w:rFonts w:cstheme="minorBidi"/>
        </w:rPr>
        <w:t>government’s announced changes to Australia’s foreign investment framework. The</w:t>
      </w:r>
      <w:r w:rsidR="0094291A" w:rsidRPr="00702A51">
        <w:rPr>
          <w:rFonts w:cstheme="minorBidi"/>
        </w:rPr>
        <w:t> </w:t>
      </w:r>
      <w:r w:rsidRPr="00702A51">
        <w:rPr>
          <w:rFonts w:cstheme="minorBidi"/>
        </w:rPr>
        <w:t xml:space="preserve">new performance measure will be reported in the </w:t>
      </w:r>
      <w:r w:rsidR="00447E6F" w:rsidRPr="00702A51">
        <w:rPr>
          <w:rFonts w:cstheme="minorBidi"/>
        </w:rPr>
        <w:t>a</w:t>
      </w:r>
      <w:r w:rsidRPr="00702A51">
        <w:rPr>
          <w:rFonts w:cstheme="minorBidi"/>
        </w:rPr>
        <w:t xml:space="preserve">nnual </w:t>
      </w:r>
      <w:r w:rsidR="00447E6F" w:rsidRPr="00702A51">
        <w:rPr>
          <w:rFonts w:cstheme="minorBidi"/>
        </w:rPr>
        <w:t>p</w:t>
      </w:r>
      <w:r w:rsidRPr="00702A51">
        <w:rPr>
          <w:rFonts w:cstheme="minorBidi"/>
        </w:rPr>
        <w:t xml:space="preserve">erformance statements </w:t>
      </w:r>
      <w:r w:rsidRPr="00702A51">
        <w:rPr>
          <w:szCs w:val="22"/>
        </w:rPr>
        <w:t>2026</w:t>
      </w:r>
      <w:r w:rsidRPr="00702A51">
        <w:rPr>
          <w:iCs/>
          <w:szCs w:val="22"/>
        </w:rPr>
        <w:t>–</w:t>
      </w:r>
      <w:r w:rsidRPr="00702A51">
        <w:rPr>
          <w:szCs w:val="22"/>
        </w:rPr>
        <w:t>27.</w:t>
      </w:r>
    </w:p>
    <w:p w14:paraId="4FABAEEE" w14:textId="2E9D00DF" w:rsidR="00CB5BA9" w:rsidRPr="00702A51" w:rsidRDefault="00F5138C" w:rsidP="006B4727">
      <w:r w:rsidRPr="00702A51">
        <w:t>Treasury</w:t>
      </w:r>
      <w:r w:rsidR="006225C6" w:rsidRPr="00702A51">
        <w:t>’</w:t>
      </w:r>
      <w:r w:rsidR="00C0683C" w:rsidRPr="00702A51">
        <w:t>s</w:t>
      </w:r>
      <w:r w:rsidRPr="00702A51">
        <w:t xml:space="preserve"> </w:t>
      </w:r>
      <w:r w:rsidR="004C38AC" w:rsidRPr="00702A51">
        <w:t xml:space="preserve">foreign investment framework </w:t>
      </w:r>
      <w:r w:rsidR="00C0683C" w:rsidRPr="00702A51">
        <w:t xml:space="preserve">and Payment Times Reporting Scheme </w:t>
      </w:r>
      <w:r w:rsidR="00983D3D" w:rsidRPr="00702A51">
        <w:t>are included in</w:t>
      </w:r>
      <w:r w:rsidR="00C0683C" w:rsidRPr="00702A51">
        <w:t xml:space="preserve"> the Corporate Plan in accordance with the </w:t>
      </w:r>
      <w:r w:rsidR="004C15DC" w:rsidRPr="00702A51">
        <w:t>official guidance issued by the Department of</w:t>
      </w:r>
      <w:r w:rsidR="00793D6D" w:rsidRPr="00702A51">
        <w:t> </w:t>
      </w:r>
      <w:r w:rsidR="004C15DC" w:rsidRPr="00702A51">
        <w:t xml:space="preserve">Finance on </w:t>
      </w:r>
      <w:hyperlink r:id="rId23" w:history="1">
        <w:r w:rsidR="004C15DC" w:rsidRPr="00702A51">
          <w:rPr>
            <w:rStyle w:val="Hyperlink"/>
          </w:rPr>
          <w:t>Regulator Performance</w:t>
        </w:r>
      </w:hyperlink>
      <w:r w:rsidR="00C0683C" w:rsidRPr="00702A51">
        <w:t xml:space="preserve">. </w:t>
      </w:r>
      <w:r w:rsidR="006A5AC7" w:rsidRPr="00702A51">
        <w:t xml:space="preserve">The Ministerial Statement of Expectations and the Regulator Statement of Intent for the Payment Times Reporting Scheme </w:t>
      </w:r>
      <w:r w:rsidR="008F69C7" w:rsidRPr="00702A51">
        <w:t xml:space="preserve">are </w:t>
      </w:r>
      <w:r w:rsidR="006A5AC7" w:rsidRPr="00702A51">
        <w:t>available on the regulator</w:t>
      </w:r>
      <w:r w:rsidR="006225C6" w:rsidRPr="00702A51">
        <w:t>’</w:t>
      </w:r>
      <w:r w:rsidR="006A5AC7" w:rsidRPr="00702A51">
        <w:t xml:space="preserve">s website: </w:t>
      </w:r>
      <w:hyperlink r:id="rId24" w:history="1">
        <w:r w:rsidR="00812649" w:rsidRPr="00702A51">
          <w:rPr>
            <w:rStyle w:val="Hyperlink"/>
            <w:rFonts w:cstheme="minorHAnsi"/>
          </w:rPr>
          <w:t>paymenttimes.gov.au</w:t>
        </w:r>
      </w:hyperlink>
      <w:r w:rsidR="00812649" w:rsidRPr="00702A51">
        <w:t>.</w:t>
      </w:r>
    </w:p>
    <w:bookmarkEnd w:id="51"/>
    <w:p w14:paraId="1D386B97" w14:textId="77777777" w:rsidR="00F3447F" w:rsidRPr="00702A51" w:rsidRDefault="00F3447F" w:rsidP="00F3447F">
      <w:r w:rsidRPr="00702A51">
        <w:br w:type="page"/>
      </w:r>
    </w:p>
    <w:p w14:paraId="7E77E0B8" w14:textId="613A0411" w:rsidR="004F5E5D" w:rsidRPr="00702A51" w:rsidRDefault="004F5E5D" w:rsidP="0085447A">
      <w:pPr>
        <w:pStyle w:val="Heading2"/>
      </w:pPr>
      <w:bookmarkStart w:id="52" w:name="_Toc237339149"/>
      <w:r w:rsidRPr="00702A51">
        <w:lastRenderedPageBreak/>
        <w:t xml:space="preserve">Key </w:t>
      </w:r>
      <w:r w:rsidR="001E70B9" w:rsidRPr="00702A51">
        <w:t>a</w:t>
      </w:r>
      <w:r w:rsidRPr="00702A51">
        <w:t>ctivity 1:</w:t>
      </w:r>
      <w:r w:rsidR="00FC310E" w:rsidRPr="00702A51">
        <w:t xml:space="preserve"> Treasury</w:t>
      </w:r>
      <w:r w:rsidR="006225C6" w:rsidRPr="00702A51">
        <w:t>’</w:t>
      </w:r>
      <w:r w:rsidR="00FC310E" w:rsidRPr="00702A51">
        <w:t>s</w:t>
      </w:r>
      <w:r w:rsidR="00C8029F" w:rsidRPr="00702A51">
        <w:t xml:space="preserve"> policy advice and analysis is impactful, informed and influential</w:t>
      </w:r>
      <w:bookmarkEnd w:id="52"/>
      <w:r w:rsidR="00C8029F" w:rsidRPr="00702A51">
        <w:t xml:space="preserve"> </w:t>
      </w:r>
    </w:p>
    <w:p w14:paraId="3BBC8CD9" w14:textId="77777777" w:rsidR="0027032F" w:rsidRPr="00702A51" w:rsidRDefault="0027032F" w:rsidP="0085447A">
      <w:pPr>
        <w:pStyle w:val="Heading3"/>
      </w:pPr>
      <w:r w:rsidRPr="00702A51">
        <w:t>Intended result 1.1</w:t>
      </w:r>
    </w:p>
    <w:p w14:paraId="296207AF" w14:textId="0185FAD6" w:rsidR="0085447A" w:rsidRPr="00702A51" w:rsidRDefault="0027032F" w:rsidP="00AB74ED">
      <w:pPr>
        <w:rPr>
          <w:rFonts w:eastAsia="Calibri"/>
          <w:spacing w:val="-2"/>
          <w:lang w:eastAsia="en-US"/>
        </w:rPr>
      </w:pPr>
      <w:bookmarkStart w:id="53" w:name="_Hlk206406995"/>
      <w:r w:rsidRPr="00702A51">
        <w:rPr>
          <w:rFonts w:eastAsia="Calibri"/>
          <w:spacing w:val="-2"/>
          <w:lang w:eastAsia="en-US"/>
        </w:rPr>
        <w:t>Treasury</w:t>
      </w:r>
      <w:r w:rsidR="006225C6" w:rsidRPr="00702A51">
        <w:rPr>
          <w:rFonts w:eastAsia="Calibri"/>
          <w:spacing w:val="-2"/>
          <w:lang w:eastAsia="en-US"/>
        </w:rPr>
        <w:t>’</w:t>
      </w:r>
      <w:r w:rsidRPr="00702A51">
        <w:rPr>
          <w:rFonts w:eastAsia="Calibri"/>
          <w:spacing w:val="-2"/>
          <w:lang w:eastAsia="en-US"/>
        </w:rPr>
        <w:t>s policy advice</w:t>
      </w:r>
      <w:r w:rsidR="004E2064" w:rsidRPr="00702A51">
        <w:rPr>
          <w:rFonts w:asciiTheme="minorHAnsi" w:eastAsiaTheme="minorHAnsi" w:hAnsiTheme="minorHAnsi" w:cstheme="minorBidi"/>
          <w:kern w:val="2"/>
          <w:sz w:val="24"/>
          <w:szCs w:val="24"/>
          <w:lang w:eastAsia="en-US"/>
          <w14:ligatures w14:val="standardContextual"/>
        </w:rPr>
        <w:t xml:space="preserve"> </w:t>
      </w:r>
      <w:r w:rsidR="004E2064" w:rsidRPr="00702A51">
        <w:rPr>
          <w:rFonts w:eastAsia="Calibri"/>
          <w:spacing w:val="-2"/>
          <w:lang w:eastAsia="en-US"/>
        </w:rPr>
        <w:t>on fiscal, macroeconomic, tax, markets</w:t>
      </w:r>
      <w:r w:rsidR="00E0568E" w:rsidRPr="00702A51">
        <w:rPr>
          <w:rFonts w:eastAsia="Calibri"/>
          <w:spacing w:val="-2"/>
          <w:lang w:eastAsia="en-US"/>
        </w:rPr>
        <w:t>, housing, small business</w:t>
      </w:r>
      <w:r w:rsidR="004E2064" w:rsidRPr="00702A51">
        <w:rPr>
          <w:rFonts w:eastAsia="Calibri"/>
          <w:spacing w:val="-2"/>
          <w:lang w:eastAsia="en-US"/>
        </w:rPr>
        <w:t xml:space="preserve"> and regulatory</w:t>
      </w:r>
      <w:r w:rsidR="00516909">
        <w:rPr>
          <w:rFonts w:eastAsia="Calibri"/>
          <w:spacing w:val="-2"/>
          <w:lang w:eastAsia="en-US"/>
        </w:rPr>
        <w:t> </w:t>
      </w:r>
      <w:r w:rsidR="004E2064" w:rsidRPr="00702A51">
        <w:rPr>
          <w:rFonts w:eastAsia="Calibri"/>
          <w:spacing w:val="-2"/>
          <w:lang w:eastAsia="en-US"/>
        </w:rPr>
        <w:t>issues reflects a whole</w:t>
      </w:r>
      <w:r w:rsidR="0094291A" w:rsidRPr="00702A51">
        <w:rPr>
          <w:rFonts w:eastAsia="Calibri"/>
          <w:spacing w:val="-2"/>
          <w:lang w:eastAsia="en-US"/>
        </w:rPr>
        <w:t> </w:t>
      </w:r>
      <w:r w:rsidR="004E2064" w:rsidRPr="00702A51">
        <w:rPr>
          <w:rFonts w:eastAsia="Calibri"/>
          <w:spacing w:val="-2"/>
          <w:lang w:eastAsia="en-US"/>
        </w:rPr>
        <w:t>of</w:t>
      </w:r>
      <w:r w:rsidR="0094291A" w:rsidRPr="00702A51">
        <w:rPr>
          <w:rFonts w:eastAsia="Calibri"/>
          <w:spacing w:val="-2"/>
          <w:lang w:eastAsia="en-US"/>
        </w:rPr>
        <w:t> </w:t>
      </w:r>
      <w:r w:rsidR="004E2064" w:rsidRPr="00702A51">
        <w:rPr>
          <w:rFonts w:eastAsia="Calibri"/>
          <w:spacing w:val="-2"/>
          <w:lang w:eastAsia="en-US"/>
        </w:rPr>
        <w:t>economy view and supports improved productivity outcomes for the Australian</w:t>
      </w:r>
      <w:r w:rsidR="00987BC5">
        <w:rPr>
          <w:rFonts w:eastAsia="Calibri"/>
          <w:spacing w:val="-2"/>
          <w:lang w:eastAsia="en-US"/>
        </w:rPr>
        <w:t> </w:t>
      </w:r>
      <w:r w:rsidR="004E2064" w:rsidRPr="00702A51">
        <w:rPr>
          <w:rFonts w:eastAsia="Calibri"/>
          <w:spacing w:val="-2"/>
          <w:lang w:eastAsia="en-US"/>
        </w:rPr>
        <w:t>economy.</w:t>
      </w:r>
    </w:p>
    <w:bookmarkEnd w:id="53"/>
    <w:p w14:paraId="39A49FB0" w14:textId="77777777" w:rsidR="00895EF8" w:rsidRPr="00702A51" w:rsidRDefault="00895EF8" w:rsidP="00895EF8">
      <w:pPr>
        <w:pStyle w:val="Heading4"/>
      </w:pPr>
      <w:r w:rsidRPr="00702A51">
        <w:t>Performance measure 1</w:t>
      </w:r>
    </w:p>
    <w:p w14:paraId="251F415D" w14:textId="6E859454" w:rsidR="000E39B4" w:rsidRPr="00702A51" w:rsidRDefault="00895EF8" w:rsidP="003E4EA5">
      <w:pPr>
        <w:pStyle w:val="PeformanceMeasuresNormal"/>
        <w:spacing w:after="240"/>
      </w:pPr>
      <w:r w:rsidRPr="00702A51">
        <w:t>Proportion of Treasury ministers, key government entities and stakeholders that rate Treasury advice</w:t>
      </w:r>
      <w:r w:rsidR="0094291A" w:rsidRPr="00702A51">
        <w:t> </w:t>
      </w:r>
      <w:r w:rsidRPr="00702A51">
        <w:t xml:space="preserve">highly. </w:t>
      </w:r>
      <w:r w:rsidR="003E4EA5" w:rsidRPr="00702A51">
        <w:br/>
      </w:r>
      <w:r w:rsidRPr="00702A51">
        <w:t>(Program 1.1 – Economic Management)</w:t>
      </w:r>
    </w:p>
    <w:tbl>
      <w:tblPr>
        <w:tblStyle w:val="PlainTable2"/>
        <w:tblW w:w="5000" w:type="pct"/>
        <w:tblBorders>
          <w:top w:val="none" w:sz="0" w:space="0" w:color="auto"/>
          <w:bottom w:val="single" w:sz="6" w:space="0" w:color="D6D6D6" w:themeColor="background2" w:themeShade="E6"/>
        </w:tblBorders>
        <w:tblCellMar>
          <w:top w:w="57" w:type="dxa"/>
          <w:bottom w:w="57" w:type="dxa"/>
        </w:tblCellMar>
        <w:tblLook w:val="0620" w:firstRow="1" w:lastRow="0" w:firstColumn="0" w:lastColumn="0" w:noHBand="1" w:noVBand="1"/>
      </w:tblPr>
      <w:tblGrid>
        <w:gridCol w:w="1386"/>
        <w:gridCol w:w="3717"/>
        <w:gridCol w:w="3967"/>
      </w:tblGrid>
      <w:tr w:rsidR="000E39B4" w:rsidRPr="00702A51" w14:paraId="062210B6" w14:textId="77777777" w:rsidTr="0005460F">
        <w:trPr>
          <w:cnfStyle w:val="100000000000" w:firstRow="1" w:lastRow="0" w:firstColumn="0" w:lastColumn="0" w:oddVBand="0" w:evenVBand="0" w:oddHBand="0" w:evenHBand="0" w:firstRowFirstColumn="0" w:firstRowLastColumn="0" w:lastRowFirstColumn="0" w:lastRowLastColumn="0"/>
        </w:trPr>
        <w:tc>
          <w:tcPr>
            <w:tcW w:w="1386" w:type="dxa"/>
            <w:tcBorders>
              <w:bottom w:val="nil"/>
            </w:tcBorders>
            <w:shd w:val="clear" w:color="auto" w:fill="E8F0FC"/>
          </w:tcPr>
          <w:p w14:paraId="740D2894" w14:textId="2D6D3EB3" w:rsidR="000E39B4" w:rsidRPr="00702A51" w:rsidRDefault="00AB000D" w:rsidP="00F42DFB">
            <w:pPr>
              <w:pStyle w:val="TableColumnHeadingLeft"/>
              <w:rPr>
                <w:rFonts w:eastAsia="Calibri"/>
                <w:b/>
              </w:rPr>
            </w:pPr>
            <w:bookmarkStart w:id="54" w:name="_Hlk205903740"/>
            <w:r w:rsidRPr="00702A51">
              <w:rPr>
                <w:rFonts w:eastAsia="Calibri"/>
                <w:b/>
              </w:rPr>
              <w:t>Year</w:t>
            </w:r>
          </w:p>
        </w:tc>
        <w:tc>
          <w:tcPr>
            <w:tcW w:w="3717" w:type="dxa"/>
            <w:tcBorders>
              <w:bottom w:val="nil"/>
            </w:tcBorders>
            <w:shd w:val="clear" w:color="auto" w:fill="E8F0FC"/>
            <w:tcMar>
              <w:right w:w="28" w:type="dxa"/>
            </w:tcMar>
          </w:tcPr>
          <w:p w14:paraId="37DAAD94" w14:textId="18BDDD93" w:rsidR="000E39B4" w:rsidRPr="00702A51" w:rsidRDefault="00AB000D" w:rsidP="00F42DFB">
            <w:pPr>
              <w:pStyle w:val="TableColumnHeadingLeft"/>
              <w:rPr>
                <w:rFonts w:eastAsia="Calibri"/>
                <w:b/>
              </w:rPr>
            </w:pPr>
            <w:r w:rsidRPr="00702A51">
              <w:rPr>
                <w:rFonts w:eastAsia="Calibri"/>
                <w:b/>
              </w:rPr>
              <w:t xml:space="preserve">Target: </w:t>
            </w:r>
            <w:r w:rsidR="000E39B4" w:rsidRPr="00702A51">
              <w:rPr>
                <w:rFonts w:eastAsia="Calibri"/>
                <w:b/>
              </w:rPr>
              <w:t>Ministerial feedback questionnaire</w:t>
            </w:r>
          </w:p>
        </w:tc>
        <w:tc>
          <w:tcPr>
            <w:tcW w:w="3967" w:type="dxa"/>
            <w:tcBorders>
              <w:bottom w:val="nil"/>
            </w:tcBorders>
            <w:shd w:val="clear" w:color="auto" w:fill="E8F0FC"/>
          </w:tcPr>
          <w:p w14:paraId="5B41CB53" w14:textId="1122BC96" w:rsidR="000E39B4" w:rsidRPr="00702A51" w:rsidRDefault="00AB000D" w:rsidP="00F42DFB">
            <w:pPr>
              <w:pStyle w:val="TableColumnHeadingLeft"/>
              <w:rPr>
                <w:rFonts w:eastAsia="Calibri"/>
                <w:b/>
              </w:rPr>
            </w:pPr>
            <w:r w:rsidRPr="00702A51">
              <w:rPr>
                <w:rFonts w:eastAsia="Calibri"/>
                <w:b/>
              </w:rPr>
              <w:t xml:space="preserve">Target: </w:t>
            </w:r>
            <w:r w:rsidR="000E39B4" w:rsidRPr="00702A51">
              <w:rPr>
                <w:rFonts w:eastAsia="Calibri"/>
                <w:b/>
              </w:rPr>
              <w:t>Stakeholder survey</w:t>
            </w:r>
          </w:p>
        </w:tc>
      </w:tr>
      <w:tr w:rsidR="000E39B4" w:rsidRPr="00702A51" w14:paraId="1EFD9B3C" w14:textId="77777777" w:rsidTr="0005460F">
        <w:tc>
          <w:tcPr>
            <w:tcW w:w="1386" w:type="dxa"/>
            <w:tcBorders>
              <w:top w:val="nil"/>
              <w:bottom w:val="single" w:sz="6" w:space="0" w:color="D6D6D6" w:themeColor="background2" w:themeShade="E6"/>
            </w:tcBorders>
          </w:tcPr>
          <w:p w14:paraId="4541BB84" w14:textId="77777777" w:rsidR="000E39B4" w:rsidRPr="00702A51" w:rsidRDefault="000E39B4" w:rsidP="003E4EA5">
            <w:pPr>
              <w:pStyle w:val="TableTextLeft"/>
              <w:rPr>
                <w:rFonts w:eastAsia="Calibri"/>
                <w:b/>
              </w:rPr>
            </w:pPr>
            <w:r w:rsidRPr="00702A51">
              <w:rPr>
                <w:rFonts w:eastAsia="Calibri"/>
                <w:b/>
              </w:rPr>
              <w:t>2026–27</w:t>
            </w:r>
          </w:p>
        </w:tc>
        <w:tc>
          <w:tcPr>
            <w:tcW w:w="3717" w:type="dxa"/>
            <w:tcBorders>
              <w:top w:val="nil"/>
              <w:bottom w:val="single" w:sz="6" w:space="0" w:color="D6D6D6" w:themeColor="background2" w:themeShade="E6"/>
            </w:tcBorders>
          </w:tcPr>
          <w:p w14:paraId="05C3990A" w14:textId="64DFBD96" w:rsidR="000E39B4" w:rsidRPr="00702A51" w:rsidRDefault="005010AF" w:rsidP="004D4BC2">
            <w:pPr>
              <w:pStyle w:val="TableTextLeft"/>
            </w:pPr>
            <w:r w:rsidRPr="00702A51">
              <w:t>87</w:t>
            </w:r>
            <w:r w:rsidR="000E39B4" w:rsidRPr="00702A51">
              <w:t>%</w:t>
            </w:r>
          </w:p>
        </w:tc>
        <w:tc>
          <w:tcPr>
            <w:tcW w:w="3967" w:type="dxa"/>
            <w:tcBorders>
              <w:top w:val="nil"/>
              <w:bottom w:val="single" w:sz="6" w:space="0" w:color="D6D6D6" w:themeColor="background2" w:themeShade="E6"/>
            </w:tcBorders>
          </w:tcPr>
          <w:p w14:paraId="3BD2BF31" w14:textId="2BBF5494" w:rsidR="000E39B4" w:rsidRPr="00702A51" w:rsidRDefault="000E39B4" w:rsidP="004D4BC2">
            <w:pPr>
              <w:pStyle w:val="TableTextLeft"/>
            </w:pPr>
            <w:r w:rsidRPr="00702A51">
              <w:t>8</w:t>
            </w:r>
            <w:r w:rsidR="00A85705" w:rsidRPr="00702A51">
              <w:t>0</w:t>
            </w:r>
            <w:r w:rsidRPr="00702A51">
              <w:t>%</w:t>
            </w:r>
          </w:p>
        </w:tc>
      </w:tr>
      <w:tr w:rsidR="000E39B4" w:rsidRPr="00702A51" w14:paraId="01F2C411" w14:textId="77777777" w:rsidTr="0005460F">
        <w:tc>
          <w:tcPr>
            <w:tcW w:w="1386" w:type="dxa"/>
            <w:tcBorders>
              <w:top w:val="single" w:sz="6" w:space="0" w:color="D6D6D6" w:themeColor="background2" w:themeShade="E6"/>
              <w:bottom w:val="single" w:sz="6" w:space="0" w:color="D6D6D6" w:themeColor="background2" w:themeShade="E6"/>
            </w:tcBorders>
          </w:tcPr>
          <w:p w14:paraId="02391DE0" w14:textId="77777777" w:rsidR="000E39B4" w:rsidRPr="00702A51" w:rsidRDefault="000E39B4" w:rsidP="003E4EA5">
            <w:pPr>
              <w:pStyle w:val="TableTextLeft"/>
              <w:rPr>
                <w:rFonts w:eastAsia="Calibri"/>
                <w:b/>
              </w:rPr>
            </w:pPr>
            <w:r w:rsidRPr="00702A51">
              <w:rPr>
                <w:rFonts w:eastAsia="Calibri"/>
                <w:b/>
              </w:rPr>
              <w:t>2027–28</w:t>
            </w:r>
          </w:p>
        </w:tc>
        <w:tc>
          <w:tcPr>
            <w:tcW w:w="3717" w:type="dxa"/>
            <w:tcBorders>
              <w:top w:val="single" w:sz="6" w:space="0" w:color="D6D6D6" w:themeColor="background2" w:themeShade="E6"/>
              <w:bottom w:val="single" w:sz="6" w:space="0" w:color="D6D6D6" w:themeColor="background2" w:themeShade="E6"/>
            </w:tcBorders>
          </w:tcPr>
          <w:p w14:paraId="643BBC04" w14:textId="77777777" w:rsidR="000E39B4" w:rsidRPr="00702A51" w:rsidRDefault="000E39B4" w:rsidP="004D4BC2">
            <w:pPr>
              <w:pStyle w:val="TableTextLeft"/>
            </w:pPr>
            <w:r w:rsidRPr="00702A51">
              <w:t>100%</w:t>
            </w:r>
          </w:p>
        </w:tc>
        <w:tc>
          <w:tcPr>
            <w:tcW w:w="3967" w:type="dxa"/>
            <w:tcBorders>
              <w:top w:val="single" w:sz="6" w:space="0" w:color="D6D6D6" w:themeColor="background2" w:themeShade="E6"/>
              <w:bottom w:val="single" w:sz="6" w:space="0" w:color="D6D6D6" w:themeColor="background2" w:themeShade="E6"/>
            </w:tcBorders>
          </w:tcPr>
          <w:p w14:paraId="62A8D4A6" w14:textId="661C7413" w:rsidR="000E39B4" w:rsidRPr="00702A51" w:rsidRDefault="000E39B4" w:rsidP="004D4BC2">
            <w:pPr>
              <w:pStyle w:val="TableTextLeft"/>
            </w:pPr>
            <w:r w:rsidRPr="00702A51">
              <w:t>8</w:t>
            </w:r>
            <w:r w:rsidR="00A85705" w:rsidRPr="00702A51">
              <w:t>0</w:t>
            </w:r>
            <w:r w:rsidRPr="00702A51">
              <w:t>%</w:t>
            </w:r>
          </w:p>
        </w:tc>
      </w:tr>
      <w:tr w:rsidR="000E39B4" w:rsidRPr="00702A51" w14:paraId="40375C5A" w14:textId="77777777" w:rsidTr="0005460F">
        <w:tc>
          <w:tcPr>
            <w:tcW w:w="1386" w:type="dxa"/>
            <w:tcBorders>
              <w:top w:val="single" w:sz="6" w:space="0" w:color="D6D6D6" w:themeColor="background2" w:themeShade="E6"/>
              <w:bottom w:val="single" w:sz="6" w:space="0" w:color="D6D6D6" w:themeColor="background2" w:themeShade="E6"/>
            </w:tcBorders>
          </w:tcPr>
          <w:p w14:paraId="595878E5" w14:textId="77777777" w:rsidR="000E39B4" w:rsidRPr="00702A51" w:rsidRDefault="000E39B4" w:rsidP="003E4EA5">
            <w:pPr>
              <w:pStyle w:val="TableTextLeft"/>
              <w:rPr>
                <w:rFonts w:eastAsia="Calibri"/>
                <w:b/>
              </w:rPr>
            </w:pPr>
            <w:r w:rsidRPr="00702A51">
              <w:rPr>
                <w:rFonts w:eastAsia="Calibri"/>
                <w:b/>
              </w:rPr>
              <w:t xml:space="preserve">2028–29 </w:t>
            </w:r>
          </w:p>
        </w:tc>
        <w:tc>
          <w:tcPr>
            <w:tcW w:w="3717" w:type="dxa"/>
            <w:tcBorders>
              <w:top w:val="single" w:sz="6" w:space="0" w:color="D6D6D6" w:themeColor="background2" w:themeShade="E6"/>
              <w:bottom w:val="single" w:sz="6" w:space="0" w:color="D6D6D6" w:themeColor="background2" w:themeShade="E6"/>
            </w:tcBorders>
          </w:tcPr>
          <w:p w14:paraId="3222D64A" w14:textId="77777777" w:rsidR="000E39B4" w:rsidRPr="00702A51" w:rsidRDefault="000E39B4" w:rsidP="004D4BC2">
            <w:pPr>
              <w:pStyle w:val="TableTextLeft"/>
            </w:pPr>
            <w:r w:rsidRPr="00702A51">
              <w:t>100%</w:t>
            </w:r>
          </w:p>
        </w:tc>
        <w:tc>
          <w:tcPr>
            <w:tcW w:w="3967" w:type="dxa"/>
            <w:tcBorders>
              <w:top w:val="single" w:sz="6" w:space="0" w:color="D6D6D6" w:themeColor="background2" w:themeShade="E6"/>
              <w:bottom w:val="single" w:sz="6" w:space="0" w:color="D6D6D6" w:themeColor="background2" w:themeShade="E6"/>
            </w:tcBorders>
          </w:tcPr>
          <w:p w14:paraId="7D83B157" w14:textId="50B85221" w:rsidR="000E39B4" w:rsidRPr="00702A51" w:rsidRDefault="00290A7C" w:rsidP="004D4BC2">
            <w:pPr>
              <w:pStyle w:val="TableTextLeft"/>
            </w:pPr>
            <w:r w:rsidRPr="00702A51">
              <w:t>80</w:t>
            </w:r>
            <w:r w:rsidR="000E39B4" w:rsidRPr="00702A51">
              <w:t>%</w:t>
            </w:r>
          </w:p>
        </w:tc>
      </w:tr>
      <w:tr w:rsidR="00957123" w:rsidRPr="00702A51" w14:paraId="1AA3B795" w14:textId="77777777" w:rsidTr="0005460F">
        <w:tc>
          <w:tcPr>
            <w:tcW w:w="1386" w:type="dxa"/>
            <w:tcBorders>
              <w:top w:val="single" w:sz="6" w:space="0" w:color="D6D6D6" w:themeColor="background2" w:themeShade="E6"/>
              <w:bottom w:val="single" w:sz="6" w:space="0" w:color="D6D6D6" w:themeColor="background2" w:themeShade="E6"/>
            </w:tcBorders>
          </w:tcPr>
          <w:p w14:paraId="50F1381C" w14:textId="2BF079E1" w:rsidR="00957123" w:rsidRPr="00702A51" w:rsidRDefault="008113EB" w:rsidP="003E4EA5">
            <w:pPr>
              <w:pStyle w:val="TableTextLeft"/>
              <w:rPr>
                <w:rFonts w:eastAsia="Calibri"/>
                <w:b/>
              </w:rPr>
            </w:pPr>
            <w:r w:rsidRPr="00702A51">
              <w:rPr>
                <w:rFonts w:eastAsia="Calibri"/>
                <w:b/>
              </w:rPr>
              <w:t>2029–30</w:t>
            </w:r>
          </w:p>
        </w:tc>
        <w:tc>
          <w:tcPr>
            <w:tcW w:w="3717" w:type="dxa"/>
            <w:tcBorders>
              <w:top w:val="single" w:sz="6" w:space="0" w:color="D6D6D6" w:themeColor="background2" w:themeShade="E6"/>
              <w:bottom w:val="single" w:sz="6" w:space="0" w:color="D6D6D6" w:themeColor="background2" w:themeShade="E6"/>
            </w:tcBorders>
          </w:tcPr>
          <w:p w14:paraId="51026E0D" w14:textId="66E72488" w:rsidR="00957123" w:rsidRPr="00702A51" w:rsidRDefault="00E54CC9" w:rsidP="004D4BC2">
            <w:pPr>
              <w:pStyle w:val="TableTextLeft"/>
            </w:pPr>
            <w:r w:rsidRPr="00702A51">
              <w:t>100%</w:t>
            </w:r>
          </w:p>
        </w:tc>
        <w:tc>
          <w:tcPr>
            <w:tcW w:w="3967" w:type="dxa"/>
            <w:tcBorders>
              <w:top w:val="single" w:sz="6" w:space="0" w:color="D6D6D6" w:themeColor="background2" w:themeShade="E6"/>
              <w:bottom w:val="single" w:sz="6" w:space="0" w:color="D6D6D6" w:themeColor="background2" w:themeShade="E6"/>
            </w:tcBorders>
          </w:tcPr>
          <w:p w14:paraId="6544C76E" w14:textId="4A339FB8" w:rsidR="00957123" w:rsidRPr="00702A51" w:rsidRDefault="00290A7C" w:rsidP="004D4BC2">
            <w:pPr>
              <w:pStyle w:val="TableTextLeft"/>
            </w:pPr>
            <w:r w:rsidRPr="00702A51">
              <w:t>80</w:t>
            </w:r>
            <w:r w:rsidR="00E54CC9" w:rsidRPr="00702A51">
              <w:t>%</w:t>
            </w:r>
          </w:p>
        </w:tc>
      </w:tr>
    </w:tbl>
    <w:p w14:paraId="5171DDAA" w14:textId="45772B70" w:rsidR="000E7196" w:rsidRPr="00702A51" w:rsidRDefault="000E7196" w:rsidP="003E4EA5">
      <w:pPr>
        <w:pStyle w:val="Heading5"/>
        <w:spacing w:before="240"/>
      </w:pPr>
      <w:bookmarkStart w:id="55" w:name="_Hlk203049002"/>
      <w:bookmarkEnd w:id="54"/>
      <w:r w:rsidRPr="00702A51">
        <w:rPr>
          <w:rFonts w:eastAsia="Calibri"/>
        </w:rPr>
        <w:t>Target rationale</w:t>
      </w:r>
    </w:p>
    <w:p w14:paraId="2C97E8A9" w14:textId="58653620" w:rsidR="000E7196" w:rsidRPr="00702A51" w:rsidRDefault="000E7196" w:rsidP="006F13C2">
      <w:pPr>
        <w:pStyle w:val="PeformanceMeasuresNormal"/>
        <w:rPr>
          <w:rFonts w:eastAsia="Calibri"/>
        </w:rPr>
      </w:pPr>
      <w:r w:rsidRPr="00702A51">
        <w:t xml:space="preserve">Treasury established an 80% target for the ministerial feedback questionnaire and stakeholder survey based on 2021–22 survey results. Treasury increased the targets for the ministerial feedback questionnaire for 2025–26 and forward years to align with the methodology for assessing performance and the prior year performance results. </w:t>
      </w:r>
      <w:r w:rsidRPr="00702A51">
        <w:rPr>
          <w:rFonts w:cstheme="minorHAnsi"/>
          <w:bCs/>
        </w:rPr>
        <w:t xml:space="preserve">Treasury has maintained the targets for the stakeholder survey in </w:t>
      </w:r>
      <w:r w:rsidRPr="00702A51">
        <w:t xml:space="preserve">2026–27 and </w:t>
      </w:r>
      <w:r w:rsidR="0022717C">
        <w:t>the forward years</w:t>
      </w:r>
      <w:r w:rsidRPr="00702A51">
        <w:t xml:space="preserve"> </w:t>
      </w:r>
      <w:r w:rsidRPr="00702A51">
        <w:rPr>
          <w:rFonts w:cstheme="minorHAnsi"/>
          <w:bCs/>
        </w:rPr>
        <w:t>based on the 2025–26 performance results.</w:t>
      </w:r>
      <w:bookmarkStart w:id="56" w:name="_Hlk234233646"/>
      <w:r w:rsidRPr="00702A51">
        <w:rPr>
          <w:rFonts w:eastAsia="Calibri"/>
        </w:rPr>
        <w:t xml:space="preserve"> </w:t>
      </w:r>
    </w:p>
    <w:p w14:paraId="188A30C1" w14:textId="42764256" w:rsidR="000E7196" w:rsidRPr="00702A51" w:rsidRDefault="000E7196" w:rsidP="000E7196">
      <w:pPr>
        <w:pStyle w:val="Heading5"/>
      </w:pPr>
      <w:r w:rsidRPr="00702A51">
        <w:rPr>
          <w:rFonts w:eastAsia="Calibri"/>
        </w:rPr>
        <w:t>Methodology</w:t>
      </w:r>
      <w:bookmarkEnd w:id="56"/>
    </w:p>
    <w:p w14:paraId="51B49997" w14:textId="5DDE1B3F" w:rsidR="000E7196" w:rsidRPr="00702A51" w:rsidRDefault="000E7196" w:rsidP="006F13C2">
      <w:pPr>
        <w:pStyle w:val="PeformanceMeasuresNormal"/>
        <w:rPr>
          <w:rFonts w:eastAsia="Calibri"/>
        </w:rPr>
      </w:pPr>
      <w:r w:rsidRPr="00702A51">
        <w:t>Independent stakeholder survey with key government entities and stakeholders conducted by a third</w:t>
      </w:r>
      <w:r w:rsidR="00867D5B">
        <w:noBreakHyphen/>
      </w:r>
      <w:r w:rsidRPr="00702A51">
        <w:t>party provider, and structured interviews with Treasury ministers or their representatives. The</w:t>
      </w:r>
      <w:r w:rsidR="00075058" w:rsidRPr="00702A51">
        <w:t> </w:t>
      </w:r>
      <w:r w:rsidRPr="00702A51">
        <w:t>assessment of the ministerial feedback questionnaire will be weighted so that the Treasurer’s responses account for 50% of the overall percentage measure. Stakeholder selection is governed by transparent stakeholder selection rules.</w:t>
      </w:r>
      <w:bookmarkStart w:id="57" w:name="_Hlk234233651"/>
      <w:r w:rsidRPr="00702A51">
        <w:rPr>
          <w:rFonts w:eastAsia="Calibri"/>
        </w:rPr>
        <w:t xml:space="preserve"> </w:t>
      </w:r>
    </w:p>
    <w:p w14:paraId="69576BDB" w14:textId="4DDBC1F2" w:rsidR="000E7196" w:rsidRPr="00702A51" w:rsidRDefault="000E7196" w:rsidP="000E7196">
      <w:pPr>
        <w:pStyle w:val="Heading5"/>
      </w:pPr>
      <w:r w:rsidRPr="00702A51">
        <w:rPr>
          <w:rFonts w:eastAsia="Calibri"/>
        </w:rPr>
        <w:t>Measure type</w:t>
      </w:r>
      <w:bookmarkEnd w:id="57"/>
    </w:p>
    <w:p w14:paraId="4C909BE1" w14:textId="77777777" w:rsidR="000E7196" w:rsidRPr="00702A51" w:rsidRDefault="000E7196" w:rsidP="006F13C2">
      <w:pPr>
        <w:pStyle w:val="PeformanceMeasuresNormal"/>
        <w:rPr>
          <w:rFonts w:eastAsia="Calibri"/>
        </w:rPr>
      </w:pPr>
      <w:r w:rsidRPr="00702A51">
        <w:t>Effectiveness measure.</w:t>
      </w:r>
      <w:bookmarkStart w:id="58" w:name="_Hlk234233658"/>
      <w:r w:rsidRPr="00702A51">
        <w:rPr>
          <w:rFonts w:eastAsia="Calibri"/>
        </w:rPr>
        <w:t xml:space="preserve"> </w:t>
      </w:r>
    </w:p>
    <w:p w14:paraId="0020145B" w14:textId="02AC3F8D" w:rsidR="000E7196" w:rsidRPr="00702A51" w:rsidRDefault="000E7196" w:rsidP="000E7196">
      <w:pPr>
        <w:pStyle w:val="Heading5"/>
      </w:pPr>
      <w:r w:rsidRPr="00702A51">
        <w:rPr>
          <w:rFonts w:eastAsia="Calibri"/>
        </w:rPr>
        <w:t>Data sources</w:t>
      </w:r>
      <w:bookmarkEnd w:id="58"/>
    </w:p>
    <w:p w14:paraId="35E3FFA3" w14:textId="0D2F498D" w:rsidR="00936651" w:rsidRPr="00702A51" w:rsidRDefault="000E7196" w:rsidP="006F13C2">
      <w:pPr>
        <w:pStyle w:val="PeformanceMeasuresNormal"/>
        <w:rPr>
          <w:rFonts w:eastAsia="Calibri"/>
        </w:rPr>
      </w:pPr>
      <w:r w:rsidRPr="00702A51">
        <w:t xml:space="preserve">Stakeholder lists and responses to the stakeholder survey and the ministerial feedback questionnaire from Treasury </w:t>
      </w:r>
      <w:r w:rsidR="006E4F8A" w:rsidRPr="00702A51">
        <w:t>m</w:t>
      </w:r>
      <w:r w:rsidRPr="00702A51">
        <w:t>inisters or their representatives.</w:t>
      </w:r>
      <w:bookmarkStart w:id="59" w:name="_Hlk234233667"/>
      <w:r w:rsidRPr="00702A51">
        <w:rPr>
          <w:rFonts w:eastAsia="Calibri"/>
        </w:rPr>
        <w:t xml:space="preserve"> </w:t>
      </w:r>
    </w:p>
    <w:p w14:paraId="034B653F" w14:textId="77777777" w:rsidR="00936651" w:rsidRPr="00702A51" w:rsidRDefault="000E7196" w:rsidP="00210F4B">
      <w:pPr>
        <w:pStyle w:val="Heading5"/>
      </w:pPr>
      <w:r w:rsidRPr="00702A51">
        <w:rPr>
          <w:rFonts w:eastAsia="Calibri"/>
        </w:rPr>
        <w:t>Changes from previous year</w:t>
      </w:r>
      <w:bookmarkEnd w:id="59"/>
      <w:r w:rsidRPr="00702A51">
        <w:t xml:space="preserve"> </w:t>
      </w:r>
    </w:p>
    <w:p w14:paraId="695613C2" w14:textId="3983269E" w:rsidR="00895EF8" w:rsidRPr="00702A51" w:rsidRDefault="000E7196" w:rsidP="006F13C2">
      <w:pPr>
        <w:pStyle w:val="PeformanceMeasuresNormal"/>
      </w:pPr>
      <w:r w:rsidRPr="00702A51">
        <w:t>The target for the key stakeholder survey is maintained at 80% in 2026–27 and the forward years. Treasury annually reviews its stakeholders and areas of policy advice to incorporate new functions.</w:t>
      </w:r>
    </w:p>
    <w:bookmarkEnd w:id="55"/>
    <w:p w14:paraId="22789824" w14:textId="70DD0001" w:rsidR="00F3447F" w:rsidRPr="00702A51" w:rsidRDefault="00F3447F" w:rsidP="00303115">
      <w:r w:rsidRPr="00702A51">
        <w:br w:type="page"/>
      </w:r>
    </w:p>
    <w:p w14:paraId="6623B414" w14:textId="188431D6" w:rsidR="00E34F80" w:rsidRPr="00702A51" w:rsidRDefault="00E34F80" w:rsidP="00426F7F">
      <w:pPr>
        <w:pStyle w:val="Heading3"/>
      </w:pPr>
      <w:r w:rsidRPr="00702A51">
        <w:lastRenderedPageBreak/>
        <w:t>Intended result 1.2</w:t>
      </w:r>
    </w:p>
    <w:p w14:paraId="676464F9" w14:textId="76D84D8C" w:rsidR="00E34F80" w:rsidRPr="00702A51" w:rsidRDefault="00E34F80" w:rsidP="00BE0356">
      <w:pPr>
        <w:rPr>
          <w:rFonts w:eastAsia="Calibri"/>
          <w:lang w:eastAsia="en-US"/>
        </w:rPr>
      </w:pPr>
      <w:r w:rsidRPr="00702A51">
        <w:rPr>
          <w:rFonts w:eastAsia="Calibri"/>
          <w:lang w:eastAsia="en-US"/>
        </w:rPr>
        <w:t xml:space="preserve">Treasury forecasts inform policy advice to </w:t>
      </w:r>
      <w:r w:rsidR="000463B5" w:rsidRPr="00702A51">
        <w:rPr>
          <w:rFonts w:eastAsia="Calibri"/>
          <w:lang w:eastAsia="en-US"/>
        </w:rPr>
        <w:t>g</w:t>
      </w:r>
      <w:r w:rsidRPr="00702A51">
        <w:rPr>
          <w:rFonts w:eastAsia="Calibri"/>
          <w:lang w:eastAsia="en-US"/>
        </w:rPr>
        <w:t>overnment and are in an acceptable range of variance with</w:t>
      </w:r>
      <w:r w:rsidR="00426F7F" w:rsidRPr="00702A51">
        <w:rPr>
          <w:rFonts w:eastAsia="Calibri"/>
          <w:lang w:eastAsia="en-US"/>
        </w:rPr>
        <w:t> </w:t>
      </w:r>
      <w:r w:rsidRPr="00702A51">
        <w:rPr>
          <w:rFonts w:eastAsia="Calibri"/>
          <w:lang w:eastAsia="en-US"/>
        </w:rPr>
        <w:t>actuals</w:t>
      </w:r>
      <w:r w:rsidR="008D5148" w:rsidRPr="00702A51">
        <w:rPr>
          <w:rFonts w:eastAsia="Calibri"/>
          <w:lang w:eastAsia="en-US"/>
        </w:rPr>
        <w:t>.</w:t>
      </w:r>
    </w:p>
    <w:p w14:paraId="0FEE1BA4" w14:textId="558C6FC2" w:rsidR="00BE0356" w:rsidRPr="00702A51" w:rsidRDefault="00BE0356" w:rsidP="00BE0356">
      <w:pPr>
        <w:pStyle w:val="Heading4"/>
        <w:rPr>
          <w:rFonts w:eastAsia="Calibri"/>
          <w:lang w:eastAsia="en-US"/>
        </w:rPr>
      </w:pPr>
      <w:r w:rsidRPr="00702A51">
        <w:rPr>
          <w:rFonts w:eastAsia="Calibri"/>
          <w:lang w:eastAsia="en-US"/>
        </w:rPr>
        <w:t>Performance measure 2</w:t>
      </w:r>
    </w:p>
    <w:p w14:paraId="63BEBF1B" w14:textId="32078B24" w:rsidR="00BE0356" w:rsidRPr="00702A51" w:rsidRDefault="00BE0356" w:rsidP="00E24487">
      <w:pPr>
        <w:pStyle w:val="PeformanceMeasuresNormal"/>
        <w:spacing w:after="240"/>
        <w:rPr>
          <w:rFonts w:eastAsia="Calibri"/>
          <w:lang w:eastAsia="en-US"/>
        </w:rPr>
      </w:pPr>
      <w:r w:rsidRPr="00702A51">
        <w:rPr>
          <w:rFonts w:eastAsia="Calibri"/>
          <w:lang w:eastAsia="en-US"/>
        </w:rPr>
        <w:t xml:space="preserve">Variance between actual real Gross Domestic Product (GDP) and forecast real GDP. </w:t>
      </w:r>
      <w:r w:rsidR="003E4EA5" w:rsidRPr="00702A51">
        <w:rPr>
          <w:rFonts w:eastAsia="Calibri"/>
          <w:lang w:eastAsia="en-US"/>
        </w:rPr>
        <w:br/>
      </w:r>
      <w:r w:rsidRPr="00702A51">
        <w:rPr>
          <w:rFonts w:eastAsia="Calibri"/>
          <w:lang w:eastAsia="en-US"/>
        </w:rPr>
        <w:t>(Program 1.1 – Economic Management)</w:t>
      </w:r>
    </w:p>
    <w:tbl>
      <w:tblPr>
        <w:tblStyle w:val="TableGrid4"/>
        <w:tblW w:w="5000" w:type="pct"/>
        <w:tblBorders>
          <w:top w:val="none" w:sz="0" w:space="0" w:color="auto"/>
          <w:left w:val="none" w:sz="0" w:space="0" w:color="auto"/>
          <w:bottom w:val="single" w:sz="2" w:space="0" w:color="BFBFBF" w:themeColor="background1" w:themeShade="BF"/>
          <w:right w:val="none" w:sz="0" w:space="0" w:color="auto"/>
          <w:insideH w:val="single" w:sz="2" w:space="0" w:color="BFBFBF" w:themeColor="background1" w:themeShade="BF"/>
          <w:insideV w:val="none" w:sz="0" w:space="0" w:color="auto"/>
        </w:tblBorders>
        <w:tblCellMar>
          <w:top w:w="57" w:type="dxa"/>
          <w:left w:w="227" w:type="dxa"/>
          <w:bottom w:w="57" w:type="dxa"/>
          <w:right w:w="170" w:type="dxa"/>
        </w:tblCellMar>
        <w:tblLook w:val="0620" w:firstRow="1" w:lastRow="0" w:firstColumn="0" w:lastColumn="0" w:noHBand="1" w:noVBand="1"/>
      </w:tblPr>
      <w:tblGrid>
        <w:gridCol w:w="1441"/>
        <w:gridCol w:w="7629"/>
      </w:tblGrid>
      <w:tr w:rsidR="004D4BC2" w:rsidRPr="00702A51" w14:paraId="56F41439" w14:textId="77777777" w:rsidTr="00210F4B">
        <w:tc>
          <w:tcPr>
            <w:tcW w:w="1418" w:type="dxa"/>
            <w:tcBorders>
              <w:bottom w:val="nil"/>
            </w:tcBorders>
            <w:shd w:val="clear" w:color="auto" w:fill="E8F0FC"/>
          </w:tcPr>
          <w:p w14:paraId="00D36314" w14:textId="008D4675" w:rsidR="004D4BC2" w:rsidRPr="00702A51" w:rsidRDefault="00AB000D" w:rsidP="003E4EA5">
            <w:pPr>
              <w:pStyle w:val="TableColumnHeadingLeft"/>
              <w:rPr>
                <w:rFonts w:eastAsia="Calibri"/>
                <w:lang w:eastAsia="en-US"/>
              </w:rPr>
            </w:pPr>
            <w:r w:rsidRPr="00702A51">
              <w:rPr>
                <w:rFonts w:eastAsia="Calibri"/>
                <w:lang w:eastAsia="en-US"/>
              </w:rPr>
              <w:t>Year</w:t>
            </w:r>
          </w:p>
        </w:tc>
        <w:tc>
          <w:tcPr>
            <w:tcW w:w="7510" w:type="dxa"/>
            <w:tcBorders>
              <w:bottom w:val="nil"/>
            </w:tcBorders>
            <w:shd w:val="clear" w:color="auto" w:fill="E8F0FC" w:themeFill="accent5" w:themeFillTint="33"/>
          </w:tcPr>
          <w:p w14:paraId="488CA71E" w14:textId="49238BFA" w:rsidR="003E4EA5" w:rsidRPr="00702A51" w:rsidRDefault="00AB000D" w:rsidP="003E4EA5">
            <w:pPr>
              <w:pStyle w:val="TableColumnHeadingLeft"/>
            </w:pPr>
            <w:r w:rsidRPr="00702A51">
              <w:t>Target</w:t>
            </w:r>
          </w:p>
        </w:tc>
      </w:tr>
      <w:tr w:rsidR="00133643" w:rsidRPr="00702A51" w14:paraId="440D6C0F" w14:textId="77777777" w:rsidTr="00210F4B">
        <w:tc>
          <w:tcPr>
            <w:tcW w:w="1418" w:type="dxa"/>
            <w:tcBorders>
              <w:top w:val="nil"/>
            </w:tcBorders>
          </w:tcPr>
          <w:p w14:paraId="118298AD" w14:textId="15A7BA20" w:rsidR="00133643" w:rsidRPr="00702A51" w:rsidRDefault="00133643" w:rsidP="003E4EA5">
            <w:pPr>
              <w:pStyle w:val="TableTextLeft"/>
              <w:rPr>
                <w:rFonts w:eastAsia="Calibri"/>
                <w:b/>
                <w:lang w:eastAsia="en-US"/>
              </w:rPr>
            </w:pPr>
            <w:r w:rsidRPr="00702A51">
              <w:rPr>
                <w:rFonts w:eastAsia="Calibri"/>
                <w:b/>
                <w:lang w:eastAsia="en-US"/>
              </w:rPr>
              <w:t>2026–27</w:t>
            </w:r>
          </w:p>
        </w:tc>
        <w:tc>
          <w:tcPr>
            <w:tcW w:w="7510" w:type="dxa"/>
            <w:tcBorders>
              <w:top w:val="nil"/>
            </w:tcBorders>
          </w:tcPr>
          <w:p w14:paraId="5A27CDC2" w14:textId="77777777" w:rsidR="00133643" w:rsidRPr="00702A51" w:rsidRDefault="00133643" w:rsidP="003E4EA5">
            <w:pPr>
              <w:pStyle w:val="TableTextLeft"/>
            </w:pPr>
            <w:r w:rsidRPr="00702A51">
              <w:t>Real GDP falls within 70% confidence interval of forecast real GDP</w:t>
            </w:r>
          </w:p>
        </w:tc>
      </w:tr>
      <w:tr w:rsidR="00133643" w:rsidRPr="00702A51" w14:paraId="182EB06F" w14:textId="77777777" w:rsidTr="00210F4B">
        <w:tc>
          <w:tcPr>
            <w:tcW w:w="1418" w:type="dxa"/>
            <w:tcBorders>
              <w:top w:val="single" w:sz="2" w:space="0" w:color="BFBFBF" w:themeColor="background1" w:themeShade="BF"/>
            </w:tcBorders>
          </w:tcPr>
          <w:p w14:paraId="51F75A75" w14:textId="3287DD2B" w:rsidR="00133643" w:rsidRPr="00702A51" w:rsidRDefault="00133643" w:rsidP="003E4EA5">
            <w:pPr>
              <w:pStyle w:val="TableTextLeft"/>
              <w:rPr>
                <w:rFonts w:eastAsia="Calibri"/>
                <w:b/>
                <w:lang w:eastAsia="en-US"/>
              </w:rPr>
            </w:pPr>
            <w:r w:rsidRPr="00702A51">
              <w:rPr>
                <w:rFonts w:eastAsia="Calibri"/>
                <w:b/>
                <w:lang w:eastAsia="en-US"/>
              </w:rPr>
              <w:t>2027–28</w:t>
            </w:r>
          </w:p>
        </w:tc>
        <w:tc>
          <w:tcPr>
            <w:tcW w:w="7510" w:type="dxa"/>
            <w:tcBorders>
              <w:top w:val="single" w:sz="2" w:space="0" w:color="BFBFBF" w:themeColor="background1" w:themeShade="BF"/>
            </w:tcBorders>
          </w:tcPr>
          <w:p w14:paraId="195620A2" w14:textId="77777777" w:rsidR="00133643" w:rsidRPr="00702A51" w:rsidRDefault="00133643" w:rsidP="003E4EA5">
            <w:pPr>
              <w:pStyle w:val="TableTextLeft"/>
            </w:pPr>
            <w:r w:rsidRPr="00702A51">
              <w:t>Real GDP falls within 70% confidence interval of forecast real GDP</w:t>
            </w:r>
          </w:p>
        </w:tc>
      </w:tr>
      <w:tr w:rsidR="00133643" w:rsidRPr="00702A51" w14:paraId="27D44B0F" w14:textId="77777777" w:rsidTr="00210F4B">
        <w:tc>
          <w:tcPr>
            <w:tcW w:w="1418" w:type="dxa"/>
            <w:tcBorders>
              <w:top w:val="single" w:sz="2" w:space="0" w:color="BFBFBF" w:themeColor="background1" w:themeShade="BF"/>
            </w:tcBorders>
          </w:tcPr>
          <w:p w14:paraId="52335409" w14:textId="51AF1E24" w:rsidR="00133643" w:rsidRPr="00702A51" w:rsidRDefault="00133643" w:rsidP="003E4EA5">
            <w:pPr>
              <w:pStyle w:val="TableTextLeft"/>
              <w:rPr>
                <w:rFonts w:eastAsia="Calibri"/>
                <w:b/>
                <w:lang w:eastAsia="en-US"/>
              </w:rPr>
            </w:pPr>
            <w:r w:rsidRPr="00702A51">
              <w:rPr>
                <w:rFonts w:eastAsia="Calibri"/>
                <w:b/>
                <w:lang w:eastAsia="en-US"/>
              </w:rPr>
              <w:t>2028–29</w:t>
            </w:r>
          </w:p>
        </w:tc>
        <w:tc>
          <w:tcPr>
            <w:tcW w:w="7510" w:type="dxa"/>
            <w:tcBorders>
              <w:top w:val="single" w:sz="2" w:space="0" w:color="BFBFBF" w:themeColor="background1" w:themeShade="BF"/>
            </w:tcBorders>
          </w:tcPr>
          <w:p w14:paraId="162BC293" w14:textId="77777777" w:rsidR="00133643" w:rsidRPr="00702A51" w:rsidRDefault="00133643" w:rsidP="003E4EA5">
            <w:pPr>
              <w:pStyle w:val="TableTextLeft"/>
            </w:pPr>
            <w:r w:rsidRPr="00702A51">
              <w:t>Real GDP falls within 70% confidence interval of forecast real GDP</w:t>
            </w:r>
          </w:p>
        </w:tc>
      </w:tr>
      <w:tr w:rsidR="00E34F80" w:rsidRPr="00702A51" w14:paraId="5851C803" w14:textId="77777777" w:rsidTr="00210F4B">
        <w:tc>
          <w:tcPr>
            <w:tcW w:w="1418" w:type="dxa"/>
            <w:tcBorders>
              <w:top w:val="single" w:sz="2" w:space="0" w:color="BFBFBF" w:themeColor="background1" w:themeShade="BF"/>
            </w:tcBorders>
          </w:tcPr>
          <w:p w14:paraId="16504722" w14:textId="19282ABE" w:rsidR="00E34F80" w:rsidRPr="00702A51" w:rsidRDefault="00E34F80" w:rsidP="003E4EA5">
            <w:pPr>
              <w:pStyle w:val="TableTextLeft"/>
              <w:rPr>
                <w:rFonts w:eastAsia="Calibri"/>
                <w:b/>
                <w:lang w:eastAsia="en-US"/>
              </w:rPr>
            </w:pPr>
            <w:r w:rsidRPr="00702A51">
              <w:rPr>
                <w:rFonts w:eastAsia="Calibri"/>
                <w:b/>
                <w:lang w:eastAsia="en-US"/>
              </w:rPr>
              <w:t>202</w:t>
            </w:r>
            <w:r w:rsidR="007946B4" w:rsidRPr="00702A51">
              <w:rPr>
                <w:rFonts w:eastAsia="Calibri"/>
                <w:b/>
                <w:lang w:eastAsia="en-US"/>
              </w:rPr>
              <w:t>8</w:t>
            </w:r>
            <w:r w:rsidRPr="00702A51">
              <w:rPr>
                <w:rFonts w:eastAsia="Calibri"/>
                <w:b/>
                <w:lang w:eastAsia="en-US"/>
              </w:rPr>
              <w:t>–2</w:t>
            </w:r>
            <w:r w:rsidR="007946B4" w:rsidRPr="00702A51">
              <w:rPr>
                <w:rFonts w:eastAsia="Calibri"/>
                <w:b/>
                <w:lang w:eastAsia="en-US"/>
              </w:rPr>
              <w:t>9</w:t>
            </w:r>
          </w:p>
        </w:tc>
        <w:tc>
          <w:tcPr>
            <w:tcW w:w="7510" w:type="dxa"/>
            <w:tcBorders>
              <w:top w:val="single" w:sz="2" w:space="0" w:color="BFBFBF" w:themeColor="background1" w:themeShade="BF"/>
            </w:tcBorders>
          </w:tcPr>
          <w:p w14:paraId="20C59E2C" w14:textId="77777777" w:rsidR="00E34F80" w:rsidRPr="00702A51" w:rsidRDefault="00E34F80" w:rsidP="003E4EA5">
            <w:pPr>
              <w:pStyle w:val="TableTextLeft"/>
            </w:pPr>
            <w:r w:rsidRPr="00702A51">
              <w:t>Real GDP falls within 70% confidence interval of forecast real GDP</w:t>
            </w:r>
          </w:p>
        </w:tc>
      </w:tr>
    </w:tbl>
    <w:p w14:paraId="09B1BB26" w14:textId="77777777" w:rsidR="000E7196" w:rsidRPr="00702A51" w:rsidRDefault="000E7196" w:rsidP="00E24487">
      <w:pPr>
        <w:pStyle w:val="Heading5"/>
        <w:spacing w:before="240"/>
        <w:rPr>
          <w:rFonts w:eastAsia="Calibri"/>
        </w:rPr>
      </w:pPr>
      <w:r w:rsidRPr="00702A51">
        <w:rPr>
          <w:rFonts w:eastAsia="Calibri"/>
        </w:rPr>
        <w:t xml:space="preserve">Target rationale </w:t>
      </w:r>
    </w:p>
    <w:p w14:paraId="7228DCF0" w14:textId="17C0EFB0" w:rsidR="000E7196" w:rsidRPr="00702A51" w:rsidRDefault="000E7196" w:rsidP="004D4BC2">
      <w:pPr>
        <w:pStyle w:val="PeformanceMeasuresNormal"/>
        <w:rPr>
          <w:rFonts w:eastAsia="Calibri"/>
        </w:rPr>
      </w:pPr>
      <w:r w:rsidRPr="00702A51">
        <w:t>Consistency of economic and fiscal forecasts and projections are important for government decision making. The confidence interval is a widely used metric that provides a guide to the degree of uncertainty around forecasts, assuming that forecast errors are consistent with the distribution of past</w:t>
      </w:r>
      <w:r w:rsidR="00E24487" w:rsidRPr="00702A51">
        <w:t> </w:t>
      </w:r>
      <w:r w:rsidRPr="00702A51">
        <w:t xml:space="preserve">forecast errors. The choice of a 70% confidence interval is consistent with the narrower of the two confidence intervals published in </w:t>
      </w:r>
      <w:r w:rsidR="006E4F8A" w:rsidRPr="00702A51">
        <w:t>b</w:t>
      </w:r>
      <w:r w:rsidRPr="00702A51">
        <w:t>udget papers (the other confidence interval being 90%) which is also consistent with the narrower of the two confidence intervals published by the Reserve Bank of Australia for their forecasts.</w:t>
      </w:r>
      <w:r w:rsidRPr="00702A51">
        <w:rPr>
          <w:rFonts w:eastAsia="Calibri"/>
        </w:rPr>
        <w:t xml:space="preserve"> </w:t>
      </w:r>
    </w:p>
    <w:p w14:paraId="5A295CC3" w14:textId="77777777" w:rsidR="006F13C2" w:rsidRPr="00702A51" w:rsidRDefault="000E7196" w:rsidP="006F13C2">
      <w:pPr>
        <w:pStyle w:val="Heading5"/>
        <w:rPr>
          <w:rFonts w:eastAsia="Calibri"/>
        </w:rPr>
      </w:pPr>
      <w:r w:rsidRPr="00702A51">
        <w:rPr>
          <w:rFonts w:eastAsia="Calibri"/>
        </w:rPr>
        <w:t xml:space="preserve">Methodology </w:t>
      </w:r>
    </w:p>
    <w:p w14:paraId="620F6878" w14:textId="5836399E" w:rsidR="000E7196" w:rsidRPr="00702A51" w:rsidRDefault="000E7196" w:rsidP="004D4BC2">
      <w:pPr>
        <w:pStyle w:val="PeformanceMeasuresNormal"/>
        <w:rPr>
          <w:rFonts w:eastAsia="Calibri"/>
        </w:rPr>
      </w:pPr>
      <w:r w:rsidRPr="00702A51">
        <w:t>Assessment of the variance between forecasts and outcomes in each year for real GDP growth. Real</w:t>
      </w:r>
      <w:r w:rsidR="000120F4" w:rsidRPr="00702A51">
        <w:t> </w:t>
      </w:r>
      <w:r w:rsidRPr="00702A51">
        <w:t>GDP forecasts incorporate assumptions that include exchange rates, interest rates, commodity prices, and population growth. The confidence interval is a widely used metric that provides a guide to the degree of uncertainty around forecasts. The 70% confidence interval means there is a 70% chance that the outcome falls in this range. This assumes future forecast errors are consistent with the distribution of past forecast errors from 1998–99 onwards.</w:t>
      </w:r>
    </w:p>
    <w:p w14:paraId="03C603D7" w14:textId="77777777" w:rsidR="000E7196" w:rsidRPr="00702A51" w:rsidRDefault="000E7196" w:rsidP="006F13C2">
      <w:pPr>
        <w:pStyle w:val="Heading5"/>
        <w:rPr>
          <w:rFonts w:eastAsia="Calibri"/>
        </w:rPr>
      </w:pPr>
      <w:r w:rsidRPr="00702A51">
        <w:rPr>
          <w:rFonts w:eastAsia="Calibri"/>
        </w:rPr>
        <w:t xml:space="preserve">Measure type </w:t>
      </w:r>
    </w:p>
    <w:p w14:paraId="1D9C9989" w14:textId="77777777" w:rsidR="000E7196" w:rsidRPr="00702A51" w:rsidRDefault="000E7196" w:rsidP="004D4BC2">
      <w:pPr>
        <w:pStyle w:val="PeformanceMeasuresNormal"/>
        <w:rPr>
          <w:rFonts w:eastAsia="Calibri"/>
        </w:rPr>
      </w:pPr>
      <w:r w:rsidRPr="00702A51">
        <w:t>Effectiveness measure.</w:t>
      </w:r>
      <w:r w:rsidRPr="00702A51">
        <w:rPr>
          <w:rFonts w:eastAsia="Calibri"/>
        </w:rPr>
        <w:t xml:space="preserve"> </w:t>
      </w:r>
    </w:p>
    <w:p w14:paraId="37D15B33" w14:textId="77777777" w:rsidR="000E7196" w:rsidRPr="00702A51" w:rsidRDefault="000E7196" w:rsidP="006F13C2">
      <w:pPr>
        <w:pStyle w:val="Heading5"/>
        <w:rPr>
          <w:rFonts w:eastAsia="Calibri"/>
        </w:rPr>
      </w:pPr>
      <w:r w:rsidRPr="00702A51">
        <w:rPr>
          <w:rFonts w:eastAsia="Calibri"/>
        </w:rPr>
        <w:t xml:space="preserve">Data sources </w:t>
      </w:r>
    </w:p>
    <w:p w14:paraId="549A595A" w14:textId="77777777" w:rsidR="000E7196" w:rsidRPr="00702A51" w:rsidRDefault="000E7196" w:rsidP="004D4BC2">
      <w:pPr>
        <w:pStyle w:val="PeformanceMeasuresNormal"/>
      </w:pPr>
      <w:r w:rsidRPr="00702A51">
        <w:t>Australian Bureau of Statistics Australian National Accounts: National Income, Expenditure and Product, and budget papers.</w:t>
      </w:r>
    </w:p>
    <w:p w14:paraId="617E24FB" w14:textId="77777777" w:rsidR="000E7196" w:rsidRPr="00702A51" w:rsidRDefault="000E7196" w:rsidP="006F13C2">
      <w:pPr>
        <w:pStyle w:val="Heading5"/>
        <w:rPr>
          <w:rFonts w:eastAsia="Calibri"/>
        </w:rPr>
      </w:pPr>
      <w:r w:rsidRPr="00702A51">
        <w:rPr>
          <w:rFonts w:eastAsia="Calibri"/>
        </w:rPr>
        <w:t xml:space="preserve">Changes from previous year </w:t>
      </w:r>
    </w:p>
    <w:p w14:paraId="754F5A70" w14:textId="3F5D9091" w:rsidR="007102BA" w:rsidRPr="00702A51" w:rsidRDefault="000E7196" w:rsidP="004D4BC2">
      <w:pPr>
        <w:pStyle w:val="PeformanceMeasuresNormal"/>
        <w:rPr>
          <w:rFonts w:eastAsia="Calibri"/>
        </w:rPr>
      </w:pPr>
      <w:r w:rsidRPr="00702A51">
        <w:t>Treasury developed this performance measure for the Corporate Plan 2022–23. There are no changes for the 2026–27 reporting period.</w:t>
      </w:r>
      <w:r w:rsidR="007102BA" w:rsidRPr="00702A51">
        <w:rPr>
          <w:rFonts w:eastAsia="Calibri"/>
        </w:rPr>
        <w:br w:type="page"/>
      </w:r>
    </w:p>
    <w:p w14:paraId="6F9A50E5" w14:textId="3480DC5D" w:rsidR="00BE0356" w:rsidRPr="00702A51" w:rsidRDefault="00BE0356" w:rsidP="0039381E">
      <w:pPr>
        <w:pStyle w:val="Heading4"/>
        <w:rPr>
          <w:rFonts w:eastAsia="Calibri"/>
        </w:rPr>
      </w:pPr>
      <w:r w:rsidRPr="00702A51">
        <w:rPr>
          <w:rFonts w:eastAsia="Calibri"/>
        </w:rPr>
        <w:lastRenderedPageBreak/>
        <w:t>Performance measure 3</w:t>
      </w:r>
    </w:p>
    <w:p w14:paraId="349BDAE6" w14:textId="1F9D5262" w:rsidR="00BE0356" w:rsidRPr="00702A51" w:rsidRDefault="00BE0356" w:rsidP="008D0909">
      <w:pPr>
        <w:pStyle w:val="PeformanceMeasuresNormal"/>
        <w:spacing w:after="240"/>
        <w:rPr>
          <w:rFonts w:eastAsia="Calibri"/>
        </w:rPr>
      </w:pPr>
      <w:r w:rsidRPr="00702A51">
        <w:rPr>
          <w:rFonts w:eastAsia="Calibri"/>
        </w:rPr>
        <w:t xml:space="preserve">Variance between </w:t>
      </w:r>
      <w:r w:rsidRPr="00702A51">
        <w:rPr>
          <w:rFonts w:eastAsia="Calibri"/>
          <w:lang w:eastAsia="en-US"/>
        </w:rPr>
        <w:t>actual</w:t>
      </w:r>
      <w:r w:rsidRPr="00702A51">
        <w:rPr>
          <w:rFonts w:eastAsia="Calibri"/>
        </w:rPr>
        <w:t xml:space="preserve"> Total Tax Receipts (excluding Company Tax) and forecast. </w:t>
      </w:r>
      <w:r w:rsidR="00B42CE6" w:rsidRPr="00702A51">
        <w:rPr>
          <w:rFonts w:eastAsia="Calibri"/>
        </w:rPr>
        <w:br/>
      </w:r>
      <w:r w:rsidRPr="00702A51">
        <w:rPr>
          <w:rFonts w:eastAsia="Calibri"/>
        </w:rPr>
        <w:t>(Program 1.1 – Economic Management)</w:t>
      </w:r>
    </w:p>
    <w:tbl>
      <w:tblPr>
        <w:tblStyle w:val="TableGrid5"/>
        <w:tblW w:w="5000" w:type="pct"/>
        <w:tblBorders>
          <w:top w:val="single" w:sz="2" w:space="0" w:color="BFBFBF" w:themeColor="background1" w:themeShade="BF"/>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B42CE6" w:rsidRPr="00702A51" w14:paraId="33063683" w14:textId="77777777" w:rsidTr="00210F4B">
        <w:tc>
          <w:tcPr>
            <w:tcW w:w="1418" w:type="dxa"/>
            <w:tcBorders>
              <w:top w:val="nil"/>
              <w:bottom w:val="nil"/>
            </w:tcBorders>
            <w:shd w:val="clear" w:color="auto" w:fill="E8F0FC" w:themeFill="accent5" w:themeFillTint="33"/>
          </w:tcPr>
          <w:p w14:paraId="36CD885F" w14:textId="128EDE6B" w:rsidR="00B42CE6" w:rsidRPr="00702A51" w:rsidRDefault="00AB000D" w:rsidP="00E65620">
            <w:pPr>
              <w:pStyle w:val="TableColumnHeadingLeft"/>
              <w:rPr>
                <w:rFonts w:eastAsia="Calibri"/>
                <w:lang w:eastAsia="en-US"/>
              </w:rPr>
            </w:pPr>
            <w:r w:rsidRPr="00702A51">
              <w:rPr>
                <w:rFonts w:eastAsia="Calibri"/>
                <w:lang w:eastAsia="en-US"/>
              </w:rPr>
              <w:t>Year</w:t>
            </w:r>
          </w:p>
        </w:tc>
        <w:tc>
          <w:tcPr>
            <w:tcW w:w="7085" w:type="dxa"/>
            <w:tcBorders>
              <w:top w:val="nil"/>
              <w:bottom w:val="nil"/>
            </w:tcBorders>
            <w:shd w:val="clear" w:color="auto" w:fill="E8F0FC" w:themeFill="accent5" w:themeFillTint="33"/>
          </w:tcPr>
          <w:p w14:paraId="05F56A93" w14:textId="3448163B" w:rsidR="00B42CE6" w:rsidRPr="00702A51" w:rsidRDefault="00AB000D" w:rsidP="008D0909">
            <w:pPr>
              <w:pStyle w:val="TableColumnHeadingLeft"/>
            </w:pPr>
            <w:r w:rsidRPr="00702A51">
              <w:t>Target</w:t>
            </w:r>
          </w:p>
        </w:tc>
      </w:tr>
      <w:tr w:rsidR="00F855F5" w:rsidRPr="00702A51" w14:paraId="38BA0E62" w14:textId="77777777" w:rsidTr="00210F4B">
        <w:tc>
          <w:tcPr>
            <w:tcW w:w="1418" w:type="dxa"/>
            <w:tcBorders>
              <w:top w:val="nil"/>
              <w:bottom w:val="single" w:sz="2" w:space="0" w:color="BFBFBF" w:themeColor="background1" w:themeShade="BF"/>
            </w:tcBorders>
          </w:tcPr>
          <w:p w14:paraId="5CAE659C" w14:textId="2DE3134E" w:rsidR="00F855F5" w:rsidRPr="00702A51" w:rsidRDefault="007946B4" w:rsidP="008D0909">
            <w:pPr>
              <w:pStyle w:val="TableTextLeft"/>
              <w:rPr>
                <w:rFonts w:eastAsia="Calibri"/>
                <w:b/>
              </w:rPr>
            </w:pPr>
            <w:r w:rsidRPr="00702A51">
              <w:rPr>
                <w:rFonts w:eastAsia="Calibri"/>
                <w:b/>
              </w:rPr>
              <w:t>2026–27</w:t>
            </w:r>
          </w:p>
        </w:tc>
        <w:tc>
          <w:tcPr>
            <w:tcW w:w="7085" w:type="dxa"/>
            <w:tcBorders>
              <w:top w:val="nil"/>
              <w:bottom w:val="single" w:sz="2" w:space="0" w:color="BFBFBF" w:themeColor="background1" w:themeShade="BF"/>
            </w:tcBorders>
          </w:tcPr>
          <w:p w14:paraId="297CEDC3" w14:textId="4AF289C1" w:rsidR="00F855F5" w:rsidRPr="00702A51" w:rsidRDefault="00F855F5" w:rsidP="008D0909">
            <w:pPr>
              <w:pStyle w:val="TableTextLeft"/>
            </w:pPr>
            <w:r w:rsidRPr="00702A51">
              <w:t xml:space="preserve">Total Tax Receipts (excluding company tax) for </w:t>
            </w:r>
            <w:r w:rsidR="007946B4" w:rsidRPr="00702A51">
              <w:t xml:space="preserve">2026–27 </w:t>
            </w:r>
            <w:r w:rsidRPr="00702A51">
              <w:t xml:space="preserve">falls within 70% confidence interval of forecast at the </w:t>
            </w:r>
            <w:r w:rsidR="007946B4" w:rsidRPr="00702A51">
              <w:t xml:space="preserve">2026–27 </w:t>
            </w:r>
            <w:r w:rsidRPr="00702A51">
              <w:t>Budget</w:t>
            </w:r>
          </w:p>
        </w:tc>
      </w:tr>
      <w:tr w:rsidR="00F855F5" w:rsidRPr="00702A51" w14:paraId="02CB86B9" w14:textId="77777777" w:rsidTr="00210F4B">
        <w:tc>
          <w:tcPr>
            <w:tcW w:w="1418" w:type="dxa"/>
            <w:tcBorders>
              <w:top w:val="single" w:sz="2" w:space="0" w:color="BFBFBF" w:themeColor="background1" w:themeShade="BF"/>
              <w:bottom w:val="single" w:sz="2" w:space="0" w:color="BFBFBF" w:themeColor="background1" w:themeShade="BF"/>
            </w:tcBorders>
          </w:tcPr>
          <w:p w14:paraId="54C69673" w14:textId="09DA2497" w:rsidR="00F855F5" w:rsidRPr="00702A51" w:rsidRDefault="007946B4" w:rsidP="008D0909">
            <w:pPr>
              <w:pStyle w:val="TableTextLeft"/>
              <w:rPr>
                <w:rFonts w:eastAsia="Calibri"/>
                <w:b/>
              </w:rPr>
            </w:pPr>
            <w:r w:rsidRPr="00702A51">
              <w:rPr>
                <w:rFonts w:eastAsia="Calibri"/>
                <w:b/>
              </w:rPr>
              <w:t>2027–28</w:t>
            </w:r>
          </w:p>
        </w:tc>
        <w:tc>
          <w:tcPr>
            <w:tcW w:w="7085" w:type="dxa"/>
            <w:tcBorders>
              <w:top w:val="single" w:sz="2" w:space="0" w:color="BFBFBF" w:themeColor="background1" w:themeShade="BF"/>
              <w:bottom w:val="single" w:sz="2" w:space="0" w:color="BFBFBF" w:themeColor="background1" w:themeShade="BF"/>
            </w:tcBorders>
          </w:tcPr>
          <w:p w14:paraId="6186933D" w14:textId="46D5E332" w:rsidR="00F855F5" w:rsidRPr="00702A51" w:rsidRDefault="00F855F5" w:rsidP="008D0909">
            <w:pPr>
              <w:pStyle w:val="TableTextLeft"/>
            </w:pPr>
            <w:r w:rsidRPr="00702A51">
              <w:t xml:space="preserve">Total Tax Receipts (excluding company tax) for </w:t>
            </w:r>
            <w:r w:rsidR="007946B4" w:rsidRPr="00702A51">
              <w:t xml:space="preserve">2027–28 </w:t>
            </w:r>
            <w:r w:rsidRPr="00702A51">
              <w:t xml:space="preserve">falls within 70% confidence interval of forecast at the </w:t>
            </w:r>
            <w:r w:rsidR="007946B4" w:rsidRPr="00702A51">
              <w:t xml:space="preserve">2027–28 </w:t>
            </w:r>
            <w:r w:rsidRPr="00702A51">
              <w:t>Budget</w:t>
            </w:r>
          </w:p>
        </w:tc>
      </w:tr>
      <w:tr w:rsidR="00F855F5" w:rsidRPr="00702A51" w14:paraId="563346D9" w14:textId="77777777" w:rsidTr="00210F4B">
        <w:tc>
          <w:tcPr>
            <w:tcW w:w="1418" w:type="dxa"/>
            <w:tcBorders>
              <w:top w:val="single" w:sz="2" w:space="0" w:color="BFBFBF" w:themeColor="background1" w:themeShade="BF"/>
              <w:bottom w:val="single" w:sz="2" w:space="0" w:color="BFBFBF" w:themeColor="background1" w:themeShade="BF"/>
            </w:tcBorders>
          </w:tcPr>
          <w:p w14:paraId="54FC0879" w14:textId="35811265" w:rsidR="00F855F5" w:rsidRPr="00702A51" w:rsidRDefault="00F855F5" w:rsidP="008D0909">
            <w:pPr>
              <w:pStyle w:val="TableTextLeft"/>
              <w:rPr>
                <w:rFonts w:eastAsia="Calibri"/>
                <w:b/>
              </w:rPr>
            </w:pPr>
            <w:r w:rsidRPr="00702A51">
              <w:rPr>
                <w:rFonts w:eastAsia="Calibri"/>
                <w:b/>
              </w:rPr>
              <w:t>202</w:t>
            </w:r>
            <w:r w:rsidR="007946B4" w:rsidRPr="00702A51">
              <w:rPr>
                <w:rFonts w:eastAsia="Calibri"/>
                <w:b/>
              </w:rPr>
              <w:t>8</w:t>
            </w:r>
            <w:r w:rsidRPr="00702A51">
              <w:rPr>
                <w:rFonts w:eastAsia="Calibri"/>
                <w:b/>
              </w:rPr>
              <w:t>–2</w:t>
            </w:r>
            <w:r w:rsidR="007946B4" w:rsidRPr="00702A51">
              <w:rPr>
                <w:rFonts w:eastAsia="Calibri"/>
                <w:b/>
              </w:rPr>
              <w:t>9</w:t>
            </w:r>
          </w:p>
        </w:tc>
        <w:tc>
          <w:tcPr>
            <w:tcW w:w="7085" w:type="dxa"/>
            <w:tcBorders>
              <w:top w:val="single" w:sz="2" w:space="0" w:color="BFBFBF" w:themeColor="background1" w:themeShade="BF"/>
              <w:bottom w:val="single" w:sz="2" w:space="0" w:color="BFBFBF" w:themeColor="background1" w:themeShade="BF"/>
            </w:tcBorders>
          </w:tcPr>
          <w:p w14:paraId="63DDFCAC" w14:textId="69AD1ECE" w:rsidR="00F855F5" w:rsidRPr="00702A51" w:rsidRDefault="00F855F5" w:rsidP="008D0909">
            <w:pPr>
              <w:pStyle w:val="TableTextLeft"/>
            </w:pPr>
            <w:r w:rsidRPr="00702A51">
              <w:t xml:space="preserve">Total Tax Receipts (excluding company tax) for </w:t>
            </w:r>
            <w:r w:rsidR="007946B4" w:rsidRPr="00702A51">
              <w:t xml:space="preserve">2028–29 </w:t>
            </w:r>
            <w:r w:rsidRPr="00702A51">
              <w:t>falls within 70% confidence interval of forecast at the 202</w:t>
            </w:r>
            <w:r w:rsidR="007946B4" w:rsidRPr="00702A51">
              <w:t>8</w:t>
            </w:r>
            <w:r w:rsidRPr="00702A51">
              <w:t>–2</w:t>
            </w:r>
            <w:r w:rsidR="007946B4" w:rsidRPr="00702A51">
              <w:t>9</w:t>
            </w:r>
            <w:r w:rsidRPr="00702A51">
              <w:t xml:space="preserve"> Budget</w:t>
            </w:r>
          </w:p>
        </w:tc>
      </w:tr>
      <w:tr w:rsidR="00F22D89" w:rsidRPr="00702A51" w14:paraId="07117D43" w14:textId="77777777" w:rsidTr="00210F4B">
        <w:tc>
          <w:tcPr>
            <w:tcW w:w="1418" w:type="dxa"/>
            <w:tcBorders>
              <w:top w:val="single" w:sz="2" w:space="0" w:color="BFBFBF" w:themeColor="background1" w:themeShade="BF"/>
              <w:bottom w:val="single" w:sz="2" w:space="0" w:color="BFBFBF" w:themeColor="background1" w:themeShade="BF"/>
            </w:tcBorders>
          </w:tcPr>
          <w:p w14:paraId="5630A9B2" w14:textId="4F84DEDC" w:rsidR="00F22D89" w:rsidRPr="00702A51" w:rsidRDefault="00F22D89" w:rsidP="008D0909">
            <w:pPr>
              <w:pStyle w:val="TableTextLeft"/>
              <w:rPr>
                <w:rFonts w:eastAsia="Calibri"/>
                <w:b/>
              </w:rPr>
            </w:pPr>
            <w:r w:rsidRPr="00702A51">
              <w:rPr>
                <w:rFonts w:eastAsia="Calibri"/>
                <w:b/>
              </w:rPr>
              <w:t>2029–30</w:t>
            </w:r>
          </w:p>
        </w:tc>
        <w:tc>
          <w:tcPr>
            <w:tcW w:w="7085" w:type="dxa"/>
            <w:tcBorders>
              <w:top w:val="single" w:sz="2" w:space="0" w:color="BFBFBF" w:themeColor="background1" w:themeShade="BF"/>
              <w:bottom w:val="single" w:sz="2" w:space="0" w:color="BFBFBF" w:themeColor="background1" w:themeShade="BF"/>
            </w:tcBorders>
          </w:tcPr>
          <w:p w14:paraId="23EAF04D" w14:textId="769ABC38" w:rsidR="00F22D89" w:rsidRPr="00702A51" w:rsidRDefault="00F22D89" w:rsidP="008D0909">
            <w:pPr>
              <w:pStyle w:val="TableTextLeft"/>
            </w:pPr>
            <w:r w:rsidRPr="00702A51">
              <w:t>Total Tax Receipts (excluding company tax) for 202</w:t>
            </w:r>
            <w:r w:rsidR="00B06DB4" w:rsidRPr="00702A51">
              <w:t>9</w:t>
            </w:r>
            <w:r w:rsidRPr="00702A51">
              <w:t>–</w:t>
            </w:r>
            <w:r w:rsidR="00B06DB4" w:rsidRPr="00702A51">
              <w:t>30</w:t>
            </w:r>
            <w:r w:rsidRPr="00702A51">
              <w:t xml:space="preserve"> falls within 70% confidence interval of forecast at the 202</w:t>
            </w:r>
            <w:r w:rsidR="00B06DB4" w:rsidRPr="00702A51">
              <w:t>9</w:t>
            </w:r>
            <w:r w:rsidRPr="00702A51">
              <w:t>–</w:t>
            </w:r>
            <w:r w:rsidR="00B06DB4" w:rsidRPr="00702A51">
              <w:t>30</w:t>
            </w:r>
            <w:r w:rsidRPr="00702A51">
              <w:t xml:space="preserve"> Budget</w:t>
            </w:r>
          </w:p>
        </w:tc>
      </w:tr>
    </w:tbl>
    <w:p w14:paraId="17D7F33D" w14:textId="77777777" w:rsidR="00B42CE6" w:rsidRPr="00702A51" w:rsidRDefault="00B42CE6" w:rsidP="008D0909">
      <w:pPr>
        <w:pStyle w:val="Heading5"/>
        <w:spacing w:before="240"/>
        <w:rPr>
          <w:rFonts w:eastAsia="Calibri"/>
          <w:lang w:eastAsia="en-US"/>
        </w:rPr>
      </w:pPr>
      <w:r w:rsidRPr="00702A51">
        <w:rPr>
          <w:rFonts w:eastAsia="Calibri"/>
          <w:lang w:eastAsia="en-US"/>
        </w:rPr>
        <w:t>Target rationale</w:t>
      </w:r>
    </w:p>
    <w:p w14:paraId="4CE3C615" w14:textId="2FC8503F" w:rsidR="00B42CE6" w:rsidRPr="00702A51" w:rsidRDefault="00B42CE6" w:rsidP="00B42CE6">
      <w:pPr>
        <w:pStyle w:val="PeformanceMeasuresNormal"/>
      </w:pPr>
      <w:r w:rsidRPr="00702A51">
        <w:t>Consistency of economic and fiscal forecasts and projections are important for government decision making. The confidence interval is a widely used metric that provides a guide to the degree of uncertainty around forecasts, assuming that forecast errors are consistent with the distribution of past forecast errors. The choice of a 70% confidence interval is consistent with the narrower of the two confidence intervals published in budget papers (the other confidence interval being 90%) which is also consistent with the narrower of the two confidence intervals published by the Reserve Bank of Australia for their forecasts</w:t>
      </w:r>
      <w:r w:rsidR="000120F4" w:rsidRPr="00702A51">
        <w:t>.</w:t>
      </w:r>
      <w:r w:rsidRPr="00702A51">
        <w:t xml:space="preserve"> </w:t>
      </w:r>
    </w:p>
    <w:p w14:paraId="247995BF" w14:textId="4F19245C" w:rsidR="00B42CE6" w:rsidRPr="00702A51" w:rsidRDefault="00B42CE6" w:rsidP="00B42CE6">
      <w:pPr>
        <w:pStyle w:val="Heading5"/>
      </w:pPr>
      <w:r w:rsidRPr="00702A51">
        <w:rPr>
          <w:rFonts w:eastAsia="Calibri"/>
          <w:lang w:eastAsia="en-US"/>
        </w:rPr>
        <w:t>Methodology</w:t>
      </w:r>
    </w:p>
    <w:p w14:paraId="3B8E71E2" w14:textId="4497F936" w:rsidR="00B42CE6" w:rsidRPr="00702A51" w:rsidRDefault="00B42CE6" w:rsidP="00B42CE6">
      <w:pPr>
        <w:pStyle w:val="PeformanceMeasuresNormal"/>
      </w:pPr>
      <w:r w:rsidRPr="00702A51">
        <w:t>Assessment of the variance between forecasts and outcomes in each year for actual total tax receipts (excluding company tax). Tax receipts forecasts are generally prepared using a ‘base plus growth’ methodology. The last outcome for each head of revenue is the base to which growth rates are applied, using appropriate economic parameters. Estimates for the current year also incorporate recent trends in tax collections. The confidence interval is a widely used metric that provides a guide to the degree of uncertainty around forecasts and a basis for assessing forecasting performance. The</w:t>
      </w:r>
      <w:r w:rsidR="00075058" w:rsidRPr="00702A51">
        <w:t> </w:t>
      </w:r>
      <w:r w:rsidRPr="00702A51">
        <w:t>70% confidence interval means there is a 70% chance that the outcome falls in this range. This</w:t>
      </w:r>
      <w:r w:rsidR="00075058" w:rsidRPr="00702A51">
        <w:t> </w:t>
      </w:r>
      <w:r w:rsidRPr="00702A51">
        <w:t xml:space="preserve">assumes future forecast errors are consistent with the distribution of past forecast errors from </w:t>
      </w:r>
      <w:r w:rsidR="000120F4" w:rsidRPr="00702A51">
        <w:br/>
      </w:r>
      <w:r w:rsidRPr="00702A51">
        <w:t>1998–99 onwards.</w:t>
      </w:r>
    </w:p>
    <w:p w14:paraId="6CD2EE17" w14:textId="77777777" w:rsidR="00B42CE6" w:rsidRPr="00702A51" w:rsidRDefault="00B42CE6" w:rsidP="00B42CE6">
      <w:pPr>
        <w:pStyle w:val="Heading5"/>
        <w:rPr>
          <w:rFonts w:eastAsia="Calibri"/>
          <w:lang w:eastAsia="en-US"/>
        </w:rPr>
      </w:pPr>
      <w:r w:rsidRPr="00702A51">
        <w:rPr>
          <w:rFonts w:eastAsia="Calibri"/>
          <w:lang w:eastAsia="en-US"/>
        </w:rPr>
        <w:t>Measure type</w:t>
      </w:r>
    </w:p>
    <w:p w14:paraId="2138FB9D" w14:textId="77777777" w:rsidR="00B42CE6" w:rsidRPr="00702A51" w:rsidRDefault="00B42CE6" w:rsidP="00B42CE6">
      <w:pPr>
        <w:pStyle w:val="PeformanceMeasuresNormal"/>
      </w:pPr>
      <w:r w:rsidRPr="00702A51">
        <w:t>Effectiveness measure.</w:t>
      </w:r>
    </w:p>
    <w:p w14:paraId="4A4A56B3" w14:textId="77777777" w:rsidR="00B42CE6" w:rsidRPr="00702A51" w:rsidRDefault="00B42CE6" w:rsidP="00B42CE6">
      <w:pPr>
        <w:pStyle w:val="Heading5"/>
      </w:pPr>
      <w:r w:rsidRPr="00702A51">
        <w:rPr>
          <w:rFonts w:eastAsia="Calibri"/>
          <w:lang w:eastAsia="en-US"/>
        </w:rPr>
        <w:t>Data sources</w:t>
      </w:r>
      <w:r w:rsidRPr="00702A51">
        <w:t xml:space="preserve"> </w:t>
      </w:r>
    </w:p>
    <w:p w14:paraId="7499ADB9" w14:textId="2EFA03FF" w:rsidR="00B42CE6" w:rsidRPr="00702A51" w:rsidRDefault="00B42CE6" w:rsidP="00B42CE6">
      <w:pPr>
        <w:pStyle w:val="PeformanceMeasuresNormal"/>
      </w:pPr>
      <w:r w:rsidRPr="00702A51">
        <w:t xml:space="preserve">Australian Bureau of Statistics Australian National Accounts: National Income, Expenditure and Product, </w:t>
      </w:r>
      <w:r w:rsidR="006E4F8A" w:rsidRPr="00702A51">
        <w:t>b</w:t>
      </w:r>
      <w:r w:rsidRPr="00702A51">
        <w:t>udget papers, and Final Budget Outcome.</w:t>
      </w:r>
    </w:p>
    <w:p w14:paraId="048BAF67" w14:textId="77777777" w:rsidR="00B42CE6" w:rsidRPr="00702A51" w:rsidRDefault="00B42CE6" w:rsidP="00B42CE6">
      <w:pPr>
        <w:pStyle w:val="Heading5"/>
      </w:pPr>
      <w:r w:rsidRPr="00702A51">
        <w:rPr>
          <w:rFonts w:eastAsia="Calibri"/>
          <w:lang w:eastAsia="en-US"/>
        </w:rPr>
        <w:t>Changes from previous year</w:t>
      </w:r>
      <w:r w:rsidRPr="00702A51">
        <w:t xml:space="preserve"> </w:t>
      </w:r>
    </w:p>
    <w:p w14:paraId="3C24AE9A" w14:textId="7DD4A987" w:rsidR="007A1EBE" w:rsidRPr="00702A51" w:rsidRDefault="00B42CE6" w:rsidP="00B42CE6">
      <w:pPr>
        <w:pStyle w:val="SingleParagraph"/>
      </w:pPr>
      <w:r w:rsidRPr="00702A51">
        <w:t>Treasury developed this performance measure for the Corporate Plan 2022–23. There are no changes for the 2026–27 reporting period.</w:t>
      </w:r>
      <w:r w:rsidR="007A1EBE" w:rsidRPr="00702A51">
        <w:br w:type="page"/>
      </w:r>
    </w:p>
    <w:p w14:paraId="18BE572E" w14:textId="664B122D" w:rsidR="00CD390E" w:rsidRPr="00702A51" w:rsidRDefault="00CD390E" w:rsidP="00E65620">
      <w:pPr>
        <w:pStyle w:val="Heading3"/>
      </w:pPr>
      <w:r w:rsidRPr="00702A51">
        <w:lastRenderedPageBreak/>
        <w:t xml:space="preserve">Intended result 1.3 </w:t>
      </w:r>
    </w:p>
    <w:p w14:paraId="17F09284" w14:textId="49D30505" w:rsidR="00CD390E" w:rsidRPr="00702A51" w:rsidRDefault="00CD390E" w:rsidP="005D080A">
      <w:pPr>
        <w:rPr>
          <w:rFonts w:eastAsia="Calibri"/>
          <w:lang w:eastAsia="en-US"/>
        </w:rPr>
      </w:pPr>
      <w:r w:rsidRPr="00702A51">
        <w:rPr>
          <w:rFonts w:eastAsia="Calibri"/>
          <w:lang w:eastAsia="en-US"/>
        </w:rPr>
        <w:t>Budgets, fiscal and economic updates are timely and comply with the Charter of Budget Honesty</w:t>
      </w:r>
      <w:r w:rsidR="00EB1E5B" w:rsidRPr="00702A51">
        <w:rPr>
          <w:rFonts w:eastAsia="Calibri"/>
          <w:lang w:eastAsia="en-US"/>
        </w:rPr>
        <w:t>.</w:t>
      </w:r>
    </w:p>
    <w:p w14:paraId="22598B17" w14:textId="77777777" w:rsidR="00F20B73" w:rsidRPr="00702A51" w:rsidRDefault="00F20B73" w:rsidP="00F20B73">
      <w:pPr>
        <w:pStyle w:val="Heading4"/>
        <w:rPr>
          <w:rFonts w:eastAsia="Calibri"/>
          <w:lang w:eastAsia="en-US"/>
        </w:rPr>
      </w:pPr>
      <w:r w:rsidRPr="00702A51">
        <w:rPr>
          <w:rFonts w:eastAsia="Calibri"/>
          <w:lang w:eastAsia="en-US"/>
        </w:rPr>
        <w:t xml:space="preserve">Performance measure 4 </w:t>
      </w:r>
    </w:p>
    <w:p w14:paraId="66D60208" w14:textId="0A252155" w:rsidR="00F20B73" w:rsidRPr="00702A51" w:rsidRDefault="00F20B73" w:rsidP="008D0909">
      <w:pPr>
        <w:pStyle w:val="PeformanceMeasuresNormal"/>
        <w:spacing w:after="240"/>
        <w:rPr>
          <w:rFonts w:eastAsia="Calibri"/>
          <w:lang w:eastAsia="en-US"/>
        </w:rPr>
      </w:pPr>
      <w:r w:rsidRPr="00702A51">
        <w:rPr>
          <w:rFonts w:eastAsia="Calibri"/>
          <w:lang w:eastAsia="en-US"/>
        </w:rPr>
        <w:t xml:space="preserve">Delivered in line with the requirements of the </w:t>
      </w:r>
      <w:r w:rsidRPr="00702A51">
        <w:rPr>
          <w:rFonts w:eastAsia="Calibri"/>
          <w:i/>
          <w:lang w:eastAsia="en-US"/>
        </w:rPr>
        <w:t>Charter of Budget Honesty Act 1998</w:t>
      </w:r>
      <w:r w:rsidRPr="00702A51">
        <w:rPr>
          <w:rFonts w:eastAsia="Calibri"/>
          <w:lang w:eastAsia="en-US"/>
        </w:rPr>
        <w:t xml:space="preserve"> (Charter). </w:t>
      </w:r>
      <w:r w:rsidR="008D0909" w:rsidRPr="00702A51">
        <w:rPr>
          <w:rFonts w:eastAsia="Calibri"/>
          <w:lang w:eastAsia="en-US"/>
        </w:rPr>
        <w:br/>
      </w:r>
      <w:r w:rsidRPr="00702A51">
        <w:rPr>
          <w:rFonts w:eastAsia="Calibri"/>
          <w:lang w:eastAsia="en-US"/>
        </w:rPr>
        <w:t>(Program 1.1 – Economic Management)</w:t>
      </w:r>
    </w:p>
    <w:tbl>
      <w:tblPr>
        <w:tblStyle w:val="TableGrid6"/>
        <w:tblW w:w="5000" w:type="pct"/>
        <w:tblBorders>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8D0909" w:rsidRPr="00702A51" w14:paraId="5D5BA527" w14:textId="77777777" w:rsidTr="00210F4B">
        <w:tc>
          <w:tcPr>
            <w:tcW w:w="1418" w:type="dxa"/>
            <w:tcBorders>
              <w:top w:val="nil"/>
              <w:bottom w:val="nil"/>
              <w:right w:val="nil"/>
            </w:tcBorders>
            <w:shd w:val="clear" w:color="auto" w:fill="E8F0FC" w:themeFill="accent5" w:themeFillTint="33"/>
          </w:tcPr>
          <w:p w14:paraId="1E1C219C" w14:textId="1750981B" w:rsidR="008D0909" w:rsidRPr="00702A51" w:rsidRDefault="00AB000D" w:rsidP="008D0909">
            <w:pPr>
              <w:pStyle w:val="TableColumnHeadingLeft"/>
              <w:rPr>
                <w:rFonts w:eastAsia="Calibri"/>
              </w:rPr>
            </w:pPr>
            <w:r w:rsidRPr="00702A51">
              <w:rPr>
                <w:rFonts w:eastAsia="Calibri"/>
              </w:rPr>
              <w:t>Year</w:t>
            </w:r>
          </w:p>
        </w:tc>
        <w:tc>
          <w:tcPr>
            <w:tcW w:w="7085" w:type="dxa"/>
            <w:tcBorders>
              <w:top w:val="nil"/>
              <w:left w:val="nil"/>
              <w:bottom w:val="nil"/>
            </w:tcBorders>
            <w:shd w:val="clear" w:color="auto" w:fill="E8F0FC" w:themeFill="accent5" w:themeFillTint="33"/>
          </w:tcPr>
          <w:p w14:paraId="38422A40" w14:textId="64DA0824" w:rsidR="008D0909" w:rsidRPr="00702A51" w:rsidRDefault="00AB000D" w:rsidP="008D0909">
            <w:pPr>
              <w:pStyle w:val="TableColumnHeadingLeft"/>
            </w:pPr>
            <w:r w:rsidRPr="00702A51">
              <w:t>Target</w:t>
            </w:r>
          </w:p>
        </w:tc>
      </w:tr>
      <w:tr w:rsidR="00245109" w:rsidRPr="00702A51" w14:paraId="4B4C291F" w14:textId="77777777" w:rsidTr="00210F4B">
        <w:tc>
          <w:tcPr>
            <w:tcW w:w="1418" w:type="dxa"/>
            <w:tcBorders>
              <w:top w:val="nil"/>
              <w:bottom w:val="single" w:sz="2" w:space="0" w:color="BFBFBF" w:themeColor="background1" w:themeShade="BF"/>
              <w:right w:val="nil"/>
            </w:tcBorders>
          </w:tcPr>
          <w:p w14:paraId="03318E6D" w14:textId="682B301D" w:rsidR="00245109" w:rsidRPr="00702A51" w:rsidRDefault="00245109" w:rsidP="008D0909">
            <w:pPr>
              <w:pStyle w:val="TableTextLeft"/>
              <w:rPr>
                <w:rFonts w:eastAsia="Calibri"/>
                <w:b/>
              </w:rPr>
            </w:pPr>
            <w:r w:rsidRPr="00702A51">
              <w:rPr>
                <w:rFonts w:eastAsia="Calibri"/>
                <w:b/>
              </w:rPr>
              <w:t>2026–27</w:t>
            </w:r>
          </w:p>
        </w:tc>
        <w:tc>
          <w:tcPr>
            <w:tcW w:w="7085" w:type="dxa"/>
            <w:tcBorders>
              <w:top w:val="nil"/>
              <w:left w:val="nil"/>
              <w:bottom w:val="single" w:sz="2" w:space="0" w:color="BFBFBF" w:themeColor="background1" w:themeShade="BF"/>
            </w:tcBorders>
          </w:tcPr>
          <w:p w14:paraId="1F318F1E" w14:textId="77777777" w:rsidR="00245109" w:rsidRPr="00702A51" w:rsidRDefault="00245109" w:rsidP="00245109">
            <w:pPr>
              <w:pStyle w:val="Tabletext10pt"/>
            </w:pPr>
            <w:r w:rsidRPr="00702A51">
              <w:t>100%</w:t>
            </w:r>
          </w:p>
        </w:tc>
      </w:tr>
      <w:tr w:rsidR="00245109" w:rsidRPr="00702A51" w14:paraId="7D559D0B"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43D27615" w14:textId="3B687434" w:rsidR="00245109" w:rsidRPr="00702A51" w:rsidRDefault="00245109" w:rsidP="008D0909">
            <w:pPr>
              <w:pStyle w:val="TableTextLeft"/>
              <w:rPr>
                <w:rFonts w:eastAsia="Calibri"/>
                <w:b/>
              </w:rPr>
            </w:pPr>
            <w:r w:rsidRPr="00702A51">
              <w:rPr>
                <w:rFonts w:eastAsia="Calibri"/>
                <w:b/>
              </w:rPr>
              <w:t>2027–28</w:t>
            </w:r>
          </w:p>
        </w:tc>
        <w:tc>
          <w:tcPr>
            <w:tcW w:w="7085" w:type="dxa"/>
            <w:tcBorders>
              <w:top w:val="single" w:sz="2" w:space="0" w:color="BFBFBF" w:themeColor="background1" w:themeShade="BF"/>
              <w:left w:val="nil"/>
              <w:bottom w:val="single" w:sz="2" w:space="0" w:color="BFBFBF" w:themeColor="background1" w:themeShade="BF"/>
            </w:tcBorders>
          </w:tcPr>
          <w:p w14:paraId="7C08EC13" w14:textId="77777777" w:rsidR="00245109" w:rsidRPr="00702A51" w:rsidRDefault="00245109" w:rsidP="00245109">
            <w:pPr>
              <w:pStyle w:val="Tabletext10pt"/>
            </w:pPr>
            <w:r w:rsidRPr="00702A51">
              <w:t>100%</w:t>
            </w:r>
          </w:p>
        </w:tc>
      </w:tr>
      <w:tr w:rsidR="00245109" w:rsidRPr="00702A51" w14:paraId="1A79BC62"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5876B0D8" w14:textId="6509DDD3" w:rsidR="00245109" w:rsidRPr="00702A51" w:rsidRDefault="00245109" w:rsidP="008D0909">
            <w:pPr>
              <w:pStyle w:val="TableTextLeft"/>
              <w:rPr>
                <w:rFonts w:eastAsia="Calibri"/>
                <w:b/>
              </w:rPr>
            </w:pPr>
            <w:r w:rsidRPr="00702A51">
              <w:rPr>
                <w:rFonts w:eastAsia="Calibri"/>
                <w:b/>
              </w:rPr>
              <w:t>2028–29</w:t>
            </w:r>
          </w:p>
        </w:tc>
        <w:tc>
          <w:tcPr>
            <w:tcW w:w="7085" w:type="dxa"/>
            <w:tcBorders>
              <w:top w:val="single" w:sz="2" w:space="0" w:color="BFBFBF" w:themeColor="background1" w:themeShade="BF"/>
              <w:left w:val="nil"/>
              <w:bottom w:val="single" w:sz="2" w:space="0" w:color="BFBFBF" w:themeColor="background1" w:themeShade="BF"/>
            </w:tcBorders>
          </w:tcPr>
          <w:p w14:paraId="5C6B466D" w14:textId="77777777" w:rsidR="00245109" w:rsidRPr="00702A51" w:rsidRDefault="00245109" w:rsidP="00245109">
            <w:pPr>
              <w:pStyle w:val="Tabletext10pt"/>
            </w:pPr>
            <w:r w:rsidRPr="00702A51">
              <w:t>100%</w:t>
            </w:r>
          </w:p>
        </w:tc>
      </w:tr>
      <w:tr w:rsidR="00CD390E" w:rsidRPr="00702A51" w14:paraId="32FA3288"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4B3CCDF3" w14:textId="722DFD9F" w:rsidR="00CD390E" w:rsidRPr="00702A51" w:rsidRDefault="00CD390E" w:rsidP="008D0909">
            <w:pPr>
              <w:pStyle w:val="TableTextLeft"/>
              <w:rPr>
                <w:rFonts w:eastAsia="Calibri"/>
                <w:b/>
              </w:rPr>
            </w:pPr>
            <w:r w:rsidRPr="00702A51">
              <w:rPr>
                <w:rFonts w:eastAsia="Calibri"/>
                <w:b/>
              </w:rPr>
              <w:t>202</w:t>
            </w:r>
            <w:r w:rsidR="00245109" w:rsidRPr="00702A51">
              <w:rPr>
                <w:rFonts w:eastAsia="Calibri"/>
                <w:b/>
              </w:rPr>
              <w:t>9</w:t>
            </w:r>
            <w:r w:rsidRPr="00702A51">
              <w:rPr>
                <w:rFonts w:eastAsia="Calibri"/>
                <w:b/>
              </w:rPr>
              <w:t>–</w:t>
            </w:r>
            <w:r w:rsidR="00245109" w:rsidRPr="00702A51">
              <w:rPr>
                <w:rFonts w:eastAsia="Calibri"/>
                <w:b/>
              </w:rPr>
              <w:t>30</w:t>
            </w:r>
          </w:p>
        </w:tc>
        <w:tc>
          <w:tcPr>
            <w:tcW w:w="7085" w:type="dxa"/>
            <w:tcBorders>
              <w:top w:val="single" w:sz="2" w:space="0" w:color="BFBFBF" w:themeColor="background1" w:themeShade="BF"/>
              <w:left w:val="nil"/>
              <w:bottom w:val="single" w:sz="2" w:space="0" w:color="BFBFBF" w:themeColor="background1" w:themeShade="BF"/>
            </w:tcBorders>
          </w:tcPr>
          <w:p w14:paraId="76B5AEA7" w14:textId="77777777" w:rsidR="00CD390E" w:rsidRPr="00702A51" w:rsidRDefault="00CD390E" w:rsidP="001E313F">
            <w:pPr>
              <w:pStyle w:val="Tabletext10pt"/>
            </w:pPr>
            <w:r w:rsidRPr="00702A51">
              <w:t>100%</w:t>
            </w:r>
          </w:p>
        </w:tc>
      </w:tr>
    </w:tbl>
    <w:p w14:paraId="54B26EF8" w14:textId="77777777" w:rsidR="008D0909" w:rsidRPr="00702A51" w:rsidRDefault="008D0909" w:rsidP="0096182A">
      <w:pPr>
        <w:pStyle w:val="Heading5"/>
        <w:spacing w:before="240"/>
      </w:pPr>
      <w:r w:rsidRPr="00702A51">
        <w:rPr>
          <w:rFonts w:eastAsia="Calibri"/>
        </w:rPr>
        <w:t>Target rationale</w:t>
      </w:r>
      <w:r w:rsidRPr="00702A51">
        <w:t xml:space="preserve"> </w:t>
      </w:r>
    </w:p>
    <w:p w14:paraId="2BF55583" w14:textId="27923A03" w:rsidR="008D0909" w:rsidRPr="00702A51" w:rsidRDefault="008D0909" w:rsidP="008D0909">
      <w:pPr>
        <w:pStyle w:val="PeformanceMeasuresNormal"/>
        <w:rPr>
          <w:rFonts w:eastAsia="Calibri"/>
        </w:rPr>
      </w:pPr>
      <w:r w:rsidRPr="00702A51">
        <w:t>The Charter includes specific timelines and requirements that must be met. Treasury has delivered in accordance with the Charter over previous reporting periods. The 100% target is an indication of the importance of these deliverables</w:t>
      </w:r>
      <w:r w:rsidR="000120F4" w:rsidRPr="00702A51">
        <w:t>.</w:t>
      </w:r>
      <w:r w:rsidRPr="00702A51">
        <w:rPr>
          <w:rFonts w:eastAsia="Calibri"/>
        </w:rPr>
        <w:t xml:space="preserve"> </w:t>
      </w:r>
    </w:p>
    <w:p w14:paraId="3A38282A" w14:textId="77777777" w:rsidR="008D0909" w:rsidRPr="00702A51" w:rsidRDefault="008D0909" w:rsidP="008D0909">
      <w:pPr>
        <w:pStyle w:val="Heading5"/>
        <w:rPr>
          <w:rFonts w:eastAsia="Calibri"/>
        </w:rPr>
      </w:pPr>
      <w:r w:rsidRPr="00702A51">
        <w:rPr>
          <w:rFonts w:eastAsia="Calibri"/>
        </w:rPr>
        <w:t>Methodology</w:t>
      </w:r>
    </w:p>
    <w:p w14:paraId="0E42CFC2" w14:textId="771624E4" w:rsidR="008D0909" w:rsidRPr="00702A51" w:rsidRDefault="008D0909" w:rsidP="008D0909">
      <w:pPr>
        <w:pStyle w:val="PeformanceMeasuresNormal"/>
      </w:pPr>
      <w:r w:rsidRPr="00702A51">
        <w:t>Assessment against the requirements and timeframes for the public release of the deliverables set out in the Charter for the 2026–27 reporting period. The deliverables for performance reporting in this period are the 2025–26 Final Budget Outcome, 2026–27 Mid-year Economic and Fiscal Outlook, and 2027–28 Budget. Additional reporting may also be required if the conditions of Part 6 and Part 9 of the Charter are met, if the Treasurer releases an Intergenerational Report, or if a statement of Commonwealth stock and securities is required. The Pre-election Economic and Fiscal Outlook is not included in the 2026–27 requirements</w:t>
      </w:r>
      <w:r w:rsidR="000120F4" w:rsidRPr="00702A51">
        <w:t>.</w:t>
      </w:r>
    </w:p>
    <w:p w14:paraId="4045B6A9" w14:textId="77777777" w:rsidR="008D0909" w:rsidRPr="00702A51" w:rsidRDefault="008D0909" w:rsidP="008D0909">
      <w:pPr>
        <w:pStyle w:val="Heading5"/>
        <w:rPr>
          <w:rFonts w:eastAsia="Calibri"/>
        </w:rPr>
      </w:pPr>
      <w:r w:rsidRPr="00702A51">
        <w:rPr>
          <w:rFonts w:eastAsia="Calibri"/>
        </w:rPr>
        <w:t>Measure type</w:t>
      </w:r>
    </w:p>
    <w:p w14:paraId="16C78E62" w14:textId="240EA965" w:rsidR="008D0909" w:rsidRPr="00702A51" w:rsidRDefault="008D0909" w:rsidP="008D0909">
      <w:pPr>
        <w:pStyle w:val="PeformanceMeasuresNormal"/>
        <w:rPr>
          <w:rFonts w:eastAsia="Calibri"/>
        </w:rPr>
      </w:pPr>
      <w:r w:rsidRPr="00702A51">
        <w:t>Output measure in relation to compliance. Timeliness measure as a proxy for efficiency.</w:t>
      </w:r>
      <w:r w:rsidRPr="00702A51">
        <w:rPr>
          <w:rFonts w:eastAsia="Calibri"/>
        </w:rPr>
        <w:t xml:space="preserve"> </w:t>
      </w:r>
    </w:p>
    <w:p w14:paraId="7FBD6AC9" w14:textId="0C96F87D" w:rsidR="008D0909" w:rsidRPr="00702A51" w:rsidRDefault="008D0909" w:rsidP="008D0909">
      <w:pPr>
        <w:pStyle w:val="Heading5"/>
        <w:rPr>
          <w:rFonts w:eastAsia="Calibri"/>
        </w:rPr>
      </w:pPr>
      <w:r w:rsidRPr="00702A51">
        <w:rPr>
          <w:rFonts w:eastAsia="Calibri"/>
        </w:rPr>
        <w:t>Data sources</w:t>
      </w:r>
    </w:p>
    <w:p w14:paraId="36C97CB0" w14:textId="77777777" w:rsidR="008D0909" w:rsidRPr="00702A51" w:rsidRDefault="008D0909" w:rsidP="008D0909">
      <w:pPr>
        <w:pStyle w:val="PeformanceMeasuresNormal"/>
        <w:rPr>
          <w:rFonts w:eastAsia="Calibri"/>
        </w:rPr>
      </w:pPr>
      <w:r w:rsidRPr="00702A51">
        <w:t>The released documents for the Final Budget Outcome, Mid-year Economic and Fiscal Outlook and Budget, and if provided, the Intergenerational Report and additional statement of Commonwealth stock and securities.</w:t>
      </w:r>
      <w:r w:rsidRPr="00702A51">
        <w:rPr>
          <w:rFonts w:eastAsia="Calibri"/>
        </w:rPr>
        <w:t xml:space="preserve"> </w:t>
      </w:r>
    </w:p>
    <w:p w14:paraId="4C09F889" w14:textId="77777777" w:rsidR="008D0909" w:rsidRPr="00702A51" w:rsidRDefault="008D0909" w:rsidP="008D0909">
      <w:pPr>
        <w:pStyle w:val="Heading5"/>
      </w:pPr>
      <w:r w:rsidRPr="00702A51">
        <w:rPr>
          <w:rFonts w:eastAsia="Calibri"/>
        </w:rPr>
        <w:t>Changes from previous year</w:t>
      </w:r>
      <w:r w:rsidRPr="00702A51">
        <w:t xml:space="preserve"> </w:t>
      </w:r>
    </w:p>
    <w:p w14:paraId="1617E7FD" w14:textId="47A2EC4A" w:rsidR="008D0909" w:rsidRPr="00702A51" w:rsidRDefault="008D0909" w:rsidP="008D0909">
      <w:pPr>
        <w:pStyle w:val="PeformanceMeasuresNormal"/>
      </w:pPr>
      <w:r w:rsidRPr="00702A51">
        <w:t>The performance measure allows for additional assessment against the requirements and timeframes of the Charter.</w:t>
      </w:r>
      <w:r w:rsidR="007E296D" w:rsidRPr="00702A51">
        <w:t xml:space="preserve"> There are no changes for the 2026–27 reporting period.</w:t>
      </w:r>
    </w:p>
    <w:p w14:paraId="7E4998BD" w14:textId="56C99415" w:rsidR="008246C0" w:rsidRPr="00702A51" w:rsidRDefault="008246C0" w:rsidP="00303115">
      <w:r w:rsidRPr="00702A51">
        <w:br w:type="page"/>
      </w:r>
    </w:p>
    <w:p w14:paraId="30551FC4" w14:textId="7505C266" w:rsidR="004F5E5D" w:rsidRPr="00702A51" w:rsidRDefault="004F5E5D" w:rsidP="00F220B6">
      <w:pPr>
        <w:pStyle w:val="Heading2"/>
      </w:pPr>
      <w:bookmarkStart w:id="60" w:name="_Toc237339150"/>
      <w:r w:rsidRPr="00702A51">
        <w:rPr>
          <w:bCs/>
        </w:rPr>
        <w:lastRenderedPageBreak/>
        <w:t xml:space="preserve">Key </w:t>
      </w:r>
      <w:r w:rsidR="00A84C55" w:rsidRPr="00702A51">
        <w:rPr>
          <w:bCs/>
        </w:rPr>
        <w:t>a</w:t>
      </w:r>
      <w:r w:rsidRPr="00702A51">
        <w:rPr>
          <w:bCs/>
        </w:rPr>
        <w:t xml:space="preserve">ctivity 2: </w:t>
      </w:r>
      <w:r w:rsidRPr="00702A51">
        <w:t>Treasury</w:t>
      </w:r>
      <w:r w:rsidR="006225C6" w:rsidRPr="00702A51">
        <w:t>’</w:t>
      </w:r>
      <w:r w:rsidRPr="00702A51">
        <w:t>s implementation of policies and regulation supports</w:t>
      </w:r>
      <w:r w:rsidR="00CE7DC2" w:rsidRPr="00702A51">
        <w:t> </w:t>
      </w:r>
      <w:r w:rsidRPr="00702A51">
        <w:t>Australia</w:t>
      </w:r>
      <w:r w:rsidR="006225C6" w:rsidRPr="00702A51">
        <w:t>’</w:t>
      </w:r>
      <w:r w:rsidRPr="00702A51">
        <w:t>s</w:t>
      </w:r>
      <w:r w:rsidR="00003162" w:rsidRPr="00702A51">
        <w:t> </w:t>
      </w:r>
      <w:r w:rsidRPr="00702A51">
        <w:t>economy</w:t>
      </w:r>
      <w:r w:rsidR="00003162" w:rsidRPr="00702A51">
        <w:t> </w:t>
      </w:r>
      <w:r w:rsidRPr="00702A51">
        <w:t>and</w:t>
      </w:r>
      <w:r w:rsidR="00003162" w:rsidRPr="00702A51">
        <w:t> </w:t>
      </w:r>
      <w:r w:rsidRPr="00702A51">
        <w:t>national interest</w:t>
      </w:r>
      <w:bookmarkEnd w:id="60"/>
    </w:p>
    <w:p w14:paraId="11B21D07" w14:textId="64FBCE15" w:rsidR="00386F50" w:rsidRPr="00702A51" w:rsidRDefault="00386F50" w:rsidP="00F220B6">
      <w:pPr>
        <w:pStyle w:val="Heading3"/>
      </w:pPr>
      <w:r w:rsidRPr="00702A51">
        <w:t xml:space="preserve">Intended </w:t>
      </w:r>
      <w:r w:rsidR="002E281A">
        <w:t>result</w:t>
      </w:r>
      <w:r w:rsidRPr="00702A51">
        <w:t xml:space="preserve"> 2.1</w:t>
      </w:r>
    </w:p>
    <w:p w14:paraId="73278837" w14:textId="2FA6EB9B" w:rsidR="00386F50" w:rsidRPr="00702A51" w:rsidRDefault="00386F50" w:rsidP="005D080A">
      <w:pPr>
        <w:rPr>
          <w:rFonts w:eastAsia="Calibri"/>
          <w:lang w:eastAsia="en-US"/>
        </w:rPr>
      </w:pPr>
      <w:r w:rsidRPr="00702A51">
        <w:rPr>
          <w:rFonts w:eastAsia="Calibri"/>
          <w:lang w:eastAsia="en-US"/>
        </w:rPr>
        <w:t>Treasury</w:t>
      </w:r>
      <w:r w:rsidR="006225C6" w:rsidRPr="00702A51">
        <w:rPr>
          <w:rFonts w:eastAsia="Calibri"/>
          <w:lang w:eastAsia="en-US"/>
        </w:rPr>
        <w:t>’</w:t>
      </w:r>
      <w:r w:rsidRPr="00702A51">
        <w:rPr>
          <w:rFonts w:eastAsia="Calibri"/>
          <w:lang w:eastAsia="en-US"/>
        </w:rPr>
        <w:t>s policy advice on markets and regulator</w:t>
      </w:r>
      <w:r w:rsidR="000D6591">
        <w:rPr>
          <w:rFonts w:eastAsia="Calibri"/>
          <w:lang w:eastAsia="en-US"/>
        </w:rPr>
        <w:t>y</w:t>
      </w:r>
      <w:r w:rsidRPr="00702A51">
        <w:rPr>
          <w:rFonts w:eastAsia="Calibri"/>
          <w:lang w:eastAsia="en-US"/>
        </w:rPr>
        <w:t xml:space="preserve"> issues assists the Australian economy to be competitive and key markets to be dynamic</w:t>
      </w:r>
      <w:r w:rsidR="00EB1E5B" w:rsidRPr="00702A51">
        <w:rPr>
          <w:rFonts w:eastAsia="Calibri"/>
          <w:lang w:eastAsia="en-US"/>
        </w:rPr>
        <w:t>.</w:t>
      </w:r>
    </w:p>
    <w:p w14:paraId="6DAA351F" w14:textId="145DF587" w:rsidR="002C2055" w:rsidRPr="00702A51" w:rsidRDefault="002C2055" w:rsidP="002C2055">
      <w:pPr>
        <w:pStyle w:val="Heading4"/>
        <w:rPr>
          <w:rFonts w:eastAsia="Calibri"/>
          <w:lang w:eastAsia="en-US"/>
        </w:rPr>
      </w:pPr>
      <w:r w:rsidRPr="00702A51">
        <w:rPr>
          <w:rFonts w:eastAsia="Calibri"/>
          <w:lang w:eastAsia="en-US"/>
        </w:rPr>
        <w:t>Performance measure 5</w:t>
      </w:r>
    </w:p>
    <w:p w14:paraId="2EE33636" w14:textId="291755BE" w:rsidR="002C2055" w:rsidRPr="00702A51" w:rsidRDefault="002C2055" w:rsidP="00F40F9F">
      <w:pPr>
        <w:pStyle w:val="PeformanceMeasuresNormal"/>
        <w:spacing w:after="240"/>
        <w:rPr>
          <w:rFonts w:eastAsia="Calibri"/>
          <w:lang w:eastAsia="en-US"/>
        </w:rPr>
      </w:pPr>
      <w:r w:rsidRPr="00702A51">
        <w:rPr>
          <w:rFonts w:eastAsia="Calibri"/>
          <w:lang w:eastAsia="en-US"/>
        </w:rPr>
        <w:t xml:space="preserve">Australia maintains or improves its 2022 score on markets related inputs to the World Competitiveness Ranking produced by the Institute for Management Development. </w:t>
      </w:r>
      <w:r w:rsidR="00F40F9F" w:rsidRPr="00702A51">
        <w:rPr>
          <w:rFonts w:eastAsia="Calibri"/>
          <w:lang w:eastAsia="en-US"/>
        </w:rPr>
        <w:br/>
      </w:r>
      <w:r w:rsidRPr="00702A51">
        <w:rPr>
          <w:rFonts w:eastAsia="Calibri"/>
          <w:lang w:eastAsia="en-US"/>
        </w:rPr>
        <w:t>(Program 1.3 – Support for Markets and Business)</w:t>
      </w:r>
    </w:p>
    <w:tbl>
      <w:tblPr>
        <w:tblStyle w:val="TableGrid7"/>
        <w:tblW w:w="5000" w:type="pct"/>
        <w:tblBorders>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F40F9F" w:rsidRPr="00702A51" w14:paraId="3290CEBC" w14:textId="77777777" w:rsidTr="00210F4B">
        <w:tc>
          <w:tcPr>
            <w:tcW w:w="1418" w:type="dxa"/>
            <w:tcBorders>
              <w:top w:val="nil"/>
              <w:bottom w:val="nil"/>
              <w:right w:val="nil"/>
            </w:tcBorders>
            <w:shd w:val="clear" w:color="auto" w:fill="E8F0FC" w:themeFill="accent5" w:themeFillTint="33"/>
          </w:tcPr>
          <w:p w14:paraId="7AEEBD72" w14:textId="1B69117A" w:rsidR="00F40F9F" w:rsidRPr="00702A51" w:rsidRDefault="00AB000D" w:rsidP="00F40F9F">
            <w:pPr>
              <w:pStyle w:val="TableColumnHeadingLeft"/>
              <w:rPr>
                <w:rFonts w:eastAsia="Calibri"/>
              </w:rPr>
            </w:pPr>
            <w:r w:rsidRPr="00702A51">
              <w:rPr>
                <w:rFonts w:eastAsia="Calibri"/>
              </w:rPr>
              <w:t>Year</w:t>
            </w:r>
          </w:p>
        </w:tc>
        <w:tc>
          <w:tcPr>
            <w:tcW w:w="7085" w:type="dxa"/>
            <w:tcBorders>
              <w:top w:val="nil"/>
              <w:left w:val="nil"/>
              <w:bottom w:val="nil"/>
            </w:tcBorders>
            <w:shd w:val="clear" w:color="auto" w:fill="E8F0FC" w:themeFill="accent5" w:themeFillTint="33"/>
          </w:tcPr>
          <w:p w14:paraId="33E6A691" w14:textId="3E9BF413" w:rsidR="00F40F9F" w:rsidRPr="00702A51" w:rsidRDefault="00AB000D" w:rsidP="00F40F9F">
            <w:pPr>
              <w:pStyle w:val="TableColumnHeadingLeft"/>
            </w:pPr>
            <w:r w:rsidRPr="00702A51">
              <w:t>Target</w:t>
            </w:r>
          </w:p>
        </w:tc>
      </w:tr>
      <w:tr w:rsidR="00245109" w:rsidRPr="00702A51" w14:paraId="4D2A65E8" w14:textId="77777777" w:rsidTr="00210F4B">
        <w:tc>
          <w:tcPr>
            <w:tcW w:w="1418" w:type="dxa"/>
            <w:tcBorders>
              <w:top w:val="nil"/>
              <w:bottom w:val="single" w:sz="2" w:space="0" w:color="BFBFBF" w:themeColor="background1" w:themeShade="BF"/>
              <w:right w:val="nil"/>
            </w:tcBorders>
          </w:tcPr>
          <w:p w14:paraId="4EA18F7B" w14:textId="53D93CFF" w:rsidR="00245109" w:rsidRPr="00702A51" w:rsidRDefault="00245109" w:rsidP="00F40F9F">
            <w:pPr>
              <w:pStyle w:val="TableTextLeft"/>
              <w:rPr>
                <w:rFonts w:eastAsia="Calibri"/>
                <w:b/>
              </w:rPr>
            </w:pPr>
            <w:r w:rsidRPr="00702A51">
              <w:rPr>
                <w:rFonts w:eastAsia="Calibri"/>
                <w:b/>
              </w:rPr>
              <w:t>2026–27</w:t>
            </w:r>
          </w:p>
        </w:tc>
        <w:tc>
          <w:tcPr>
            <w:tcW w:w="7085" w:type="dxa"/>
            <w:tcBorders>
              <w:top w:val="nil"/>
              <w:left w:val="nil"/>
              <w:bottom w:val="single" w:sz="2" w:space="0" w:color="BFBFBF" w:themeColor="background1" w:themeShade="BF"/>
            </w:tcBorders>
          </w:tcPr>
          <w:p w14:paraId="270A31EF" w14:textId="77777777" w:rsidR="00245109" w:rsidRPr="00702A51" w:rsidRDefault="00245109" w:rsidP="00F40F9F">
            <w:pPr>
              <w:pStyle w:val="TableTextLeft"/>
            </w:pPr>
            <w:r w:rsidRPr="00702A51">
              <w:t>Competitiveness score ≥105</w:t>
            </w:r>
          </w:p>
        </w:tc>
      </w:tr>
      <w:tr w:rsidR="00245109" w:rsidRPr="00702A51" w14:paraId="10F621DE"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6E944514" w14:textId="3A6E022E" w:rsidR="00245109" w:rsidRPr="00702A51" w:rsidRDefault="00245109" w:rsidP="00F40F9F">
            <w:pPr>
              <w:pStyle w:val="TableTextLeft"/>
              <w:rPr>
                <w:rFonts w:eastAsia="Calibri"/>
                <w:b/>
              </w:rPr>
            </w:pPr>
            <w:r w:rsidRPr="00702A51">
              <w:rPr>
                <w:rFonts w:eastAsia="Calibri"/>
                <w:b/>
              </w:rPr>
              <w:t>2027–28</w:t>
            </w:r>
          </w:p>
        </w:tc>
        <w:tc>
          <w:tcPr>
            <w:tcW w:w="7085" w:type="dxa"/>
            <w:tcBorders>
              <w:top w:val="single" w:sz="2" w:space="0" w:color="BFBFBF" w:themeColor="background1" w:themeShade="BF"/>
              <w:left w:val="nil"/>
              <w:bottom w:val="single" w:sz="2" w:space="0" w:color="BFBFBF" w:themeColor="background1" w:themeShade="BF"/>
            </w:tcBorders>
          </w:tcPr>
          <w:p w14:paraId="492AFB43" w14:textId="77777777" w:rsidR="00245109" w:rsidRPr="00702A51" w:rsidRDefault="00245109" w:rsidP="00F40F9F">
            <w:pPr>
              <w:pStyle w:val="TableTextLeft"/>
            </w:pPr>
            <w:r w:rsidRPr="00702A51">
              <w:t>Competitiveness score ≥105</w:t>
            </w:r>
          </w:p>
        </w:tc>
      </w:tr>
      <w:tr w:rsidR="00245109" w:rsidRPr="00702A51" w14:paraId="674EF33D"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4D7E0409" w14:textId="084621D5" w:rsidR="00245109" w:rsidRPr="00702A51" w:rsidRDefault="00245109" w:rsidP="00F40F9F">
            <w:pPr>
              <w:pStyle w:val="TableTextLeft"/>
              <w:rPr>
                <w:rFonts w:eastAsia="Calibri"/>
                <w:b/>
              </w:rPr>
            </w:pPr>
            <w:r w:rsidRPr="00702A51">
              <w:rPr>
                <w:rFonts w:eastAsia="Calibri"/>
                <w:b/>
              </w:rPr>
              <w:t>2028–29</w:t>
            </w:r>
          </w:p>
        </w:tc>
        <w:tc>
          <w:tcPr>
            <w:tcW w:w="7085" w:type="dxa"/>
            <w:tcBorders>
              <w:top w:val="single" w:sz="2" w:space="0" w:color="BFBFBF" w:themeColor="background1" w:themeShade="BF"/>
              <w:left w:val="nil"/>
              <w:bottom w:val="single" w:sz="2" w:space="0" w:color="BFBFBF" w:themeColor="background1" w:themeShade="BF"/>
            </w:tcBorders>
          </w:tcPr>
          <w:p w14:paraId="766DA48F" w14:textId="77777777" w:rsidR="00245109" w:rsidRPr="00702A51" w:rsidRDefault="00245109" w:rsidP="00F40F9F">
            <w:pPr>
              <w:pStyle w:val="TableTextLeft"/>
            </w:pPr>
            <w:r w:rsidRPr="00702A51">
              <w:t>Competitiveness score ≥105</w:t>
            </w:r>
          </w:p>
        </w:tc>
      </w:tr>
      <w:tr w:rsidR="00386F50" w:rsidRPr="00702A51" w14:paraId="1E396604"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5AD65D93" w14:textId="74557349" w:rsidR="00386F50" w:rsidRPr="00702A51" w:rsidRDefault="00386F50" w:rsidP="00F40F9F">
            <w:pPr>
              <w:pStyle w:val="TableTextLeft"/>
              <w:rPr>
                <w:rFonts w:eastAsia="Calibri"/>
                <w:b/>
              </w:rPr>
            </w:pPr>
            <w:r w:rsidRPr="00702A51">
              <w:rPr>
                <w:rFonts w:eastAsia="Calibri"/>
                <w:b/>
              </w:rPr>
              <w:t>202</w:t>
            </w:r>
            <w:r w:rsidR="00245109" w:rsidRPr="00702A51">
              <w:rPr>
                <w:rFonts w:eastAsia="Calibri"/>
                <w:b/>
              </w:rPr>
              <w:t>9</w:t>
            </w:r>
            <w:r w:rsidRPr="00702A51">
              <w:rPr>
                <w:rFonts w:eastAsia="Calibri"/>
                <w:b/>
              </w:rPr>
              <w:t>–</w:t>
            </w:r>
            <w:r w:rsidR="00245109" w:rsidRPr="00702A51">
              <w:rPr>
                <w:rFonts w:eastAsia="Calibri"/>
                <w:b/>
              </w:rPr>
              <w:t>30</w:t>
            </w:r>
          </w:p>
        </w:tc>
        <w:tc>
          <w:tcPr>
            <w:tcW w:w="7085" w:type="dxa"/>
            <w:tcBorders>
              <w:top w:val="single" w:sz="2" w:space="0" w:color="BFBFBF" w:themeColor="background1" w:themeShade="BF"/>
              <w:left w:val="nil"/>
              <w:bottom w:val="single" w:sz="2" w:space="0" w:color="BFBFBF" w:themeColor="background1" w:themeShade="BF"/>
            </w:tcBorders>
          </w:tcPr>
          <w:p w14:paraId="6CD0B840" w14:textId="77777777" w:rsidR="00386F50" w:rsidRPr="00702A51" w:rsidRDefault="00386F50" w:rsidP="00F40F9F">
            <w:pPr>
              <w:pStyle w:val="TableTextLeft"/>
            </w:pPr>
            <w:r w:rsidRPr="00702A51">
              <w:t>Competitiveness score ≥105</w:t>
            </w:r>
          </w:p>
        </w:tc>
      </w:tr>
    </w:tbl>
    <w:p w14:paraId="21433E59" w14:textId="12CD1730" w:rsidR="00F40F9F" w:rsidRPr="00702A51" w:rsidRDefault="00F40F9F" w:rsidP="0096182A">
      <w:pPr>
        <w:pStyle w:val="Heading5"/>
        <w:spacing w:before="240"/>
      </w:pPr>
      <w:r w:rsidRPr="00702A51">
        <w:rPr>
          <w:rFonts w:eastAsia="Calibri"/>
          <w:lang w:eastAsia="en-US"/>
        </w:rPr>
        <w:t>Target rationale</w:t>
      </w:r>
    </w:p>
    <w:p w14:paraId="6D2ABDF9" w14:textId="11B9D594" w:rsidR="00F40F9F" w:rsidRPr="00702A51" w:rsidRDefault="00F40F9F" w:rsidP="00F40F9F">
      <w:pPr>
        <w:pStyle w:val="PeformanceMeasuresNormal"/>
      </w:pPr>
      <w:r w:rsidRPr="00702A51">
        <w:t xml:space="preserve">Treasury developed the competitiveness score of 105 for the 2022–23 and forward year reporting periods based on the 2022 data for 15 criteria of the World Competitiveness Rankings. The 15 criteria relate to areas of Treasury’s policy responsibility. The target reflects the performance goal of maintaining or improving Australia’s competitiveness in areas related to market performance that are within the policy responsibilities of Treasury and remains valid. </w:t>
      </w:r>
    </w:p>
    <w:p w14:paraId="577FD33D" w14:textId="73FED8B9" w:rsidR="00F40F9F" w:rsidRPr="00702A51" w:rsidRDefault="00F40F9F" w:rsidP="00F40F9F">
      <w:pPr>
        <w:pStyle w:val="Heading5"/>
      </w:pPr>
      <w:r w:rsidRPr="00702A51">
        <w:rPr>
          <w:rFonts w:eastAsia="Calibri"/>
          <w:lang w:eastAsia="en-US"/>
        </w:rPr>
        <w:t>Methodology</w:t>
      </w:r>
    </w:p>
    <w:p w14:paraId="7979CE99" w14:textId="61FEE9CA" w:rsidR="00F40F9F" w:rsidRPr="00702A51" w:rsidRDefault="00F40F9F" w:rsidP="00F40F9F">
      <w:pPr>
        <w:pStyle w:val="PeformanceMeasuresNormal"/>
        <w:rPr>
          <w:rFonts w:eastAsia="Calibri"/>
          <w:lang w:eastAsia="en-US"/>
        </w:rPr>
      </w:pPr>
      <w:r w:rsidRPr="00702A51">
        <w:t>The Institute for Management Development (IMD) produces a World Competitiveness Ranking based on a range of criteria. Fifteen of these criteria relate to the Treasury in the areas of policy responsibility for financial system, investment, retirement incomes, provision of actuarial services, and corporations, competition, and consumer data and law. Other performance measures do not assess these policy areas. IMD calculates the average value for each economy for publication in the IMD</w:t>
      </w:r>
      <w:r w:rsidR="00075058" w:rsidRPr="00702A51">
        <w:t> </w:t>
      </w:r>
      <w:r w:rsidRPr="00702A51">
        <w:t>World Competitiveness Yearbook each year. Treasury will use the results against the 15 criteria to construct a competitiveness score relevant to this performance measure as an indicator of Treasury’s policy effectiveness</w:t>
      </w:r>
      <w:r w:rsidR="000120F4" w:rsidRPr="00702A51">
        <w:t>.</w:t>
      </w:r>
      <w:r w:rsidRPr="00702A51">
        <w:rPr>
          <w:rFonts w:eastAsia="Calibri"/>
          <w:lang w:eastAsia="en-US"/>
        </w:rPr>
        <w:t xml:space="preserve"> </w:t>
      </w:r>
    </w:p>
    <w:p w14:paraId="65DBD1B9" w14:textId="3F6ADCDF" w:rsidR="00F40F9F" w:rsidRPr="00702A51" w:rsidRDefault="00F40F9F" w:rsidP="00F40F9F">
      <w:pPr>
        <w:pStyle w:val="Heading5"/>
      </w:pPr>
      <w:r w:rsidRPr="00702A51">
        <w:rPr>
          <w:rFonts w:eastAsia="Calibri"/>
          <w:lang w:eastAsia="en-US"/>
        </w:rPr>
        <w:t>Measure type</w:t>
      </w:r>
    </w:p>
    <w:p w14:paraId="05CF8C7E" w14:textId="77777777" w:rsidR="00F40F9F" w:rsidRPr="00702A51" w:rsidRDefault="00F40F9F" w:rsidP="00F40F9F">
      <w:pPr>
        <w:pStyle w:val="PeformanceMeasuresNormal"/>
        <w:rPr>
          <w:rFonts w:eastAsia="Calibri"/>
          <w:lang w:eastAsia="en-US"/>
        </w:rPr>
      </w:pPr>
      <w:r w:rsidRPr="00702A51">
        <w:t>Effectiveness measure.</w:t>
      </w:r>
      <w:r w:rsidRPr="00702A51">
        <w:rPr>
          <w:rFonts w:eastAsia="Calibri"/>
          <w:lang w:eastAsia="en-US"/>
        </w:rPr>
        <w:t xml:space="preserve"> </w:t>
      </w:r>
    </w:p>
    <w:p w14:paraId="676D6EB7" w14:textId="6C3D46BC" w:rsidR="00F40F9F" w:rsidRPr="00702A51" w:rsidRDefault="00F40F9F" w:rsidP="00F40F9F">
      <w:pPr>
        <w:pStyle w:val="Heading5"/>
        <w:rPr>
          <w:rFonts w:eastAsia="Calibri"/>
          <w:lang w:eastAsia="en-US"/>
        </w:rPr>
      </w:pPr>
      <w:r w:rsidRPr="00702A51">
        <w:rPr>
          <w:rFonts w:eastAsia="Calibri"/>
          <w:lang w:eastAsia="en-US"/>
        </w:rPr>
        <w:t>Data sources</w:t>
      </w:r>
    </w:p>
    <w:p w14:paraId="54511E00" w14:textId="46F8C1DD" w:rsidR="00F40F9F" w:rsidRPr="00702A51" w:rsidRDefault="00F40F9F" w:rsidP="00F40F9F">
      <w:pPr>
        <w:pStyle w:val="PeformanceMeasuresNormal"/>
        <w:rPr>
          <w:bCs/>
        </w:rPr>
      </w:pPr>
      <w:hyperlink r:id="rId25" w:history="1">
        <w:r w:rsidRPr="00702A51">
          <w:rPr>
            <w:rStyle w:val="Hyperlink"/>
          </w:rPr>
          <w:t>Institute for Management Development World Competitiveness Rankings</w:t>
        </w:r>
      </w:hyperlink>
      <w:r w:rsidRPr="00702A51">
        <w:rPr>
          <w:bCs/>
        </w:rPr>
        <w:t>.</w:t>
      </w:r>
    </w:p>
    <w:p w14:paraId="5C728185" w14:textId="2FDFB86A" w:rsidR="00F40F9F" w:rsidRPr="00702A51" w:rsidRDefault="00F40F9F" w:rsidP="00F40F9F">
      <w:pPr>
        <w:pStyle w:val="Heading5"/>
        <w:rPr>
          <w:rFonts w:eastAsia="Calibri"/>
          <w:lang w:eastAsia="en-US"/>
        </w:rPr>
      </w:pPr>
      <w:r w:rsidRPr="00702A51">
        <w:rPr>
          <w:rFonts w:eastAsia="Calibri"/>
          <w:lang w:eastAsia="en-US"/>
        </w:rPr>
        <w:t>Changes from previous year</w:t>
      </w:r>
    </w:p>
    <w:p w14:paraId="43FB5BEA" w14:textId="157DA4BA" w:rsidR="00C42D45" w:rsidRPr="00702A51" w:rsidRDefault="00F40F9F" w:rsidP="00D37EAF">
      <w:pPr>
        <w:pStyle w:val="PeformanceMeasuresNormal"/>
        <w:rPr>
          <w:rFonts w:eastAsia="Calibri"/>
          <w:lang w:eastAsia="en-US"/>
        </w:rPr>
      </w:pPr>
      <w:r w:rsidRPr="00702A51">
        <w:t>Treasury established this performance measure in the Corporate Plan 2022–23 with the target set during the first year. There are no changes for the 2026–27 reporting period.</w:t>
      </w:r>
    </w:p>
    <w:p w14:paraId="6334C5CE" w14:textId="24CC2622" w:rsidR="00536614" w:rsidRPr="00702A51" w:rsidRDefault="00536614" w:rsidP="00430A9B">
      <w:pPr>
        <w:pStyle w:val="Heading3"/>
      </w:pPr>
      <w:r w:rsidRPr="00702A51">
        <w:lastRenderedPageBreak/>
        <w:t xml:space="preserve">Intended </w:t>
      </w:r>
      <w:r w:rsidR="00DF0E57" w:rsidRPr="00702A51">
        <w:t>r</w:t>
      </w:r>
      <w:r w:rsidRPr="00702A51">
        <w:t>esult 2.2</w:t>
      </w:r>
    </w:p>
    <w:p w14:paraId="66458EAD" w14:textId="529490C5" w:rsidR="00536614" w:rsidRPr="00702A51" w:rsidRDefault="00536614" w:rsidP="005D080A">
      <w:pPr>
        <w:rPr>
          <w:rFonts w:eastAsia="Calibri"/>
          <w:spacing w:val="-2"/>
        </w:rPr>
      </w:pPr>
      <w:r w:rsidRPr="00702A51">
        <w:rPr>
          <w:rFonts w:eastAsia="Calibri"/>
          <w:spacing w:val="-2"/>
        </w:rPr>
        <w:t>Treasury</w:t>
      </w:r>
      <w:r w:rsidR="006225C6" w:rsidRPr="00702A51">
        <w:rPr>
          <w:rFonts w:eastAsia="Calibri"/>
          <w:spacing w:val="-2"/>
        </w:rPr>
        <w:t>’</w:t>
      </w:r>
      <w:r w:rsidRPr="00702A51">
        <w:rPr>
          <w:rFonts w:eastAsia="Calibri"/>
          <w:spacing w:val="-2"/>
        </w:rPr>
        <w:t xml:space="preserve">s policy advice on prudential </w:t>
      </w:r>
      <w:bookmarkStart w:id="61" w:name="_Hlk206409840"/>
      <w:r w:rsidR="00AA61A6" w:rsidRPr="00702A51">
        <w:rPr>
          <w:rFonts w:eastAsia="Calibri"/>
          <w:spacing w:val="-2"/>
        </w:rPr>
        <w:t xml:space="preserve">and financial market infrastructure issues </w:t>
      </w:r>
      <w:bookmarkEnd w:id="61"/>
      <w:r w:rsidRPr="00702A51">
        <w:rPr>
          <w:rFonts w:eastAsia="Calibri"/>
          <w:spacing w:val="-2"/>
        </w:rPr>
        <w:t>contributes to the stability of Australia</w:t>
      </w:r>
      <w:r w:rsidR="006225C6" w:rsidRPr="00702A51">
        <w:rPr>
          <w:rFonts w:eastAsia="Calibri"/>
          <w:spacing w:val="-2"/>
        </w:rPr>
        <w:t>’</w:t>
      </w:r>
      <w:r w:rsidRPr="00702A51">
        <w:rPr>
          <w:rFonts w:eastAsia="Calibri"/>
          <w:spacing w:val="-2"/>
        </w:rPr>
        <w:t>s financial system and provides confidence to consumers and investors, supporting economic growth</w:t>
      </w:r>
      <w:r w:rsidR="00EB1E5B" w:rsidRPr="00702A51">
        <w:rPr>
          <w:rFonts w:eastAsia="Calibri"/>
          <w:spacing w:val="-2"/>
        </w:rPr>
        <w:t>.</w:t>
      </w:r>
    </w:p>
    <w:p w14:paraId="3E890BE0" w14:textId="77777777" w:rsidR="00C125B3" w:rsidRPr="00702A51" w:rsidRDefault="00C125B3" w:rsidP="00C125B3">
      <w:pPr>
        <w:pStyle w:val="Heading4"/>
        <w:rPr>
          <w:rFonts w:eastAsia="Calibri"/>
        </w:rPr>
      </w:pPr>
      <w:r w:rsidRPr="00702A51">
        <w:rPr>
          <w:rFonts w:eastAsia="Calibri"/>
        </w:rPr>
        <w:t>Performance measure 6</w:t>
      </w:r>
    </w:p>
    <w:p w14:paraId="33F263C7" w14:textId="01D2B56A" w:rsidR="00C125B3" w:rsidRPr="00702A51" w:rsidRDefault="00C125B3" w:rsidP="0096182A">
      <w:pPr>
        <w:pStyle w:val="PeformanceMeasuresNormal"/>
        <w:spacing w:after="240"/>
        <w:rPr>
          <w:rFonts w:eastAsia="Calibri"/>
        </w:rPr>
      </w:pPr>
      <w:r w:rsidRPr="00702A51">
        <w:rPr>
          <w:rFonts w:eastAsia="Calibri"/>
        </w:rPr>
        <w:t xml:space="preserve">No disorderly failures of institutions prudentially regulated in Australia. </w:t>
      </w:r>
      <w:r w:rsidR="0096182A" w:rsidRPr="00702A51">
        <w:rPr>
          <w:rFonts w:eastAsia="Calibri"/>
        </w:rPr>
        <w:br/>
      </w:r>
      <w:r w:rsidRPr="00702A51">
        <w:rPr>
          <w:rFonts w:eastAsia="Calibri"/>
        </w:rPr>
        <w:t>(Program 1.1 – Economic Management)</w:t>
      </w:r>
    </w:p>
    <w:tbl>
      <w:tblPr>
        <w:tblStyle w:val="TableGrid8"/>
        <w:tblW w:w="5000" w:type="pct"/>
        <w:tblBorders>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96182A" w:rsidRPr="00702A51" w14:paraId="2082CD85" w14:textId="77777777" w:rsidTr="00210F4B">
        <w:tc>
          <w:tcPr>
            <w:tcW w:w="1418" w:type="dxa"/>
            <w:tcBorders>
              <w:top w:val="nil"/>
              <w:bottom w:val="nil"/>
              <w:right w:val="nil"/>
            </w:tcBorders>
            <w:shd w:val="clear" w:color="auto" w:fill="E8F0FC" w:themeFill="accent5" w:themeFillTint="33"/>
          </w:tcPr>
          <w:p w14:paraId="6E70C889" w14:textId="7D96912D" w:rsidR="0096182A" w:rsidRPr="00702A51" w:rsidRDefault="00AB000D" w:rsidP="0096182A">
            <w:pPr>
              <w:pStyle w:val="TableColumnHeadingLeft"/>
              <w:rPr>
                <w:rFonts w:eastAsia="Calibri"/>
              </w:rPr>
            </w:pPr>
            <w:r w:rsidRPr="00702A51">
              <w:rPr>
                <w:rFonts w:eastAsia="Calibri"/>
              </w:rPr>
              <w:t>Year</w:t>
            </w:r>
          </w:p>
        </w:tc>
        <w:tc>
          <w:tcPr>
            <w:tcW w:w="7085" w:type="dxa"/>
            <w:tcBorders>
              <w:top w:val="nil"/>
              <w:left w:val="nil"/>
              <w:bottom w:val="nil"/>
            </w:tcBorders>
            <w:shd w:val="clear" w:color="auto" w:fill="E8F0FC" w:themeFill="accent5" w:themeFillTint="33"/>
          </w:tcPr>
          <w:p w14:paraId="77CA21E2" w14:textId="0022217C" w:rsidR="0096182A" w:rsidRPr="00702A51" w:rsidRDefault="00AB000D" w:rsidP="0096182A">
            <w:pPr>
              <w:pStyle w:val="TableColumnHeadingLeft"/>
            </w:pPr>
            <w:r w:rsidRPr="00702A51">
              <w:t>Target</w:t>
            </w:r>
          </w:p>
        </w:tc>
      </w:tr>
      <w:tr w:rsidR="00EC6F9D" w:rsidRPr="00702A51" w14:paraId="784AC0A3" w14:textId="77777777" w:rsidTr="00210F4B">
        <w:tc>
          <w:tcPr>
            <w:tcW w:w="1418" w:type="dxa"/>
            <w:tcBorders>
              <w:top w:val="nil"/>
              <w:bottom w:val="single" w:sz="2" w:space="0" w:color="BFBFBF" w:themeColor="background1" w:themeShade="BF"/>
              <w:right w:val="nil"/>
            </w:tcBorders>
          </w:tcPr>
          <w:p w14:paraId="157F79C3" w14:textId="349B64B4" w:rsidR="00EC6F9D" w:rsidRPr="00702A51" w:rsidRDefault="00EC6F9D" w:rsidP="00EC6F9D">
            <w:pPr>
              <w:pStyle w:val="TableColumnHeadingLeft"/>
              <w:rPr>
                <w:rFonts w:eastAsia="Calibri"/>
              </w:rPr>
            </w:pPr>
            <w:r w:rsidRPr="00702A51">
              <w:rPr>
                <w:rFonts w:eastAsia="Calibri"/>
              </w:rPr>
              <w:t>2026–27</w:t>
            </w:r>
          </w:p>
        </w:tc>
        <w:tc>
          <w:tcPr>
            <w:tcW w:w="7085" w:type="dxa"/>
            <w:tcBorders>
              <w:top w:val="nil"/>
              <w:left w:val="nil"/>
              <w:bottom w:val="single" w:sz="2" w:space="0" w:color="BFBFBF" w:themeColor="background1" w:themeShade="BF"/>
            </w:tcBorders>
          </w:tcPr>
          <w:p w14:paraId="566EEB6E" w14:textId="77777777" w:rsidR="00EC6F9D" w:rsidRPr="00702A51" w:rsidRDefault="00EC6F9D" w:rsidP="00EC6F9D">
            <w:pPr>
              <w:pStyle w:val="Tabletext10pt"/>
              <w:rPr>
                <w:rFonts w:cs="Calibri Light"/>
              </w:rPr>
            </w:pPr>
            <w:r w:rsidRPr="00702A51">
              <w:t>No disorderly failures of prudentially regulated institutions</w:t>
            </w:r>
          </w:p>
        </w:tc>
      </w:tr>
      <w:tr w:rsidR="00EC6F9D" w:rsidRPr="00702A51" w14:paraId="36F36BA4"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66CD19B5" w14:textId="21F076DD" w:rsidR="00EC6F9D" w:rsidRPr="00702A51" w:rsidRDefault="00EC6F9D" w:rsidP="00EC6F9D">
            <w:pPr>
              <w:pStyle w:val="TableColumnHeadingLeft"/>
              <w:rPr>
                <w:rFonts w:eastAsia="Calibri"/>
              </w:rPr>
            </w:pPr>
            <w:r w:rsidRPr="00702A51">
              <w:rPr>
                <w:rFonts w:eastAsia="Calibri"/>
              </w:rPr>
              <w:t>2027–28</w:t>
            </w:r>
          </w:p>
        </w:tc>
        <w:tc>
          <w:tcPr>
            <w:tcW w:w="7085" w:type="dxa"/>
            <w:tcBorders>
              <w:top w:val="single" w:sz="2" w:space="0" w:color="BFBFBF" w:themeColor="background1" w:themeShade="BF"/>
              <w:left w:val="nil"/>
              <w:bottom w:val="single" w:sz="2" w:space="0" w:color="BFBFBF" w:themeColor="background1" w:themeShade="BF"/>
            </w:tcBorders>
          </w:tcPr>
          <w:p w14:paraId="6560358E" w14:textId="77777777" w:rsidR="00EC6F9D" w:rsidRPr="00702A51" w:rsidRDefault="00EC6F9D" w:rsidP="00EC6F9D">
            <w:pPr>
              <w:pStyle w:val="Tabletext10pt"/>
              <w:rPr>
                <w:rFonts w:cs="Calibri Light"/>
              </w:rPr>
            </w:pPr>
            <w:r w:rsidRPr="00702A51">
              <w:rPr>
                <w:rFonts w:cs="Calibri Light"/>
              </w:rPr>
              <w:t>No disorderly failures of prudentially regulated institutions</w:t>
            </w:r>
          </w:p>
        </w:tc>
      </w:tr>
      <w:tr w:rsidR="00EC6F9D" w:rsidRPr="00702A51" w14:paraId="5F54D8AB"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3375515D" w14:textId="7D4207D1" w:rsidR="00EC6F9D" w:rsidRPr="00702A51" w:rsidRDefault="00EC6F9D" w:rsidP="00EC6F9D">
            <w:pPr>
              <w:pStyle w:val="TableColumnHeadingLeft"/>
              <w:rPr>
                <w:rFonts w:eastAsia="Calibri"/>
              </w:rPr>
            </w:pPr>
            <w:r w:rsidRPr="00702A51">
              <w:rPr>
                <w:rFonts w:eastAsia="Calibri"/>
              </w:rPr>
              <w:t>2028–29</w:t>
            </w:r>
          </w:p>
        </w:tc>
        <w:tc>
          <w:tcPr>
            <w:tcW w:w="7085" w:type="dxa"/>
            <w:tcBorders>
              <w:top w:val="single" w:sz="2" w:space="0" w:color="BFBFBF" w:themeColor="background1" w:themeShade="BF"/>
              <w:left w:val="nil"/>
              <w:bottom w:val="single" w:sz="2" w:space="0" w:color="BFBFBF" w:themeColor="background1" w:themeShade="BF"/>
            </w:tcBorders>
          </w:tcPr>
          <w:p w14:paraId="36BF2E02" w14:textId="77777777" w:rsidR="00EC6F9D" w:rsidRPr="00702A51" w:rsidRDefault="00EC6F9D" w:rsidP="00EC6F9D">
            <w:pPr>
              <w:pStyle w:val="Tabletext10pt"/>
              <w:rPr>
                <w:rFonts w:cs="Calibri Light"/>
              </w:rPr>
            </w:pPr>
            <w:r w:rsidRPr="00702A51">
              <w:t>No disorderly failures of prudentially regulated institutions</w:t>
            </w:r>
          </w:p>
        </w:tc>
      </w:tr>
      <w:tr w:rsidR="00536614" w:rsidRPr="00702A51" w14:paraId="6B2987E3"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5508FF12" w14:textId="5AD9527E" w:rsidR="00536614" w:rsidRPr="00702A51" w:rsidRDefault="00536614" w:rsidP="00430A9B">
            <w:pPr>
              <w:pStyle w:val="TableColumnHeadingLeft"/>
              <w:rPr>
                <w:rFonts w:eastAsia="Calibri"/>
              </w:rPr>
            </w:pPr>
            <w:r w:rsidRPr="00702A51">
              <w:rPr>
                <w:rFonts w:eastAsia="Calibri"/>
              </w:rPr>
              <w:t>202</w:t>
            </w:r>
            <w:r w:rsidR="00EC6F9D" w:rsidRPr="00702A51">
              <w:rPr>
                <w:rFonts w:eastAsia="Calibri"/>
              </w:rPr>
              <w:t>9</w:t>
            </w:r>
            <w:r w:rsidRPr="00702A51">
              <w:rPr>
                <w:rFonts w:eastAsia="Calibri"/>
              </w:rPr>
              <w:t>–</w:t>
            </w:r>
            <w:r w:rsidR="00EC6F9D" w:rsidRPr="00702A51">
              <w:rPr>
                <w:rFonts w:eastAsia="Calibri"/>
              </w:rPr>
              <w:t>30</w:t>
            </w:r>
          </w:p>
        </w:tc>
        <w:tc>
          <w:tcPr>
            <w:tcW w:w="7085" w:type="dxa"/>
            <w:tcBorders>
              <w:top w:val="single" w:sz="2" w:space="0" w:color="BFBFBF" w:themeColor="background1" w:themeShade="BF"/>
              <w:left w:val="nil"/>
              <w:bottom w:val="single" w:sz="2" w:space="0" w:color="BFBFBF" w:themeColor="background1" w:themeShade="BF"/>
            </w:tcBorders>
          </w:tcPr>
          <w:p w14:paraId="552E4568" w14:textId="77777777" w:rsidR="00536614" w:rsidRPr="00702A51" w:rsidRDefault="00536614" w:rsidP="00F075F8">
            <w:pPr>
              <w:pStyle w:val="Tabletext10pt"/>
              <w:rPr>
                <w:rFonts w:cs="Calibri Light"/>
              </w:rPr>
            </w:pPr>
            <w:r w:rsidRPr="00702A51">
              <w:t>No disorderly failures of prudentially regulated institutions</w:t>
            </w:r>
          </w:p>
        </w:tc>
      </w:tr>
    </w:tbl>
    <w:p w14:paraId="29EFCF84" w14:textId="77777777" w:rsidR="0096182A" w:rsidRPr="00702A51" w:rsidRDefault="0096182A" w:rsidP="0096182A">
      <w:pPr>
        <w:pStyle w:val="Heading5"/>
        <w:spacing w:before="240"/>
      </w:pPr>
      <w:r w:rsidRPr="00702A51">
        <w:rPr>
          <w:rFonts w:eastAsia="Calibri"/>
        </w:rPr>
        <w:t>Target rationale</w:t>
      </w:r>
      <w:r w:rsidRPr="00702A51">
        <w:t xml:space="preserve"> </w:t>
      </w:r>
    </w:p>
    <w:p w14:paraId="681D1761" w14:textId="77777777" w:rsidR="0096182A" w:rsidRPr="00702A51" w:rsidRDefault="0096182A" w:rsidP="0096182A">
      <w:pPr>
        <w:pStyle w:val="PeformanceMeasuresNormal"/>
        <w:rPr>
          <w:rFonts w:eastAsia="Calibri"/>
        </w:rPr>
      </w:pPr>
      <w:r w:rsidRPr="00702A51">
        <w:t>No disorderly failures of prudentially regulated institutions support financial system stability and economic growth. Treasury’s policy advice on the regulatory framework targets very low, but not zero, incidences of failure of the regulated entities. The orderly transfer or exit of prudentially regulated entities is part of a competitive financial system.</w:t>
      </w:r>
      <w:r w:rsidRPr="00702A51">
        <w:rPr>
          <w:rFonts w:eastAsia="Calibri"/>
        </w:rPr>
        <w:t xml:space="preserve"> </w:t>
      </w:r>
    </w:p>
    <w:p w14:paraId="2818A393" w14:textId="77777777" w:rsidR="0096182A" w:rsidRPr="00702A51" w:rsidRDefault="0096182A" w:rsidP="0096182A">
      <w:pPr>
        <w:pStyle w:val="Heading5"/>
      </w:pPr>
      <w:r w:rsidRPr="00702A51">
        <w:rPr>
          <w:rFonts w:eastAsia="Calibri"/>
        </w:rPr>
        <w:t>Methodology</w:t>
      </w:r>
      <w:r w:rsidRPr="00702A51">
        <w:t xml:space="preserve"> </w:t>
      </w:r>
    </w:p>
    <w:p w14:paraId="41BDA0E5" w14:textId="7B207AEC" w:rsidR="0096182A" w:rsidRPr="00702A51" w:rsidRDefault="0096182A" w:rsidP="0096182A">
      <w:pPr>
        <w:pStyle w:val="PeformanceMeasuresNormal"/>
        <w:rPr>
          <w:rFonts w:eastAsia="Calibri"/>
        </w:rPr>
      </w:pPr>
      <w:r w:rsidRPr="00702A51">
        <w:t>A disorderly failure of a prudentially regulated institution occurs when there is material disruption to the critical economic functions and services that the institution provides, and that this results in significant impacts on the financial system and the wider economy. Treasury relies on regular bilateral engagement with the Australian Prudential Regulation Authority (APRA) to obtain information on prudentially regulated institutions that have failed or are at significant risk of failure.</w:t>
      </w:r>
      <w:r w:rsidRPr="00702A51">
        <w:rPr>
          <w:rFonts w:eastAsia="Calibri"/>
        </w:rPr>
        <w:t xml:space="preserve"> </w:t>
      </w:r>
    </w:p>
    <w:p w14:paraId="32684F81" w14:textId="66BED350" w:rsidR="0096182A" w:rsidRPr="00702A51" w:rsidRDefault="0096182A" w:rsidP="0096182A">
      <w:pPr>
        <w:pStyle w:val="Heading5"/>
        <w:rPr>
          <w:rFonts w:eastAsia="Calibri"/>
        </w:rPr>
      </w:pPr>
      <w:r w:rsidRPr="00702A51">
        <w:rPr>
          <w:rFonts w:eastAsia="Calibri"/>
        </w:rPr>
        <w:t>Measure type</w:t>
      </w:r>
    </w:p>
    <w:p w14:paraId="2332C060" w14:textId="4CFB781B" w:rsidR="0096182A" w:rsidRPr="00702A51" w:rsidRDefault="0096182A" w:rsidP="0096182A">
      <w:pPr>
        <w:pStyle w:val="PeformanceMeasuresNormal"/>
        <w:rPr>
          <w:rFonts w:eastAsia="Calibri"/>
        </w:rPr>
      </w:pPr>
      <w:r w:rsidRPr="00702A51">
        <w:t>Effectiveness measure.</w:t>
      </w:r>
      <w:r w:rsidRPr="00702A51">
        <w:rPr>
          <w:rFonts w:eastAsia="Calibri"/>
        </w:rPr>
        <w:t xml:space="preserve"> </w:t>
      </w:r>
    </w:p>
    <w:p w14:paraId="143610A2" w14:textId="77777777" w:rsidR="0096182A" w:rsidRPr="00702A51" w:rsidRDefault="0096182A" w:rsidP="0096182A">
      <w:pPr>
        <w:pStyle w:val="Heading5"/>
      </w:pPr>
      <w:r w:rsidRPr="00702A51">
        <w:rPr>
          <w:rFonts w:eastAsia="Calibri"/>
        </w:rPr>
        <w:t>Data sources</w:t>
      </w:r>
      <w:r w:rsidRPr="00702A51">
        <w:t xml:space="preserve"> </w:t>
      </w:r>
    </w:p>
    <w:p w14:paraId="29F73403" w14:textId="663B83A4" w:rsidR="0096182A" w:rsidRPr="00702A51" w:rsidRDefault="0096182A" w:rsidP="0096182A">
      <w:pPr>
        <w:pStyle w:val="PeformanceMeasuresNormal"/>
        <w:rPr>
          <w:rFonts w:eastAsia="Calibri"/>
        </w:rPr>
      </w:pPr>
      <w:r w:rsidRPr="00702A51">
        <w:t>APRA data for the Money Protection Ratio and register of prudentially regulated entities at the beginning and end of the relevant reporting period.</w:t>
      </w:r>
      <w:r w:rsidRPr="00702A51">
        <w:rPr>
          <w:rFonts w:eastAsia="Calibri"/>
        </w:rPr>
        <w:t xml:space="preserve"> </w:t>
      </w:r>
    </w:p>
    <w:p w14:paraId="1C5AF120" w14:textId="77777777" w:rsidR="0096182A" w:rsidRPr="00702A51" w:rsidRDefault="0096182A" w:rsidP="0096182A">
      <w:pPr>
        <w:pStyle w:val="Heading5"/>
      </w:pPr>
      <w:r w:rsidRPr="00702A51">
        <w:rPr>
          <w:rFonts w:eastAsia="Calibri"/>
        </w:rPr>
        <w:t>Changes from previous year</w:t>
      </w:r>
      <w:r w:rsidRPr="00702A51">
        <w:t xml:space="preserve"> </w:t>
      </w:r>
    </w:p>
    <w:p w14:paraId="49441908" w14:textId="2ECD7DAC" w:rsidR="0032497D" w:rsidRPr="00702A51" w:rsidRDefault="0096182A" w:rsidP="0096182A">
      <w:pPr>
        <w:pStyle w:val="PeformanceMeasuresNormal"/>
      </w:pPr>
      <w:r w:rsidRPr="00702A51">
        <w:t>Treasury developed this performance measure for the Corporate Plan 2022–23. There are no changes for the 2026–27 reporting period.</w:t>
      </w:r>
      <w:r w:rsidR="0032497D" w:rsidRPr="00702A51">
        <w:br w:type="page"/>
      </w:r>
    </w:p>
    <w:p w14:paraId="76A5A164" w14:textId="0DC0AD4D" w:rsidR="00791381" w:rsidRPr="00702A51" w:rsidRDefault="00791381" w:rsidP="00430A9B">
      <w:pPr>
        <w:pStyle w:val="Heading3"/>
      </w:pPr>
      <w:r w:rsidRPr="00702A51">
        <w:lastRenderedPageBreak/>
        <w:t xml:space="preserve">Intended </w:t>
      </w:r>
      <w:r w:rsidR="00DF0E57" w:rsidRPr="00702A51">
        <w:t>r</w:t>
      </w:r>
      <w:r w:rsidRPr="00702A51">
        <w:t>esult 2.3</w:t>
      </w:r>
    </w:p>
    <w:p w14:paraId="1BE0E14D" w14:textId="3B759916" w:rsidR="00066D3A" w:rsidRPr="00702A51" w:rsidRDefault="00312BBE" w:rsidP="005D080A">
      <w:pPr>
        <w:rPr>
          <w:rFonts w:eastAsia="Calibri"/>
          <w:lang w:eastAsia="en-US"/>
        </w:rPr>
      </w:pPr>
      <w:r w:rsidRPr="00702A51">
        <w:rPr>
          <w:rFonts w:eastAsia="Calibri"/>
          <w:lang w:eastAsia="en-US"/>
        </w:rPr>
        <w:t>Treasury’s policy advice, research, support, and coordination across government and jurisdictions addresses structural barriers to housing supply, access, and affordability, including social and affordable housing programs delivered by Housing Australia.</w:t>
      </w:r>
    </w:p>
    <w:p w14:paraId="38DA2407" w14:textId="77777777" w:rsidR="00F835DA" w:rsidRPr="00702A51" w:rsidRDefault="00F835DA" w:rsidP="00F835DA">
      <w:pPr>
        <w:pStyle w:val="Heading4"/>
        <w:rPr>
          <w:rFonts w:eastAsia="Calibri"/>
          <w:lang w:eastAsia="en-US"/>
        </w:rPr>
      </w:pPr>
      <w:r w:rsidRPr="00702A51">
        <w:rPr>
          <w:rFonts w:eastAsia="Calibri"/>
          <w:lang w:eastAsia="en-US"/>
        </w:rPr>
        <w:t>Performance measure 7</w:t>
      </w:r>
    </w:p>
    <w:p w14:paraId="364781DD" w14:textId="3125F2B6" w:rsidR="00F835DA" w:rsidRPr="00702A51" w:rsidRDefault="00312BBE" w:rsidP="00E619DA">
      <w:pPr>
        <w:pStyle w:val="PeformanceMeasuresNormal"/>
        <w:spacing w:after="240"/>
        <w:rPr>
          <w:rFonts w:eastAsia="Calibri"/>
          <w:lang w:eastAsia="en-US"/>
        </w:rPr>
      </w:pPr>
      <w:r w:rsidRPr="00702A51">
        <w:rPr>
          <w:rFonts w:eastAsia="Calibri"/>
          <w:lang w:eastAsia="en-US"/>
        </w:rPr>
        <w:t xml:space="preserve">Proportion of social and affordable dwellings </w:t>
      </w:r>
      <w:r w:rsidRPr="00702A51">
        <w:t>that have become ready for tenants, compared to the contracted delivery schedule</w:t>
      </w:r>
      <w:r w:rsidR="00066D3A" w:rsidRPr="00702A51">
        <w:t xml:space="preserve">. </w:t>
      </w:r>
      <w:r w:rsidR="00E619DA" w:rsidRPr="00702A51">
        <w:br/>
      </w:r>
      <w:r w:rsidR="00F835DA" w:rsidRPr="00702A51">
        <w:rPr>
          <w:rFonts w:eastAsia="Calibri"/>
          <w:lang w:eastAsia="en-US"/>
        </w:rPr>
        <w:t>(Program 1.5 – Support for Housing Supply and Affordability)</w:t>
      </w:r>
    </w:p>
    <w:tbl>
      <w:tblPr>
        <w:tblStyle w:val="TableGrid9"/>
        <w:tblW w:w="5000" w:type="pct"/>
        <w:tblBorders>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E619DA" w:rsidRPr="00702A51" w14:paraId="6AFB379A" w14:textId="77777777" w:rsidTr="00210F4B">
        <w:tc>
          <w:tcPr>
            <w:tcW w:w="1418" w:type="dxa"/>
            <w:tcBorders>
              <w:top w:val="nil"/>
              <w:bottom w:val="nil"/>
              <w:right w:val="nil"/>
            </w:tcBorders>
            <w:shd w:val="clear" w:color="auto" w:fill="E8F0FC" w:themeFill="accent5" w:themeFillTint="33"/>
          </w:tcPr>
          <w:p w14:paraId="0436FA1E" w14:textId="02044702" w:rsidR="00E619DA" w:rsidRPr="00702A51" w:rsidRDefault="00AB000D" w:rsidP="002A7EF1">
            <w:pPr>
              <w:pStyle w:val="TableColumnHeadingLeft"/>
              <w:rPr>
                <w:rFonts w:eastAsia="Calibri"/>
                <w:lang w:eastAsia="en-US"/>
              </w:rPr>
            </w:pPr>
            <w:r w:rsidRPr="00702A51">
              <w:rPr>
                <w:rFonts w:eastAsia="Calibri"/>
                <w:lang w:eastAsia="en-US"/>
              </w:rPr>
              <w:t>Year</w:t>
            </w:r>
          </w:p>
        </w:tc>
        <w:tc>
          <w:tcPr>
            <w:tcW w:w="7085" w:type="dxa"/>
            <w:tcBorders>
              <w:top w:val="nil"/>
              <w:left w:val="nil"/>
              <w:bottom w:val="nil"/>
            </w:tcBorders>
            <w:shd w:val="clear" w:color="auto" w:fill="E8F0FC" w:themeFill="accent5" w:themeFillTint="33"/>
          </w:tcPr>
          <w:p w14:paraId="4C260E30" w14:textId="21151151" w:rsidR="00E619DA" w:rsidRPr="00702A51" w:rsidRDefault="00AB000D" w:rsidP="002A7EF1">
            <w:pPr>
              <w:pStyle w:val="TableColumnHeadingLeft"/>
            </w:pPr>
            <w:r w:rsidRPr="00702A51">
              <w:t>Target</w:t>
            </w:r>
          </w:p>
        </w:tc>
      </w:tr>
      <w:tr w:rsidR="00C9290F" w:rsidRPr="00702A51" w14:paraId="6D5304E3" w14:textId="77777777" w:rsidTr="00210F4B">
        <w:tc>
          <w:tcPr>
            <w:tcW w:w="1418" w:type="dxa"/>
            <w:tcBorders>
              <w:top w:val="nil"/>
              <w:bottom w:val="single" w:sz="2" w:space="0" w:color="BFBFBF" w:themeColor="background1" w:themeShade="BF"/>
              <w:right w:val="nil"/>
            </w:tcBorders>
          </w:tcPr>
          <w:p w14:paraId="2327763B" w14:textId="2AC56971" w:rsidR="00C9290F" w:rsidRPr="00702A51" w:rsidRDefault="00C9290F" w:rsidP="002A7EF1">
            <w:pPr>
              <w:pStyle w:val="TableTextLeft"/>
              <w:rPr>
                <w:rFonts w:eastAsia="Calibri"/>
                <w:b/>
                <w:lang w:eastAsia="en-US"/>
              </w:rPr>
            </w:pPr>
            <w:r w:rsidRPr="00702A51">
              <w:rPr>
                <w:rFonts w:eastAsia="Calibri"/>
                <w:b/>
                <w:lang w:eastAsia="en-US"/>
              </w:rPr>
              <w:t>2026–27</w:t>
            </w:r>
          </w:p>
        </w:tc>
        <w:tc>
          <w:tcPr>
            <w:tcW w:w="7085" w:type="dxa"/>
            <w:tcBorders>
              <w:top w:val="nil"/>
              <w:left w:val="nil"/>
              <w:bottom w:val="single" w:sz="2" w:space="0" w:color="BFBFBF" w:themeColor="background1" w:themeShade="BF"/>
            </w:tcBorders>
          </w:tcPr>
          <w:p w14:paraId="3BEF7B1E" w14:textId="05E138FB" w:rsidR="00C9290F" w:rsidRPr="00702A51" w:rsidRDefault="00205F6C" w:rsidP="002A7EF1">
            <w:pPr>
              <w:pStyle w:val="TableTextLeft"/>
            </w:pPr>
            <w:r w:rsidRPr="00702A51">
              <w:t>90%</w:t>
            </w:r>
          </w:p>
        </w:tc>
      </w:tr>
      <w:tr w:rsidR="00C9290F" w:rsidRPr="00702A51" w14:paraId="164B2297"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24EF7440" w14:textId="3E96272F" w:rsidR="00C9290F" w:rsidRPr="00702A51" w:rsidRDefault="00C9290F" w:rsidP="002A7EF1">
            <w:pPr>
              <w:pStyle w:val="TableTextLeft"/>
              <w:rPr>
                <w:rFonts w:eastAsia="Calibri"/>
                <w:b/>
                <w:lang w:eastAsia="en-US"/>
              </w:rPr>
            </w:pPr>
            <w:r w:rsidRPr="00702A51">
              <w:rPr>
                <w:rFonts w:eastAsia="Calibri"/>
                <w:b/>
                <w:lang w:eastAsia="en-US"/>
              </w:rPr>
              <w:t>2027–28</w:t>
            </w:r>
          </w:p>
        </w:tc>
        <w:tc>
          <w:tcPr>
            <w:tcW w:w="7085" w:type="dxa"/>
            <w:tcBorders>
              <w:top w:val="single" w:sz="2" w:space="0" w:color="BFBFBF" w:themeColor="background1" w:themeShade="BF"/>
              <w:left w:val="nil"/>
              <w:bottom w:val="single" w:sz="2" w:space="0" w:color="BFBFBF" w:themeColor="background1" w:themeShade="BF"/>
            </w:tcBorders>
          </w:tcPr>
          <w:p w14:paraId="114B716D" w14:textId="37D38077" w:rsidR="00C9290F" w:rsidRPr="00702A51" w:rsidRDefault="00205F6C" w:rsidP="002A7EF1">
            <w:pPr>
              <w:pStyle w:val="TableTextLeft"/>
            </w:pPr>
            <w:r w:rsidRPr="00702A51">
              <w:rPr>
                <w:bCs/>
              </w:rPr>
              <w:t>90%</w:t>
            </w:r>
            <w:r w:rsidR="00503908" w:rsidRPr="00702A51">
              <w:rPr>
                <w:bCs/>
              </w:rPr>
              <w:t xml:space="preserve"> </w:t>
            </w:r>
          </w:p>
        </w:tc>
      </w:tr>
      <w:tr w:rsidR="00C9290F" w:rsidRPr="00702A51" w14:paraId="2B54D3D6"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5B7AB2FA" w14:textId="5F1E615E" w:rsidR="00C9290F" w:rsidRPr="00702A51" w:rsidRDefault="00C9290F" w:rsidP="002A7EF1">
            <w:pPr>
              <w:pStyle w:val="TableTextLeft"/>
              <w:rPr>
                <w:rFonts w:eastAsia="Calibri"/>
                <w:b/>
                <w:lang w:eastAsia="en-US"/>
              </w:rPr>
            </w:pPr>
            <w:r w:rsidRPr="00702A51">
              <w:rPr>
                <w:rFonts w:eastAsia="Calibri"/>
                <w:b/>
                <w:lang w:eastAsia="en-US"/>
              </w:rPr>
              <w:t>2028–29</w:t>
            </w:r>
          </w:p>
        </w:tc>
        <w:tc>
          <w:tcPr>
            <w:tcW w:w="7085" w:type="dxa"/>
            <w:tcBorders>
              <w:top w:val="single" w:sz="2" w:space="0" w:color="BFBFBF" w:themeColor="background1" w:themeShade="BF"/>
              <w:left w:val="nil"/>
              <w:bottom w:val="single" w:sz="2" w:space="0" w:color="BFBFBF" w:themeColor="background1" w:themeShade="BF"/>
            </w:tcBorders>
          </w:tcPr>
          <w:p w14:paraId="0D30FC89" w14:textId="79C8408E" w:rsidR="00C9290F" w:rsidRPr="00702A51" w:rsidRDefault="00205F6C" w:rsidP="002A7EF1">
            <w:pPr>
              <w:pStyle w:val="TableTextLeft"/>
            </w:pPr>
            <w:r w:rsidRPr="00702A51">
              <w:rPr>
                <w:bCs/>
              </w:rPr>
              <w:t>90%</w:t>
            </w:r>
          </w:p>
        </w:tc>
      </w:tr>
      <w:tr w:rsidR="00791381" w:rsidRPr="00702A51" w14:paraId="417FF9F8"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704F77D4" w14:textId="669A4215" w:rsidR="00791381" w:rsidRPr="00702A51" w:rsidRDefault="00791381" w:rsidP="002A7EF1">
            <w:pPr>
              <w:pStyle w:val="TableTextLeft"/>
              <w:rPr>
                <w:rFonts w:eastAsia="Calibri"/>
                <w:b/>
                <w:lang w:eastAsia="en-US"/>
              </w:rPr>
            </w:pPr>
            <w:r w:rsidRPr="00702A51">
              <w:rPr>
                <w:rFonts w:eastAsia="Calibri"/>
                <w:b/>
                <w:lang w:eastAsia="en-US"/>
              </w:rPr>
              <w:t>202</w:t>
            </w:r>
            <w:r w:rsidR="00C9290F" w:rsidRPr="00702A51">
              <w:rPr>
                <w:rFonts w:eastAsia="Calibri"/>
                <w:b/>
                <w:lang w:eastAsia="en-US"/>
              </w:rPr>
              <w:t>9</w:t>
            </w:r>
            <w:r w:rsidRPr="00702A51">
              <w:rPr>
                <w:rFonts w:eastAsia="Calibri"/>
                <w:b/>
                <w:lang w:eastAsia="en-US"/>
              </w:rPr>
              <w:t>–</w:t>
            </w:r>
            <w:r w:rsidR="00C9290F" w:rsidRPr="00702A51">
              <w:rPr>
                <w:rFonts w:eastAsia="Calibri"/>
                <w:b/>
                <w:lang w:eastAsia="en-US"/>
              </w:rPr>
              <w:t>30</w:t>
            </w:r>
          </w:p>
        </w:tc>
        <w:tc>
          <w:tcPr>
            <w:tcW w:w="7085" w:type="dxa"/>
            <w:tcBorders>
              <w:top w:val="single" w:sz="2" w:space="0" w:color="BFBFBF" w:themeColor="background1" w:themeShade="BF"/>
              <w:left w:val="nil"/>
              <w:bottom w:val="single" w:sz="2" w:space="0" w:color="BFBFBF" w:themeColor="background1" w:themeShade="BF"/>
            </w:tcBorders>
          </w:tcPr>
          <w:p w14:paraId="33B4FDF9" w14:textId="680C9F5B" w:rsidR="00791381" w:rsidRPr="00702A51" w:rsidRDefault="00205F6C" w:rsidP="002A7EF1">
            <w:pPr>
              <w:pStyle w:val="TableTextLeft"/>
            </w:pPr>
            <w:r w:rsidRPr="00702A51">
              <w:t>90%</w:t>
            </w:r>
          </w:p>
        </w:tc>
      </w:tr>
    </w:tbl>
    <w:p w14:paraId="2A13CE47" w14:textId="77777777" w:rsidR="002A7EF1" w:rsidRPr="00702A51" w:rsidRDefault="002A7EF1" w:rsidP="002A7EF1">
      <w:pPr>
        <w:pStyle w:val="Heading5"/>
        <w:spacing w:before="240"/>
        <w:rPr>
          <w:rFonts w:eastAsia="Calibri"/>
          <w:lang w:eastAsia="en-US"/>
        </w:rPr>
      </w:pPr>
      <w:r w:rsidRPr="00702A51">
        <w:rPr>
          <w:rFonts w:eastAsia="Calibri"/>
          <w:lang w:eastAsia="en-US"/>
        </w:rPr>
        <w:t>Target rationale</w:t>
      </w:r>
    </w:p>
    <w:p w14:paraId="16FB22F4" w14:textId="4B5C1C2C" w:rsidR="002A7EF1" w:rsidRPr="00702A51" w:rsidRDefault="002A7EF1" w:rsidP="002A7EF1">
      <w:pPr>
        <w:pStyle w:val="PeformanceMeasuresNormal"/>
        <w:rPr>
          <w:rFonts w:eastAsia="Calibri"/>
          <w:lang w:eastAsia="en-US"/>
        </w:rPr>
      </w:pPr>
      <w:r w:rsidRPr="00702A51">
        <w:t>The performance targets are calibrated to government policy targets for the delivery of social and affordable housing. The Housing Australia Future Fund supports the delivery of 30,000 social and affordable dwellings over five years to 30 June 2029, with the National Housing Accord Facility to support a further 10,000 dwellings over the same period. Annual targets are calibrated to be consistent with Treasury advice to government regarding progress towards the forecasted delivery of 40,000 dwellings over the five years to 2028–29, and the capacity of Housing Australia to administer housing programs</w:t>
      </w:r>
      <w:r w:rsidR="000120F4" w:rsidRPr="00702A51">
        <w:t>.</w:t>
      </w:r>
      <w:r w:rsidRPr="00702A51">
        <w:rPr>
          <w:rFonts w:eastAsia="Calibri"/>
          <w:lang w:eastAsia="en-US"/>
        </w:rPr>
        <w:t xml:space="preserve"> </w:t>
      </w:r>
    </w:p>
    <w:p w14:paraId="59E2D6EE" w14:textId="77777777" w:rsidR="00180BAB" w:rsidRPr="00702A51" w:rsidRDefault="002A7EF1" w:rsidP="00180BAB">
      <w:pPr>
        <w:pStyle w:val="Heading5"/>
      </w:pPr>
      <w:r w:rsidRPr="00702A51">
        <w:rPr>
          <w:rFonts w:eastAsia="Calibri"/>
          <w:lang w:eastAsia="en-US"/>
        </w:rPr>
        <w:t>Methodology</w:t>
      </w:r>
      <w:r w:rsidRPr="00702A51">
        <w:t xml:space="preserve"> </w:t>
      </w:r>
    </w:p>
    <w:p w14:paraId="74E84DB2" w14:textId="7DCDC3F0" w:rsidR="002A7EF1" w:rsidRPr="00702A51" w:rsidRDefault="002A7EF1" w:rsidP="002A7EF1">
      <w:pPr>
        <w:pStyle w:val="PeformanceMeasuresNormal"/>
        <w:rPr>
          <w:rFonts w:eastAsia="Calibri"/>
          <w:lang w:eastAsia="en-US"/>
        </w:rPr>
      </w:pPr>
      <w:r w:rsidRPr="00702A51">
        <w:t>Calculation of the number of dwellings that have become ready for tenants under the Housing Australia Future Fund and National Housing Accord Facility in the reporting period, compared to the expected dwelling completion dates set out in funding recipients’ contracts</w:t>
      </w:r>
      <w:r w:rsidR="000120F4" w:rsidRPr="00702A51">
        <w:rPr>
          <w:rFonts w:eastAsia="Calibri"/>
          <w:lang w:eastAsia="en-US"/>
        </w:rPr>
        <w:t>.</w:t>
      </w:r>
    </w:p>
    <w:p w14:paraId="571A2467" w14:textId="1F0951EB" w:rsidR="002A7EF1" w:rsidRPr="00702A51" w:rsidRDefault="002A7EF1" w:rsidP="002A7EF1">
      <w:pPr>
        <w:pStyle w:val="Heading5"/>
      </w:pPr>
      <w:r w:rsidRPr="00702A51">
        <w:rPr>
          <w:rFonts w:eastAsia="Calibri"/>
          <w:lang w:eastAsia="en-US"/>
        </w:rPr>
        <w:t>Measure type</w:t>
      </w:r>
    </w:p>
    <w:p w14:paraId="54E00B06" w14:textId="3F41B71A" w:rsidR="002A7EF1" w:rsidRPr="00702A51" w:rsidRDefault="002A7EF1" w:rsidP="002A7EF1">
      <w:pPr>
        <w:pStyle w:val="PeformanceMeasuresNormal"/>
        <w:rPr>
          <w:rFonts w:eastAsia="Calibri"/>
          <w:lang w:eastAsia="en-US"/>
        </w:rPr>
      </w:pPr>
      <w:r w:rsidRPr="00702A51">
        <w:t>Effectiveness measure.</w:t>
      </w:r>
      <w:r w:rsidRPr="00702A51">
        <w:rPr>
          <w:rFonts w:eastAsia="Calibri"/>
          <w:lang w:eastAsia="en-US"/>
        </w:rPr>
        <w:t xml:space="preserve"> </w:t>
      </w:r>
    </w:p>
    <w:p w14:paraId="379A6D1E" w14:textId="34DB550C" w:rsidR="002A7EF1" w:rsidRPr="00702A51" w:rsidRDefault="002A7EF1" w:rsidP="002A7EF1">
      <w:pPr>
        <w:pStyle w:val="Heading5"/>
      </w:pPr>
      <w:r w:rsidRPr="00702A51">
        <w:rPr>
          <w:rFonts w:eastAsia="Calibri"/>
          <w:lang w:eastAsia="en-US"/>
        </w:rPr>
        <w:t>Data sources</w:t>
      </w:r>
    </w:p>
    <w:p w14:paraId="46797163" w14:textId="3A1AA98C" w:rsidR="002A7EF1" w:rsidRPr="00702A51" w:rsidRDefault="002A7EF1" w:rsidP="002A7EF1">
      <w:pPr>
        <w:pStyle w:val="PeformanceMeasuresNormal"/>
        <w:rPr>
          <w:rFonts w:eastAsia="Calibri"/>
          <w:lang w:eastAsia="en-US"/>
        </w:rPr>
      </w:pPr>
      <w:r w:rsidRPr="00702A51">
        <w:t>Data will be provided by Housing Australia to Treasury via a formal report to the Minister for Housing</w:t>
      </w:r>
      <w:r w:rsidR="00075058" w:rsidRPr="00702A51">
        <w:t> </w:t>
      </w:r>
      <w:r w:rsidRPr="00702A51">
        <w:t>and Homelessness. This data is for dwellings that have become ready for tenants under the Housing Australia Future Fund and National Housing Accord Facility, evidence of contracts signed, and</w:t>
      </w:r>
      <w:r w:rsidR="00075058" w:rsidRPr="00702A51">
        <w:t> </w:t>
      </w:r>
      <w:r w:rsidRPr="00702A51">
        <w:t>independent audit reports.</w:t>
      </w:r>
      <w:r w:rsidRPr="00702A51">
        <w:rPr>
          <w:rFonts w:eastAsia="Calibri"/>
          <w:lang w:eastAsia="en-US"/>
        </w:rPr>
        <w:t xml:space="preserve"> </w:t>
      </w:r>
    </w:p>
    <w:p w14:paraId="178E2FF3" w14:textId="5D5A7D3B" w:rsidR="002A7EF1" w:rsidRPr="00702A51" w:rsidRDefault="002A7EF1" w:rsidP="002A7EF1">
      <w:pPr>
        <w:pStyle w:val="Heading5"/>
      </w:pPr>
      <w:r w:rsidRPr="00702A51">
        <w:rPr>
          <w:rFonts w:eastAsia="Calibri"/>
        </w:rPr>
        <w:t>Changes from previous year</w:t>
      </w:r>
    </w:p>
    <w:p w14:paraId="22FE03B0" w14:textId="366D3B71" w:rsidR="002A7EF1" w:rsidRPr="00702A51" w:rsidRDefault="002A7EF1" w:rsidP="002A7EF1">
      <w:pPr>
        <w:pStyle w:val="PeformanceMeasuresNormal"/>
      </w:pPr>
      <w:r w:rsidRPr="00702A51">
        <w:t>Treasury developed this performance measure for the Corporate Plan 2025–26.</w:t>
      </w:r>
    </w:p>
    <w:p w14:paraId="7ACD6738" w14:textId="0B315776" w:rsidR="002A7EF1" w:rsidRPr="00702A51" w:rsidRDefault="002A7EF1" w:rsidP="002A7EF1">
      <w:pPr>
        <w:pStyle w:val="PeformanceMeasuresNormal"/>
      </w:pPr>
      <w:r w:rsidRPr="00702A51">
        <w:t>This measure has changed from monitoring contracted dwellings to now compare the expected and actual tenantable status of dwellings. Program delivery by Housing Australia, and program oversight by Treasury, have matured, allowing Treasury to compare the expected (as per contracts) and actual</w:t>
      </w:r>
      <w:r w:rsidR="00CA5DA7" w:rsidRPr="00702A51">
        <w:t> </w:t>
      </w:r>
      <w:r w:rsidRPr="00702A51">
        <w:t>dwellings that have become ready for tenants. This is a more meaningful measure and aligns with expectations of the government’s investment in social and affordable housing.</w:t>
      </w:r>
    </w:p>
    <w:p w14:paraId="7559D7BB" w14:textId="1DD7ADE5" w:rsidR="00A94512" w:rsidRPr="00702A51" w:rsidRDefault="00A94512" w:rsidP="00A94512">
      <w:pPr>
        <w:pStyle w:val="Heading4"/>
        <w:rPr>
          <w:rFonts w:eastAsia="Calibri"/>
        </w:rPr>
      </w:pPr>
      <w:r w:rsidRPr="00702A51">
        <w:rPr>
          <w:rFonts w:eastAsia="Calibri"/>
        </w:rPr>
        <w:lastRenderedPageBreak/>
        <w:t>Performance measure 8</w:t>
      </w:r>
    </w:p>
    <w:p w14:paraId="7E2ECFDF" w14:textId="17DD0683" w:rsidR="00A94512" w:rsidRPr="00702A51" w:rsidRDefault="00FF398C" w:rsidP="00E619DA">
      <w:pPr>
        <w:pStyle w:val="PeformanceMeasuresNormal"/>
        <w:spacing w:after="240"/>
        <w:rPr>
          <w:rFonts w:eastAsia="Calibri"/>
        </w:rPr>
      </w:pPr>
      <w:r w:rsidRPr="00702A51">
        <w:t>G</w:t>
      </w:r>
      <w:r w:rsidR="00066D3A" w:rsidRPr="00702A51">
        <w:t xml:space="preserve">rowth rate in </w:t>
      </w:r>
      <w:r w:rsidRPr="00702A51">
        <w:t xml:space="preserve">residential </w:t>
      </w:r>
      <w:r w:rsidR="00066D3A" w:rsidRPr="00702A51">
        <w:t>dwelling</w:t>
      </w:r>
      <w:r w:rsidRPr="00702A51">
        <w:t xml:space="preserve">s exceeds </w:t>
      </w:r>
      <w:r w:rsidR="00066D3A" w:rsidRPr="00702A51">
        <w:t>the adult population growth rate</w:t>
      </w:r>
      <w:r w:rsidR="00066D3A" w:rsidRPr="00702A51">
        <w:rPr>
          <w:rFonts w:cs="Calibri"/>
          <w:szCs w:val="22"/>
        </w:rPr>
        <w:t xml:space="preserve">. </w:t>
      </w:r>
      <w:r w:rsidR="00E619DA" w:rsidRPr="00702A51">
        <w:rPr>
          <w:rFonts w:cs="Calibri"/>
          <w:szCs w:val="22"/>
        </w:rPr>
        <w:br/>
      </w:r>
      <w:r w:rsidR="00A94512" w:rsidRPr="00702A51">
        <w:rPr>
          <w:rFonts w:eastAsia="Calibri"/>
        </w:rPr>
        <w:t xml:space="preserve">(Program </w:t>
      </w:r>
      <w:r w:rsidR="00330046" w:rsidRPr="00702A51">
        <w:rPr>
          <w:rFonts w:eastAsia="Calibri"/>
          <w:lang w:eastAsia="en-US"/>
        </w:rPr>
        <w:t>1.5 – Support for Housing Supply and Affordability</w:t>
      </w:r>
      <w:r w:rsidR="00A94512" w:rsidRPr="00702A51">
        <w:rPr>
          <w:rFonts w:eastAsia="Calibri"/>
        </w:rPr>
        <w:t>)</w:t>
      </w:r>
    </w:p>
    <w:tbl>
      <w:tblPr>
        <w:tblStyle w:val="TableGrid10"/>
        <w:tblW w:w="5000" w:type="pct"/>
        <w:tblBorders>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E619DA" w:rsidRPr="00702A51" w14:paraId="4095C9DB" w14:textId="77777777" w:rsidTr="00210F4B">
        <w:tc>
          <w:tcPr>
            <w:tcW w:w="1418" w:type="dxa"/>
            <w:tcBorders>
              <w:top w:val="nil"/>
              <w:bottom w:val="nil"/>
              <w:right w:val="nil"/>
            </w:tcBorders>
            <w:shd w:val="clear" w:color="auto" w:fill="E8F0FC" w:themeFill="accent5" w:themeFillTint="33"/>
          </w:tcPr>
          <w:p w14:paraId="376EB669" w14:textId="394850C5" w:rsidR="00E619DA" w:rsidRPr="00702A51" w:rsidRDefault="00AB000D" w:rsidP="002A7EF1">
            <w:pPr>
              <w:pStyle w:val="TableColumnHeadingLeft"/>
              <w:rPr>
                <w:rFonts w:eastAsia="Calibri"/>
                <w:lang w:eastAsia="en-US"/>
              </w:rPr>
            </w:pPr>
            <w:r w:rsidRPr="00702A51">
              <w:rPr>
                <w:rFonts w:eastAsia="Calibri"/>
                <w:lang w:eastAsia="en-US"/>
              </w:rPr>
              <w:t>Year</w:t>
            </w:r>
          </w:p>
        </w:tc>
        <w:tc>
          <w:tcPr>
            <w:tcW w:w="7085" w:type="dxa"/>
            <w:tcBorders>
              <w:top w:val="nil"/>
              <w:left w:val="nil"/>
              <w:bottom w:val="nil"/>
            </w:tcBorders>
            <w:shd w:val="clear" w:color="auto" w:fill="E8F0FC" w:themeFill="accent5" w:themeFillTint="33"/>
          </w:tcPr>
          <w:p w14:paraId="2D58BEA0" w14:textId="07E4DF10" w:rsidR="00E619DA" w:rsidRPr="00702A51" w:rsidRDefault="00AB000D" w:rsidP="002A7EF1">
            <w:pPr>
              <w:pStyle w:val="TableColumnHeadingLeft"/>
              <w:rPr>
                <w:rFonts w:cstheme="minorHAnsi"/>
              </w:rPr>
            </w:pPr>
            <w:r w:rsidRPr="00702A51">
              <w:rPr>
                <w:rFonts w:cstheme="minorHAnsi"/>
              </w:rPr>
              <w:t>Target</w:t>
            </w:r>
          </w:p>
        </w:tc>
      </w:tr>
      <w:tr w:rsidR="001769FD" w:rsidRPr="00702A51" w14:paraId="0BA6AA87" w14:textId="77777777" w:rsidTr="00210F4B">
        <w:tc>
          <w:tcPr>
            <w:tcW w:w="1418" w:type="dxa"/>
            <w:tcBorders>
              <w:top w:val="nil"/>
              <w:bottom w:val="single" w:sz="2" w:space="0" w:color="BFBFBF" w:themeColor="background1" w:themeShade="BF"/>
              <w:right w:val="nil"/>
            </w:tcBorders>
          </w:tcPr>
          <w:p w14:paraId="205595C7" w14:textId="4C566DDF" w:rsidR="001769FD" w:rsidRPr="00702A51" w:rsidRDefault="001769FD" w:rsidP="002A7EF1">
            <w:pPr>
              <w:pStyle w:val="TableTextLeft"/>
              <w:rPr>
                <w:rFonts w:eastAsia="Calibri"/>
                <w:b/>
              </w:rPr>
            </w:pPr>
            <w:r w:rsidRPr="00702A51">
              <w:rPr>
                <w:rFonts w:eastAsia="Calibri"/>
                <w:b/>
              </w:rPr>
              <w:t>2026–27</w:t>
            </w:r>
          </w:p>
        </w:tc>
        <w:tc>
          <w:tcPr>
            <w:tcW w:w="7085" w:type="dxa"/>
            <w:tcBorders>
              <w:top w:val="nil"/>
              <w:left w:val="nil"/>
              <w:bottom w:val="single" w:sz="2" w:space="0" w:color="BFBFBF" w:themeColor="background1" w:themeShade="BF"/>
            </w:tcBorders>
          </w:tcPr>
          <w:p w14:paraId="0E5FC8CA" w14:textId="66711B62" w:rsidR="001769FD" w:rsidRPr="00702A51" w:rsidRDefault="001769FD" w:rsidP="002A7EF1">
            <w:pPr>
              <w:pStyle w:val="TableTextLeft"/>
            </w:pPr>
            <w:r w:rsidRPr="00702A51">
              <w:rPr>
                <w:rFonts w:cstheme="minorHAnsi"/>
              </w:rPr>
              <w:t>The residential dwelling growth rate exceeds the adult population growth rate by</w:t>
            </w:r>
            <w:r w:rsidR="00CD2182" w:rsidRPr="00702A51">
              <w:rPr>
                <w:rFonts w:cstheme="minorHAnsi"/>
              </w:rPr>
              <w:t> </w:t>
            </w:r>
            <w:r w:rsidRPr="00702A51">
              <w:rPr>
                <w:rFonts w:cstheme="minorHAnsi"/>
              </w:rPr>
              <w:t>0.5</w:t>
            </w:r>
            <w:r w:rsidR="00210F4B" w:rsidRPr="00702A51">
              <w:rPr>
                <w:rFonts w:cstheme="minorHAnsi"/>
              </w:rPr>
              <w:t> </w:t>
            </w:r>
            <w:r w:rsidRPr="00702A51">
              <w:rPr>
                <w:rFonts w:cstheme="minorHAnsi"/>
              </w:rPr>
              <w:t>percentage points.</w:t>
            </w:r>
          </w:p>
        </w:tc>
      </w:tr>
      <w:tr w:rsidR="001769FD" w:rsidRPr="00702A51" w14:paraId="4CE2AA0E"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13E8B8EA" w14:textId="7973B348" w:rsidR="001769FD" w:rsidRPr="00702A51" w:rsidRDefault="001769FD" w:rsidP="002A7EF1">
            <w:pPr>
              <w:pStyle w:val="TableTextLeft"/>
              <w:rPr>
                <w:rFonts w:eastAsia="Calibri"/>
                <w:b/>
              </w:rPr>
            </w:pPr>
            <w:r w:rsidRPr="00702A51">
              <w:rPr>
                <w:rFonts w:eastAsia="Calibri"/>
                <w:b/>
              </w:rPr>
              <w:t>2027–28</w:t>
            </w:r>
          </w:p>
        </w:tc>
        <w:tc>
          <w:tcPr>
            <w:tcW w:w="7085" w:type="dxa"/>
            <w:tcBorders>
              <w:top w:val="single" w:sz="2" w:space="0" w:color="BFBFBF" w:themeColor="background1" w:themeShade="BF"/>
              <w:left w:val="nil"/>
              <w:bottom w:val="single" w:sz="2" w:space="0" w:color="BFBFBF" w:themeColor="background1" w:themeShade="BF"/>
            </w:tcBorders>
          </w:tcPr>
          <w:p w14:paraId="620AA181" w14:textId="20FDA408" w:rsidR="001769FD" w:rsidRPr="00702A51" w:rsidRDefault="001769FD" w:rsidP="002A7EF1">
            <w:pPr>
              <w:pStyle w:val="TableTextLeft"/>
            </w:pPr>
            <w:r w:rsidRPr="00702A51">
              <w:rPr>
                <w:rFonts w:cstheme="minorHAnsi"/>
              </w:rPr>
              <w:t>The residential dwelling growth rate exceeds the adult population growth rate by</w:t>
            </w:r>
            <w:r w:rsidR="00CD2182" w:rsidRPr="00702A51">
              <w:rPr>
                <w:rFonts w:cstheme="minorHAnsi"/>
              </w:rPr>
              <w:t> </w:t>
            </w:r>
            <w:r w:rsidRPr="00702A51">
              <w:rPr>
                <w:rFonts w:cstheme="minorHAnsi"/>
              </w:rPr>
              <w:t>0.5</w:t>
            </w:r>
            <w:r w:rsidR="00210F4B" w:rsidRPr="00702A51">
              <w:rPr>
                <w:rFonts w:cstheme="minorHAnsi"/>
              </w:rPr>
              <w:t> </w:t>
            </w:r>
            <w:r w:rsidRPr="00702A51">
              <w:rPr>
                <w:rFonts w:cstheme="minorHAnsi"/>
              </w:rPr>
              <w:t>percentage points.</w:t>
            </w:r>
          </w:p>
        </w:tc>
      </w:tr>
      <w:tr w:rsidR="001769FD" w:rsidRPr="00702A51" w14:paraId="198C51A8"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2EA2ACE9" w14:textId="1581E192" w:rsidR="001769FD" w:rsidRPr="00702A51" w:rsidRDefault="001769FD" w:rsidP="002A7EF1">
            <w:pPr>
              <w:pStyle w:val="TableTextLeft"/>
              <w:rPr>
                <w:rFonts w:eastAsia="Calibri"/>
                <w:b/>
              </w:rPr>
            </w:pPr>
            <w:r w:rsidRPr="00702A51">
              <w:rPr>
                <w:rFonts w:eastAsia="Calibri"/>
                <w:b/>
              </w:rPr>
              <w:t>2028–29</w:t>
            </w:r>
          </w:p>
        </w:tc>
        <w:tc>
          <w:tcPr>
            <w:tcW w:w="7085" w:type="dxa"/>
            <w:tcBorders>
              <w:top w:val="single" w:sz="2" w:space="0" w:color="BFBFBF" w:themeColor="background1" w:themeShade="BF"/>
              <w:left w:val="nil"/>
              <w:bottom w:val="single" w:sz="2" w:space="0" w:color="BFBFBF" w:themeColor="background1" w:themeShade="BF"/>
            </w:tcBorders>
          </w:tcPr>
          <w:p w14:paraId="31D0279C" w14:textId="09205E41" w:rsidR="001769FD" w:rsidRPr="00702A51" w:rsidRDefault="001769FD" w:rsidP="002A7EF1">
            <w:pPr>
              <w:pStyle w:val="TableTextLeft"/>
            </w:pPr>
            <w:r w:rsidRPr="00702A51">
              <w:rPr>
                <w:rFonts w:cstheme="minorHAnsi"/>
              </w:rPr>
              <w:t>The residential dwelling growth rate exceeds the adult population growth rate by</w:t>
            </w:r>
            <w:r w:rsidR="00CD2182" w:rsidRPr="00702A51">
              <w:rPr>
                <w:rFonts w:cstheme="minorHAnsi"/>
              </w:rPr>
              <w:t> </w:t>
            </w:r>
            <w:r w:rsidRPr="00702A51">
              <w:rPr>
                <w:rFonts w:cstheme="minorHAnsi"/>
              </w:rPr>
              <w:t>0.5</w:t>
            </w:r>
            <w:r w:rsidR="00210F4B" w:rsidRPr="00702A51">
              <w:rPr>
                <w:rFonts w:cstheme="minorHAnsi"/>
              </w:rPr>
              <w:t> </w:t>
            </w:r>
            <w:r w:rsidRPr="00702A51">
              <w:rPr>
                <w:rFonts w:cstheme="minorHAnsi"/>
              </w:rPr>
              <w:t>percentage points.</w:t>
            </w:r>
          </w:p>
        </w:tc>
      </w:tr>
      <w:tr w:rsidR="001769FD" w:rsidRPr="00702A51" w14:paraId="6A33896C"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37256689" w14:textId="3A8B7A77" w:rsidR="001769FD" w:rsidRPr="00702A51" w:rsidRDefault="001769FD" w:rsidP="002A7EF1">
            <w:pPr>
              <w:pStyle w:val="TableTextLeft"/>
              <w:rPr>
                <w:rFonts w:eastAsia="Calibri"/>
                <w:b/>
              </w:rPr>
            </w:pPr>
            <w:r w:rsidRPr="00702A51">
              <w:rPr>
                <w:rFonts w:eastAsia="Calibri"/>
                <w:b/>
              </w:rPr>
              <w:t>2029–30</w:t>
            </w:r>
          </w:p>
        </w:tc>
        <w:tc>
          <w:tcPr>
            <w:tcW w:w="7085" w:type="dxa"/>
            <w:tcBorders>
              <w:top w:val="single" w:sz="2" w:space="0" w:color="BFBFBF" w:themeColor="background1" w:themeShade="BF"/>
              <w:left w:val="nil"/>
              <w:bottom w:val="single" w:sz="2" w:space="0" w:color="BFBFBF" w:themeColor="background1" w:themeShade="BF"/>
            </w:tcBorders>
          </w:tcPr>
          <w:p w14:paraId="30DB5AB4" w14:textId="787CA2A5" w:rsidR="001769FD" w:rsidRPr="00702A51" w:rsidRDefault="001769FD" w:rsidP="002A7EF1">
            <w:pPr>
              <w:pStyle w:val="TableTextLeft"/>
            </w:pPr>
            <w:r w:rsidRPr="00702A51">
              <w:rPr>
                <w:rFonts w:cstheme="minorHAnsi"/>
              </w:rPr>
              <w:t>The residential dwelling growth rate exceeds the adult population growth rate by</w:t>
            </w:r>
            <w:r w:rsidR="00CD2182" w:rsidRPr="00702A51">
              <w:rPr>
                <w:rFonts w:cstheme="minorHAnsi"/>
              </w:rPr>
              <w:t> </w:t>
            </w:r>
            <w:r w:rsidRPr="00702A51">
              <w:rPr>
                <w:rFonts w:cstheme="minorHAnsi"/>
              </w:rPr>
              <w:t>0.5</w:t>
            </w:r>
            <w:r w:rsidR="00210F4B" w:rsidRPr="00702A51">
              <w:rPr>
                <w:rFonts w:cstheme="minorHAnsi"/>
              </w:rPr>
              <w:t> </w:t>
            </w:r>
            <w:r w:rsidRPr="00702A51">
              <w:rPr>
                <w:rFonts w:cstheme="minorHAnsi"/>
              </w:rPr>
              <w:t>percentage points.</w:t>
            </w:r>
          </w:p>
        </w:tc>
      </w:tr>
    </w:tbl>
    <w:p w14:paraId="782BDF57" w14:textId="77777777" w:rsidR="002A7EF1" w:rsidRPr="00702A51" w:rsidRDefault="002A7EF1" w:rsidP="002A7EF1">
      <w:pPr>
        <w:pStyle w:val="Heading5"/>
        <w:rPr>
          <w:rFonts w:cs="Calibri Light"/>
          <w:sz w:val="20"/>
        </w:rPr>
      </w:pPr>
      <w:r w:rsidRPr="00702A51">
        <w:rPr>
          <w:rFonts w:eastAsia="Calibri"/>
          <w:lang w:eastAsia="en-US"/>
        </w:rPr>
        <w:t>Target rationale</w:t>
      </w:r>
      <w:r w:rsidRPr="00702A51">
        <w:rPr>
          <w:rFonts w:cs="Calibri Light"/>
          <w:sz w:val="20"/>
        </w:rPr>
        <w:t xml:space="preserve"> </w:t>
      </w:r>
    </w:p>
    <w:p w14:paraId="682E1656" w14:textId="4CC8F2C0" w:rsidR="00620CE7" w:rsidRPr="00702A51" w:rsidRDefault="002A7EF1" w:rsidP="002A7EF1">
      <w:pPr>
        <w:pStyle w:val="PeformanceMeasuresNormal"/>
      </w:pPr>
      <w:r w:rsidRPr="00702A51">
        <w:t>Treasury has set a target for the increase of housing supply to exceed an indicator for demand. The</w:t>
      </w:r>
      <w:r w:rsidR="00CA5DA7" w:rsidRPr="00702A51">
        <w:t> </w:t>
      </w:r>
      <w:r w:rsidRPr="00702A51">
        <w:t xml:space="preserve">0.5 percentage point target threshold reflects the average margin between 1981 and 2001. Achieving and consistently meeting a performance threshold from this period of comparatively higher supply relative to demand is a suitable benchmark. It is a measure of an ambitious outcome that encompasses a broad housing policy agenda, including reforms and initiatives to streamline approvals, improve housing sector productivity, and fund enabling infrastructure. </w:t>
      </w:r>
    </w:p>
    <w:p w14:paraId="12AD2D0F" w14:textId="20BE0B5B" w:rsidR="00620CE7" w:rsidRPr="00702A51" w:rsidRDefault="00620CE7" w:rsidP="002A7EF1">
      <w:pPr>
        <w:pStyle w:val="PeformanceMeasuresNormal"/>
      </w:pPr>
      <w:r w:rsidRPr="00702A51">
        <w:t xml:space="preserve">The Australian Government’s </w:t>
      </w:r>
      <w:r w:rsidRPr="00702A51">
        <w:rPr>
          <w:i/>
          <w:iCs/>
        </w:rPr>
        <w:t>Homes for Australia</w:t>
      </w:r>
      <w:r w:rsidRPr="00702A51">
        <w:t xml:space="preserve"> national plan states that building more homes is central to addressing the housing challenge, and that increasing housing supply will improve affordability. The 2026–27 Budget also shows that housing was more affordable between 1981 and 2001 compared to the subsequent period, with a housing price-to-earnings ratio of 3.1 in 1981, 4.1 in 2001 and 8.1 in 2025.</w:t>
      </w:r>
    </w:p>
    <w:p w14:paraId="582897B2" w14:textId="6A8AB423" w:rsidR="002A7EF1" w:rsidRPr="00702A51" w:rsidRDefault="002A7EF1" w:rsidP="002A7EF1">
      <w:pPr>
        <w:pStyle w:val="PeformanceMeasuresNormal"/>
        <w:rPr>
          <w:rFonts w:eastAsia="Calibri"/>
          <w:lang w:eastAsia="en-US"/>
        </w:rPr>
      </w:pPr>
      <w:r w:rsidRPr="00702A51">
        <w:t xml:space="preserve">The </w:t>
      </w:r>
      <w:r w:rsidR="00620CE7" w:rsidRPr="00702A51">
        <w:t xml:space="preserve">target </w:t>
      </w:r>
      <w:r w:rsidRPr="00702A51">
        <w:t>threshold will be reviewed following a consistent 10-year period of achievement of</w:t>
      </w:r>
      <w:r w:rsidR="00CA5DA7" w:rsidRPr="00702A51">
        <w:t> </w:t>
      </w:r>
      <w:r w:rsidRPr="00702A51">
        <w:t>the target.</w:t>
      </w:r>
      <w:r w:rsidRPr="00702A51">
        <w:rPr>
          <w:rFonts w:eastAsia="Calibri"/>
          <w:lang w:eastAsia="en-US"/>
        </w:rPr>
        <w:t xml:space="preserve"> </w:t>
      </w:r>
    </w:p>
    <w:p w14:paraId="7C33DF54" w14:textId="77777777" w:rsidR="002A7EF1" w:rsidRPr="00702A51" w:rsidRDefault="002A7EF1" w:rsidP="002A7EF1">
      <w:pPr>
        <w:pStyle w:val="Heading5"/>
        <w:rPr>
          <w:sz w:val="20"/>
        </w:rPr>
      </w:pPr>
      <w:r w:rsidRPr="00702A51">
        <w:rPr>
          <w:rFonts w:eastAsia="Calibri"/>
          <w:lang w:eastAsia="en-US"/>
        </w:rPr>
        <w:t>Methodology</w:t>
      </w:r>
      <w:r w:rsidRPr="00702A51">
        <w:rPr>
          <w:sz w:val="20"/>
        </w:rPr>
        <w:t xml:space="preserve"> </w:t>
      </w:r>
    </w:p>
    <w:p w14:paraId="4848FD65" w14:textId="4D77597A" w:rsidR="002A7EF1" w:rsidRPr="00702A51" w:rsidRDefault="002A7EF1" w:rsidP="002A7EF1">
      <w:pPr>
        <w:pStyle w:val="PeformanceMeasuresNormal"/>
        <w:rPr>
          <w:rFonts w:eastAsia="Calibri"/>
          <w:lang w:eastAsia="en-US"/>
        </w:rPr>
      </w:pPr>
      <w:r w:rsidRPr="00702A51">
        <w:t>Calculation of the difference between residential dwelling growth rate and the adult population growth rate</w:t>
      </w:r>
      <w:r w:rsidRPr="00702A51">
        <w:rPr>
          <w:rFonts w:eastAsiaTheme="minorHAnsi"/>
        </w:rPr>
        <w:t xml:space="preserve"> based on the most recent available data</w:t>
      </w:r>
      <w:r w:rsidRPr="00702A51">
        <w:t>.</w:t>
      </w:r>
      <w:r w:rsidRPr="00702A51">
        <w:rPr>
          <w:rFonts w:asciiTheme="minorHAnsi" w:hAnsiTheme="minorHAnsi" w:cstheme="minorHAnsi"/>
        </w:rPr>
        <w:t xml:space="preserve"> </w:t>
      </w:r>
      <w:r w:rsidRPr="00702A51">
        <w:t>Number of dwellings and adult population are the product of data collection and estimation by the Australian Bureau of Statistics</w:t>
      </w:r>
      <w:r w:rsidR="00FB5B7B" w:rsidRPr="00702A51">
        <w:t>, and the most recent available data has a time lag of around 6 months</w:t>
      </w:r>
      <w:r w:rsidRPr="00702A51">
        <w:t>. The number of dwellings measures residential housing supply, and the adult population is an indicator for housing demand. Comparing the change in both values provides an indicator of changes in housing supply relative to demand.</w:t>
      </w:r>
      <w:r w:rsidRPr="00702A51">
        <w:rPr>
          <w:rFonts w:eastAsia="Calibri"/>
          <w:lang w:eastAsia="en-US"/>
        </w:rPr>
        <w:t xml:space="preserve"> </w:t>
      </w:r>
    </w:p>
    <w:p w14:paraId="66B28B2F" w14:textId="77777777" w:rsidR="002A7EF1" w:rsidRPr="00702A51" w:rsidRDefault="002A7EF1" w:rsidP="002A7EF1">
      <w:pPr>
        <w:pStyle w:val="Heading5"/>
      </w:pPr>
      <w:r w:rsidRPr="00702A51">
        <w:rPr>
          <w:rFonts w:eastAsia="Calibri"/>
          <w:lang w:eastAsia="en-US"/>
        </w:rPr>
        <w:t>Measure type</w:t>
      </w:r>
      <w:r w:rsidRPr="00702A51">
        <w:t xml:space="preserve"> </w:t>
      </w:r>
    </w:p>
    <w:p w14:paraId="01F9F82C" w14:textId="77777777" w:rsidR="002A7EF1" w:rsidRPr="00702A51" w:rsidRDefault="002A7EF1" w:rsidP="002A7EF1">
      <w:pPr>
        <w:pStyle w:val="PeformanceMeasuresNormal"/>
        <w:rPr>
          <w:rFonts w:eastAsia="Calibri"/>
          <w:lang w:eastAsia="en-US"/>
        </w:rPr>
      </w:pPr>
      <w:r w:rsidRPr="00702A51">
        <w:t>Effectiveness measure.</w:t>
      </w:r>
      <w:r w:rsidRPr="00702A51">
        <w:rPr>
          <w:rFonts w:eastAsia="Calibri"/>
          <w:lang w:eastAsia="en-US"/>
        </w:rPr>
        <w:t xml:space="preserve"> </w:t>
      </w:r>
    </w:p>
    <w:p w14:paraId="1B26F8B1" w14:textId="77777777" w:rsidR="002A7EF1" w:rsidRPr="00702A51" w:rsidRDefault="002A7EF1" w:rsidP="00D27EAD">
      <w:pPr>
        <w:pStyle w:val="Heading5"/>
        <w:rPr>
          <w:rFonts w:cs="Calibri Light"/>
          <w:sz w:val="20"/>
        </w:rPr>
      </w:pPr>
      <w:r w:rsidRPr="00702A51">
        <w:rPr>
          <w:rFonts w:eastAsia="Calibri"/>
          <w:lang w:eastAsia="en-US"/>
        </w:rPr>
        <w:t>Data sources</w:t>
      </w:r>
      <w:r w:rsidRPr="00702A51">
        <w:rPr>
          <w:rFonts w:cs="Calibri Light"/>
          <w:sz w:val="20"/>
        </w:rPr>
        <w:t xml:space="preserve"> </w:t>
      </w:r>
    </w:p>
    <w:p w14:paraId="2FE766F9" w14:textId="667B16CF" w:rsidR="001769FD" w:rsidRPr="00702A51" w:rsidRDefault="002A7EF1" w:rsidP="002A7EF1">
      <w:pPr>
        <w:pStyle w:val="PeformanceMeasuresNormal"/>
        <w:rPr>
          <w:rFonts w:eastAsia="Calibri"/>
        </w:rPr>
      </w:pPr>
      <w:r w:rsidRPr="00702A51">
        <w:t>Australian Bureau of Statistics Total Value of Dwellings and National, State and Territory Population.</w:t>
      </w:r>
    </w:p>
    <w:p w14:paraId="137C2794" w14:textId="77777777" w:rsidR="002A7EF1" w:rsidRPr="00702A51" w:rsidRDefault="002A7EF1" w:rsidP="002A7EF1">
      <w:pPr>
        <w:pStyle w:val="Heading5"/>
      </w:pPr>
      <w:r w:rsidRPr="00702A51">
        <w:rPr>
          <w:rFonts w:eastAsia="Calibri"/>
          <w:lang w:eastAsia="en-US"/>
        </w:rPr>
        <w:t>Changes from previous year</w:t>
      </w:r>
      <w:r w:rsidRPr="00702A51">
        <w:t xml:space="preserve"> </w:t>
      </w:r>
    </w:p>
    <w:p w14:paraId="42ACADE2" w14:textId="3A9C2675" w:rsidR="002A7EF1" w:rsidRPr="00702A51" w:rsidRDefault="002A7EF1" w:rsidP="002A7EF1">
      <w:pPr>
        <w:pStyle w:val="PeformanceMeasuresNormal"/>
        <w:rPr>
          <w:rFonts w:eastAsia="Calibri"/>
          <w:lang w:eastAsia="en-US"/>
        </w:rPr>
      </w:pPr>
      <w:r w:rsidRPr="00702A51">
        <w:t>This performance measure is new in 2026–27.</w:t>
      </w:r>
    </w:p>
    <w:p w14:paraId="7F5C2934" w14:textId="1E952A76" w:rsidR="00583DF6" w:rsidRPr="00702A51" w:rsidRDefault="00583DF6" w:rsidP="00EB1E5B">
      <w:pPr>
        <w:pStyle w:val="Heading3"/>
      </w:pPr>
      <w:r w:rsidRPr="00702A51">
        <w:lastRenderedPageBreak/>
        <w:t xml:space="preserve">Intended </w:t>
      </w:r>
      <w:r w:rsidR="00DF0E57" w:rsidRPr="00702A51">
        <w:t>r</w:t>
      </w:r>
      <w:r w:rsidRPr="00702A51">
        <w:t>esult 2.</w:t>
      </w:r>
      <w:r w:rsidR="00066D3A" w:rsidRPr="00702A51">
        <w:t>4</w:t>
      </w:r>
    </w:p>
    <w:p w14:paraId="0DA5A7DB" w14:textId="7F64BCF1" w:rsidR="00583DF6" w:rsidRPr="00702A51" w:rsidRDefault="00583DF6" w:rsidP="00EB1E5B">
      <w:pPr>
        <w:rPr>
          <w:rFonts w:eastAsia="Calibri"/>
          <w:lang w:eastAsia="en-US"/>
        </w:rPr>
      </w:pPr>
      <w:r w:rsidRPr="00702A51">
        <w:rPr>
          <w:rFonts w:eastAsia="Calibri"/>
          <w:lang w:eastAsia="en-US"/>
        </w:rPr>
        <w:t>Treasury</w:t>
      </w:r>
      <w:r w:rsidR="006225C6" w:rsidRPr="00702A51">
        <w:rPr>
          <w:rFonts w:eastAsia="Calibri"/>
          <w:lang w:eastAsia="en-US"/>
        </w:rPr>
        <w:t>’</w:t>
      </w:r>
      <w:r w:rsidRPr="00702A51">
        <w:rPr>
          <w:rFonts w:eastAsia="Calibri"/>
          <w:lang w:eastAsia="en-US"/>
        </w:rPr>
        <w:t>s regulatory functions</w:t>
      </w:r>
      <w:r w:rsidR="00EB1E5B" w:rsidRPr="00702A51">
        <w:rPr>
          <w:rFonts w:eastAsia="Calibri"/>
          <w:lang w:eastAsia="en-US"/>
        </w:rPr>
        <w:t>:</w:t>
      </w:r>
    </w:p>
    <w:p w14:paraId="272528B1" w14:textId="70DC58FC" w:rsidR="00583DF6" w:rsidRPr="00702A51" w:rsidRDefault="00583DF6" w:rsidP="00EB1E5B">
      <w:pPr>
        <w:pStyle w:val="Bullet"/>
        <w:rPr>
          <w:rFonts w:eastAsia="Calibri"/>
          <w:lang w:eastAsia="en-US"/>
        </w:rPr>
      </w:pPr>
      <w:r w:rsidRPr="00702A51">
        <w:rPr>
          <w:rFonts w:eastAsia="Calibri"/>
          <w:lang w:eastAsia="en-US"/>
        </w:rPr>
        <w:t>Treasury administers Australia</w:t>
      </w:r>
      <w:r w:rsidR="006225C6" w:rsidRPr="00702A51">
        <w:rPr>
          <w:rFonts w:eastAsia="Calibri"/>
          <w:lang w:eastAsia="en-US"/>
        </w:rPr>
        <w:t>’</w:t>
      </w:r>
      <w:r w:rsidRPr="00702A51">
        <w:rPr>
          <w:rFonts w:eastAsia="Calibri"/>
          <w:lang w:eastAsia="en-US"/>
        </w:rPr>
        <w:t>s foreign investment framework consistent with Australia</w:t>
      </w:r>
      <w:r w:rsidR="006225C6" w:rsidRPr="00702A51">
        <w:rPr>
          <w:rFonts w:eastAsia="Calibri"/>
          <w:lang w:eastAsia="en-US"/>
        </w:rPr>
        <w:t>’</w:t>
      </w:r>
      <w:r w:rsidRPr="00702A51">
        <w:rPr>
          <w:rFonts w:eastAsia="Calibri"/>
          <w:lang w:eastAsia="en-US"/>
        </w:rPr>
        <w:t>s national and economic interests</w:t>
      </w:r>
    </w:p>
    <w:p w14:paraId="26A91BCF" w14:textId="704788F3" w:rsidR="00D24697" w:rsidRPr="00702A51" w:rsidRDefault="00583DF6" w:rsidP="005D080A">
      <w:pPr>
        <w:pStyle w:val="Bullet"/>
        <w:rPr>
          <w:rFonts w:eastAsia="Calibri"/>
          <w:lang w:eastAsia="en-US"/>
        </w:rPr>
      </w:pPr>
      <w:r w:rsidRPr="00702A51">
        <w:rPr>
          <w:rFonts w:eastAsia="Calibri"/>
          <w:lang w:eastAsia="en-US"/>
        </w:rPr>
        <w:t>Treasury administ</w:t>
      </w:r>
      <w:r w:rsidR="00737FE1" w:rsidRPr="00702A51">
        <w:rPr>
          <w:rFonts w:eastAsia="Calibri"/>
          <w:lang w:eastAsia="en-US"/>
        </w:rPr>
        <w:t>ers</w:t>
      </w:r>
      <w:r w:rsidRPr="00702A51">
        <w:rPr>
          <w:rFonts w:eastAsia="Calibri"/>
          <w:lang w:eastAsia="en-US"/>
        </w:rPr>
        <w:t xml:space="preserve"> the Payment Times Reporting Scheme to </w:t>
      </w:r>
      <w:r w:rsidR="002B64A9" w:rsidRPr="00702A51">
        <w:rPr>
          <w:bCs/>
        </w:rPr>
        <w:t xml:space="preserve">improve payment practices and foster a prompt payment culture </w:t>
      </w:r>
      <w:r w:rsidR="0050732F" w:rsidRPr="00702A51">
        <w:rPr>
          <w:bCs/>
        </w:rPr>
        <w:t>to support economic growth and outcomes for small business suppliers</w:t>
      </w:r>
      <w:r w:rsidR="00FF64C4" w:rsidRPr="00702A51">
        <w:rPr>
          <w:rFonts w:eastAsia="Calibri"/>
          <w:lang w:eastAsia="en-US"/>
        </w:rPr>
        <w:t>.</w:t>
      </w:r>
    </w:p>
    <w:p w14:paraId="25F4A2D7" w14:textId="77777777" w:rsidR="00D24697" w:rsidRPr="00702A51" w:rsidRDefault="00D24697" w:rsidP="00D24697">
      <w:pPr>
        <w:pStyle w:val="Heading4"/>
        <w:rPr>
          <w:rFonts w:eastAsia="Calibri"/>
          <w:lang w:eastAsia="en-US"/>
        </w:rPr>
      </w:pPr>
      <w:r w:rsidRPr="00702A51">
        <w:rPr>
          <w:rFonts w:eastAsia="Calibri"/>
          <w:lang w:eastAsia="en-US"/>
        </w:rPr>
        <w:t>Performance measure 9</w:t>
      </w:r>
    </w:p>
    <w:p w14:paraId="3517DDB6" w14:textId="77777777" w:rsidR="00D24697" w:rsidRPr="00702A51" w:rsidRDefault="00D24697" w:rsidP="00D9380B">
      <w:pPr>
        <w:pStyle w:val="PeformanceMeasuresNormal"/>
        <w:spacing w:after="0"/>
        <w:rPr>
          <w:rFonts w:eastAsia="Calibri"/>
          <w:lang w:eastAsia="en-US"/>
        </w:rPr>
      </w:pPr>
      <w:r w:rsidRPr="00702A51">
        <w:rPr>
          <w:rFonts w:eastAsia="Calibri"/>
          <w:lang w:eastAsia="en-US"/>
        </w:rPr>
        <w:t xml:space="preserve">Proportion of stakeholders that report a high level of satisfaction regarding: </w:t>
      </w:r>
    </w:p>
    <w:p w14:paraId="6FA14D28" w14:textId="77B0A4A1" w:rsidR="00D24697" w:rsidRPr="00702A51" w:rsidRDefault="00D24697" w:rsidP="009420AF">
      <w:pPr>
        <w:pStyle w:val="Bullet"/>
        <w:spacing w:before="120"/>
        <w:rPr>
          <w:rFonts w:eastAsia="Calibri"/>
        </w:rPr>
      </w:pPr>
      <w:r w:rsidRPr="00702A51">
        <w:rPr>
          <w:rFonts w:eastAsia="Calibri"/>
        </w:rPr>
        <w:t>the clarity, transparency, and consistent application of Treasury’s regulatory frameworks (Regulator Performance (RMG 128) Principle 1)</w:t>
      </w:r>
    </w:p>
    <w:p w14:paraId="1A19E0A9" w14:textId="5B2CD40E" w:rsidR="00D24697" w:rsidRPr="00702A51" w:rsidRDefault="00D24697" w:rsidP="009420AF">
      <w:pPr>
        <w:pStyle w:val="Bullet"/>
        <w:rPr>
          <w:rFonts w:eastAsia="Calibri"/>
        </w:rPr>
      </w:pPr>
      <w:r w:rsidRPr="00702A51">
        <w:rPr>
          <w:rFonts w:eastAsia="Calibri"/>
        </w:rPr>
        <w:t>risk based, data driven decision making (RMG 128 Principle 2)</w:t>
      </w:r>
    </w:p>
    <w:p w14:paraId="0ECDDFEA" w14:textId="77777777" w:rsidR="00D24697" w:rsidRPr="00702A51" w:rsidRDefault="00D24697" w:rsidP="000F49D0">
      <w:pPr>
        <w:pStyle w:val="Bullet"/>
        <w:spacing w:after="0"/>
        <w:rPr>
          <w:rFonts w:eastAsia="Calibri"/>
        </w:rPr>
      </w:pPr>
      <w:r w:rsidRPr="00702A51">
        <w:rPr>
          <w:rFonts w:eastAsia="Calibri"/>
        </w:rPr>
        <w:t>Treasury’s responsive communication and collaboration (RMG 128 Principle 3)</w:t>
      </w:r>
    </w:p>
    <w:p w14:paraId="338C9E72" w14:textId="1EFAE708" w:rsidR="00D24697" w:rsidRPr="00702A51" w:rsidRDefault="00D24697" w:rsidP="00D9380B">
      <w:pPr>
        <w:pStyle w:val="PeformanceMeasuresNormal"/>
        <w:spacing w:after="240"/>
        <w:rPr>
          <w:rFonts w:eastAsia="Calibri"/>
        </w:rPr>
      </w:pPr>
      <w:r w:rsidRPr="00702A51">
        <w:rPr>
          <w:rFonts w:eastAsia="Calibri"/>
          <w:lang w:eastAsia="en-US"/>
        </w:rPr>
        <w:t>(Program 1.1 – Economic Management and 1.3 – Support for Markets and Business)</w:t>
      </w:r>
    </w:p>
    <w:tbl>
      <w:tblPr>
        <w:tblStyle w:val="TableGrid11"/>
        <w:tblW w:w="5000" w:type="pct"/>
        <w:tblBorders>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E619DA" w:rsidRPr="00702A51" w14:paraId="432808CA" w14:textId="77777777" w:rsidTr="00210F4B">
        <w:tc>
          <w:tcPr>
            <w:tcW w:w="1418" w:type="dxa"/>
            <w:tcBorders>
              <w:top w:val="nil"/>
              <w:bottom w:val="nil"/>
              <w:right w:val="nil"/>
            </w:tcBorders>
            <w:shd w:val="clear" w:color="auto" w:fill="E8F0FC" w:themeFill="accent5" w:themeFillTint="33"/>
          </w:tcPr>
          <w:p w14:paraId="20E119D5" w14:textId="37E6E84B" w:rsidR="00E619DA" w:rsidRPr="00702A51" w:rsidRDefault="00AB000D" w:rsidP="00D9380B">
            <w:pPr>
              <w:pStyle w:val="TableColumnHeadingLeft"/>
              <w:rPr>
                <w:rFonts w:eastAsia="Calibri"/>
                <w:lang w:eastAsia="en-US"/>
              </w:rPr>
            </w:pPr>
            <w:r w:rsidRPr="00702A51">
              <w:rPr>
                <w:rFonts w:eastAsia="Calibri"/>
                <w:lang w:eastAsia="en-US"/>
              </w:rPr>
              <w:t>Year</w:t>
            </w:r>
          </w:p>
        </w:tc>
        <w:tc>
          <w:tcPr>
            <w:tcW w:w="7085" w:type="dxa"/>
            <w:tcBorders>
              <w:top w:val="nil"/>
              <w:left w:val="nil"/>
              <w:bottom w:val="nil"/>
            </w:tcBorders>
            <w:shd w:val="clear" w:color="auto" w:fill="E8F0FC" w:themeFill="accent5" w:themeFillTint="33"/>
          </w:tcPr>
          <w:p w14:paraId="76A8C204" w14:textId="55B5ACBD" w:rsidR="00E619DA" w:rsidRPr="00702A51" w:rsidRDefault="00AB000D" w:rsidP="00D9380B">
            <w:pPr>
              <w:pStyle w:val="TableColumnHeadingLeft"/>
            </w:pPr>
            <w:r w:rsidRPr="00702A51">
              <w:t>Target</w:t>
            </w:r>
          </w:p>
        </w:tc>
      </w:tr>
      <w:tr w:rsidR="00757EDC" w:rsidRPr="00702A51" w14:paraId="23FBD356" w14:textId="77777777" w:rsidTr="00210F4B">
        <w:tc>
          <w:tcPr>
            <w:tcW w:w="1418" w:type="dxa"/>
            <w:tcBorders>
              <w:top w:val="nil"/>
              <w:bottom w:val="single" w:sz="2" w:space="0" w:color="BFBFBF" w:themeColor="background1" w:themeShade="BF"/>
              <w:right w:val="nil"/>
            </w:tcBorders>
          </w:tcPr>
          <w:p w14:paraId="2A2C76ED" w14:textId="5EF64A25" w:rsidR="00757EDC" w:rsidRPr="00702A51" w:rsidRDefault="00757EDC" w:rsidP="0008586E">
            <w:pPr>
              <w:pStyle w:val="TableTextLeft"/>
              <w:rPr>
                <w:rFonts w:eastAsia="Calibri"/>
                <w:b/>
                <w:lang w:eastAsia="en-US"/>
              </w:rPr>
            </w:pPr>
            <w:bookmarkStart w:id="62" w:name="_Hlk198817609"/>
            <w:r w:rsidRPr="00702A51">
              <w:rPr>
                <w:rFonts w:eastAsia="Calibri"/>
                <w:b/>
                <w:lang w:eastAsia="en-US"/>
              </w:rPr>
              <w:t>2026–27</w:t>
            </w:r>
          </w:p>
        </w:tc>
        <w:tc>
          <w:tcPr>
            <w:tcW w:w="7085" w:type="dxa"/>
            <w:tcBorders>
              <w:top w:val="nil"/>
              <w:left w:val="nil"/>
              <w:bottom w:val="single" w:sz="2" w:space="0" w:color="BFBFBF" w:themeColor="background1" w:themeShade="BF"/>
            </w:tcBorders>
          </w:tcPr>
          <w:p w14:paraId="06DB3E90" w14:textId="77777777" w:rsidR="00757EDC" w:rsidRPr="00702A51" w:rsidRDefault="00757EDC" w:rsidP="0008586E">
            <w:pPr>
              <w:pStyle w:val="TableTextLeft"/>
            </w:pPr>
            <w:r w:rsidRPr="00702A51">
              <w:t>65%</w:t>
            </w:r>
          </w:p>
        </w:tc>
      </w:tr>
      <w:tr w:rsidR="00757EDC" w:rsidRPr="00702A51" w14:paraId="4C6B3F8D"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0EE7467D" w14:textId="6734A74F" w:rsidR="00757EDC" w:rsidRPr="00702A51" w:rsidRDefault="00757EDC" w:rsidP="0008586E">
            <w:pPr>
              <w:pStyle w:val="TableTextLeft"/>
              <w:rPr>
                <w:rFonts w:eastAsia="Calibri"/>
                <w:b/>
                <w:lang w:eastAsia="en-US"/>
              </w:rPr>
            </w:pPr>
            <w:r w:rsidRPr="00702A51">
              <w:rPr>
                <w:rFonts w:eastAsia="Calibri"/>
                <w:b/>
                <w:lang w:eastAsia="en-US"/>
              </w:rPr>
              <w:t>2027–28</w:t>
            </w:r>
          </w:p>
        </w:tc>
        <w:tc>
          <w:tcPr>
            <w:tcW w:w="7085" w:type="dxa"/>
            <w:tcBorders>
              <w:top w:val="single" w:sz="2" w:space="0" w:color="BFBFBF" w:themeColor="background1" w:themeShade="BF"/>
              <w:left w:val="nil"/>
              <w:bottom w:val="single" w:sz="2" w:space="0" w:color="BFBFBF" w:themeColor="background1" w:themeShade="BF"/>
            </w:tcBorders>
          </w:tcPr>
          <w:p w14:paraId="5987DE62" w14:textId="77777777" w:rsidR="00757EDC" w:rsidRPr="00702A51" w:rsidRDefault="00757EDC" w:rsidP="0008586E">
            <w:pPr>
              <w:pStyle w:val="TableTextLeft"/>
            </w:pPr>
            <w:r w:rsidRPr="00702A51">
              <w:t>65%</w:t>
            </w:r>
          </w:p>
        </w:tc>
      </w:tr>
      <w:tr w:rsidR="00757EDC" w:rsidRPr="00702A51" w14:paraId="3C8FCC67"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4971D7EB" w14:textId="3E83DB29" w:rsidR="00757EDC" w:rsidRPr="00702A51" w:rsidRDefault="00757EDC" w:rsidP="0008586E">
            <w:pPr>
              <w:pStyle w:val="TableTextLeft"/>
              <w:rPr>
                <w:rFonts w:eastAsia="Calibri"/>
                <w:b/>
                <w:lang w:eastAsia="en-US"/>
              </w:rPr>
            </w:pPr>
            <w:r w:rsidRPr="00702A51">
              <w:rPr>
                <w:rFonts w:eastAsia="Calibri"/>
                <w:b/>
                <w:lang w:eastAsia="en-US"/>
              </w:rPr>
              <w:t>2028–29</w:t>
            </w:r>
          </w:p>
        </w:tc>
        <w:tc>
          <w:tcPr>
            <w:tcW w:w="7085" w:type="dxa"/>
            <w:tcBorders>
              <w:top w:val="single" w:sz="2" w:space="0" w:color="BFBFBF" w:themeColor="background1" w:themeShade="BF"/>
              <w:left w:val="nil"/>
              <w:bottom w:val="single" w:sz="2" w:space="0" w:color="BFBFBF" w:themeColor="background1" w:themeShade="BF"/>
            </w:tcBorders>
          </w:tcPr>
          <w:p w14:paraId="2F752817" w14:textId="77777777" w:rsidR="00757EDC" w:rsidRPr="00702A51" w:rsidRDefault="00757EDC" w:rsidP="0008586E">
            <w:pPr>
              <w:pStyle w:val="TableTextLeft"/>
            </w:pPr>
            <w:r w:rsidRPr="00702A51">
              <w:t>65%</w:t>
            </w:r>
          </w:p>
        </w:tc>
      </w:tr>
      <w:tr w:rsidR="00583DF6" w:rsidRPr="00702A51" w14:paraId="48F8DB90" w14:textId="77777777" w:rsidTr="00210F4B">
        <w:tc>
          <w:tcPr>
            <w:tcW w:w="1418" w:type="dxa"/>
            <w:tcBorders>
              <w:top w:val="single" w:sz="2" w:space="0" w:color="BFBFBF" w:themeColor="background1" w:themeShade="BF"/>
              <w:bottom w:val="single" w:sz="2" w:space="0" w:color="BFBFBF" w:themeColor="background1" w:themeShade="BF"/>
              <w:right w:val="nil"/>
            </w:tcBorders>
          </w:tcPr>
          <w:p w14:paraId="73A16148" w14:textId="5C025D2E" w:rsidR="00583DF6" w:rsidRPr="00702A51" w:rsidRDefault="00583DF6" w:rsidP="0008586E">
            <w:pPr>
              <w:pStyle w:val="TableTextLeft"/>
              <w:rPr>
                <w:rFonts w:eastAsia="Calibri"/>
                <w:b/>
                <w:lang w:eastAsia="en-US"/>
              </w:rPr>
            </w:pPr>
            <w:r w:rsidRPr="00702A51">
              <w:rPr>
                <w:rFonts w:eastAsia="Calibri"/>
                <w:b/>
                <w:lang w:eastAsia="en-US"/>
              </w:rPr>
              <w:t>202</w:t>
            </w:r>
            <w:r w:rsidR="00757EDC" w:rsidRPr="00702A51">
              <w:rPr>
                <w:rFonts w:eastAsia="Calibri"/>
                <w:b/>
                <w:lang w:eastAsia="en-US"/>
              </w:rPr>
              <w:t>9</w:t>
            </w:r>
            <w:r w:rsidRPr="00702A51">
              <w:rPr>
                <w:rFonts w:eastAsia="Calibri"/>
                <w:b/>
                <w:lang w:eastAsia="en-US"/>
              </w:rPr>
              <w:t>–</w:t>
            </w:r>
            <w:r w:rsidR="00757EDC" w:rsidRPr="00702A51">
              <w:rPr>
                <w:rFonts w:eastAsia="Calibri"/>
                <w:b/>
                <w:lang w:eastAsia="en-US"/>
              </w:rPr>
              <w:t>30</w:t>
            </w:r>
          </w:p>
        </w:tc>
        <w:tc>
          <w:tcPr>
            <w:tcW w:w="7085" w:type="dxa"/>
            <w:tcBorders>
              <w:top w:val="single" w:sz="2" w:space="0" w:color="BFBFBF" w:themeColor="background1" w:themeShade="BF"/>
              <w:left w:val="nil"/>
              <w:bottom w:val="single" w:sz="2" w:space="0" w:color="BFBFBF" w:themeColor="background1" w:themeShade="BF"/>
            </w:tcBorders>
          </w:tcPr>
          <w:p w14:paraId="111E0D82" w14:textId="37F6F2E8" w:rsidR="00583DF6" w:rsidRPr="00702A51" w:rsidRDefault="00FF398C" w:rsidP="0008586E">
            <w:pPr>
              <w:pStyle w:val="TableTextLeft"/>
            </w:pPr>
            <w:r w:rsidRPr="00702A51">
              <w:t>65%</w:t>
            </w:r>
          </w:p>
        </w:tc>
      </w:tr>
    </w:tbl>
    <w:bookmarkEnd w:id="62"/>
    <w:p w14:paraId="37DA6506" w14:textId="77777777" w:rsidR="00D9380B" w:rsidRPr="00702A51" w:rsidRDefault="00D9380B" w:rsidP="00D9380B">
      <w:pPr>
        <w:pStyle w:val="Heading5"/>
        <w:spacing w:before="240"/>
        <w:rPr>
          <w:rFonts w:eastAsia="Calibri"/>
        </w:rPr>
      </w:pPr>
      <w:r w:rsidRPr="00702A51">
        <w:rPr>
          <w:rFonts w:eastAsia="Calibri"/>
          <w:lang w:eastAsia="en-US"/>
        </w:rPr>
        <w:t>Target rationale</w:t>
      </w:r>
      <w:r w:rsidRPr="00702A51">
        <w:rPr>
          <w:rFonts w:eastAsia="Calibri"/>
        </w:rPr>
        <w:t xml:space="preserve"> </w:t>
      </w:r>
    </w:p>
    <w:p w14:paraId="0AD2846B" w14:textId="77777777" w:rsidR="00D9380B" w:rsidRPr="00702A51" w:rsidRDefault="00D9380B" w:rsidP="00D9380B">
      <w:pPr>
        <w:pStyle w:val="PeformanceMeasuresNormal"/>
      </w:pPr>
      <w:r w:rsidRPr="00702A51">
        <w:t>Survey results from prior years have informed the 2026–27 target. Given that consecutive targets were not achieved, the target of 65% has been retained for 2026–27 and the forward years. Engagement with stakeholders, particularly regulated entities, is maturing.</w:t>
      </w:r>
    </w:p>
    <w:p w14:paraId="3EBBF87B" w14:textId="7729C492" w:rsidR="00D9380B" w:rsidRPr="00702A51" w:rsidRDefault="00D9380B" w:rsidP="00D9380B">
      <w:pPr>
        <w:pStyle w:val="Heading5"/>
        <w:rPr>
          <w:rFonts w:eastAsia="Calibri"/>
          <w:lang w:eastAsia="en-US"/>
        </w:rPr>
      </w:pPr>
      <w:r w:rsidRPr="00702A51">
        <w:rPr>
          <w:rFonts w:eastAsia="Calibri"/>
          <w:lang w:eastAsia="en-US"/>
        </w:rPr>
        <w:t>Methodology</w:t>
      </w:r>
    </w:p>
    <w:p w14:paraId="7B225C07" w14:textId="429E499C" w:rsidR="00D9380B" w:rsidRPr="00702A51" w:rsidRDefault="00D9380B" w:rsidP="00D9380B">
      <w:pPr>
        <w:pStyle w:val="PeformanceMeasuresNormal"/>
        <w:rPr>
          <w:rFonts w:eastAsia="Calibri"/>
          <w:lang w:eastAsia="en-US"/>
        </w:rPr>
      </w:pPr>
      <w:r w:rsidRPr="00702A51">
        <w:t>Independent surveys conducted by a third-party provider with foreign investment framework and Payment Times Reporting Scheme stakeholders. Stakeholder selection is governed by transparent stakeholder selection rules. Survey questions align with the Regulator Performance Principles. Treasury will report separately on its regulatory functions for the foreign investment framework and Payment Times Reporting Scheme.</w:t>
      </w:r>
      <w:r w:rsidRPr="00702A51">
        <w:rPr>
          <w:rFonts w:eastAsia="Calibri"/>
          <w:lang w:eastAsia="en-US"/>
        </w:rPr>
        <w:t xml:space="preserve"> </w:t>
      </w:r>
    </w:p>
    <w:p w14:paraId="52017BE4" w14:textId="6A4B51C3" w:rsidR="00D9380B" w:rsidRPr="00702A51" w:rsidRDefault="00D9380B" w:rsidP="00D9380B">
      <w:pPr>
        <w:pStyle w:val="Heading5"/>
        <w:rPr>
          <w:rFonts w:eastAsia="Calibri"/>
        </w:rPr>
      </w:pPr>
      <w:r w:rsidRPr="00702A51">
        <w:rPr>
          <w:rFonts w:eastAsia="Calibri"/>
          <w:lang w:eastAsia="en-US"/>
        </w:rPr>
        <w:t>Measure type</w:t>
      </w:r>
    </w:p>
    <w:p w14:paraId="55A704FC" w14:textId="77777777" w:rsidR="00D9380B" w:rsidRPr="00702A51" w:rsidRDefault="00D9380B" w:rsidP="00D9380B">
      <w:pPr>
        <w:pStyle w:val="PeformanceMeasuresNormal"/>
        <w:rPr>
          <w:rFonts w:eastAsia="Calibri"/>
          <w:lang w:eastAsia="en-US"/>
        </w:rPr>
      </w:pPr>
      <w:r w:rsidRPr="00702A51">
        <w:t>Effectiveness measure.</w:t>
      </w:r>
      <w:r w:rsidRPr="00702A51">
        <w:rPr>
          <w:rFonts w:eastAsia="Calibri"/>
          <w:lang w:eastAsia="en-US"/>
        </w:rPr>
        <w:t xml:space="preserve"> </w:t>
      </w:r>
    </w:p>
    <w:p w14:paraId="5631E41A" w14:textId="77777777" w:rsidR="00D9380B" w:rsidRPr="00702A51" w:rsidRDefault="00D9380B" w:rsidP="00D9380B">
      <w:pPr>
        <w:pStyle w:val="Heading5"/>
        <w:rPr>
          <w:rFonts w:eastAsia="Calibri"/>
          <w:lang w:eastAsia="en-US"/>
        </w:rPr>
      </w:pPr>
      <w:r w:rsidRPr="00702A51">
        <w:rPr>
          <w:rFonts w:eastAsia="Calibri"/>
          <w:lang w:eastAsia="en-US"/>
        </w:rPr>
        <w:t>Data sources</w:t>
      </w:r>
    </w:p>
    <w:p w14:paraId="640B49D8" w14:textId="2B8100B7" w:rsidR="00D9380B" w:rsidRPr="00702A51" w:rsidRDefault="00D9380B" w:rsidP="00D9380B">
      <w:pPr>
        <w:pStyle w:val="PeformanceMeasuresNormal"/>
        <w:rPr>
          <w:rFonts w:eastAsia="Calibri"/>
          <w:lang w:eastAsia="en-US"/>
        </w:rPr>
      </w:pPr>
      <w:r w:rsidRPr="00702A51">
        <w:t>Stakeholder lists and responses to the stakeholder surveys.</w:t>
      </w:r>
      <w:r w:rsidRPr="00702A51">
        <w:rPr>
          <w:rFonts w:eastAsia="Calibri"/>
          <w:lang w:eastAsia="en-US"/>
        </w:rPr>
        <w:t xml:space="preserve"> </w:t>
      </w:r>
    </w:p>
    <w:p w14:paraId="3D56A215" w14:textId="77777777" w:rsidR="00D9380B" w:rsidRPr="00702A51" w:rsidRDefault="00D9380B" w:rsidP="00D9380B">
      <w:pPr>
        <w:pStyle w:val="Heading5"/>
        <w:rPr>
          <w:rFonts w:eastAsia="Calibri"/>
        </w:rPr>
      </w:pPr>
      <w:r w:rsidRPr="00702A51">
        <w:rPr>
          <w:rFonts w:eastAsia="Calibri"/>
          <w:lang w:eastAsia="en-US"/>
        </w:rPr>
        <w:t>Changes from previous year</w:t>
      </w:r>
      <w:r w:rsidRPr="00702A51">
        <w:rPr>
          <w:rFonts w:eastAsia="Calibri"/>
        </w:rPr>
        <w:t xml:space="preserve"> </w:t>
      </w:r>
    </w:p>
    <w:p w14:paraId="625FE09E" w14:textId="6D9ADEC5" w:rsidR="00DC2208" w:rsidRPr="00702A51" w:rsidRDefault="00D9380B" w:rsidP="00D9380B">
      <w:pPr>
        <w:pStyle w:val="PeformanceMeasuresNormal"/>
        <w:rPr>
          <w:rFonts w:eastAsia="Calibri"/>
        </w:rPr>
      </w:pPr>
      <w:r w:rsidRPr="00702A51">
        <w:t xml:space="preserve">Treasury developed this performance measure for the Corporate Plan 2022–23. There are no changes for the 2026–27 reporting period. </w:t>
      </w:r>
    </w:p>
    <w:p w14:paraId="7537BA04" w14:textId="77777777" w:rsidR="00FD6D49" w:rsidRPr="00702A51" w:rsidRDefault="00FD6D49" w:rsidP="00FD6D49">
      <w:pPr>
        <w:pStyle w:val="Heading4"/>
        <w:rPr>
          <w:rFonts w:eastAsia="Calibri"/>
        </w:rPr>
      </w:pPr>
      <w:r w:rsidRPr="00702A51">
        <w:rPr>
          <w:rFonts w:eastAsia="Calibri"/>
        </w:rPr>
        <w:lastRenderedPageBreak/>
        <w:t>Performance measure 10</w:t>
      </w:r>
    </w:p>
    <w:p w14:paraId="64746CB0" w14:textId="2EFD9E82" w:rsidR="00FD6D49" w:rsidRPr="00702A51" w:rsidRDefault="00FD6D49" w:rsidP="00D9380B">
      <w:pPr>
        <w:pStyle w:val="PeformanceMeasuresNormal"/>
        <w:spacing w:after="240"/>
        <w:rPr>
          <w:rFonts w:eastAsia="Calibri"/>
        </w:rPr>
      </w:pPr>
      <w:bookmarkStart w:id="63" w:name="_Hlk204245566"/>
      <w:r w:rsidRPr="00702A51">
        <w:rPr>
          <w:rFonts w:eastAsia="Calibri"/>
        </w:rPr>
        <w:t xml:space="preserve">Proportion of regulated entities that complied with their obligation to report under the </w:t>
      </w:r>
      <w:r w:rsidRPr="00702A51">
        <w:rPr>
          <w:rFonts w:eastAsia="Calibri"/>
          <w:i/>
        </w:rPr>
        <w:t>Payment</w:t>
      </w:r>
      <w:r w:rsidR="000120F4" w:rsidRPr="00702A51">
        <w:rPr>
          <w:rFonts w:eastAsia="Calibri"/>
          <w:i/>
        </w:rPr>
        <w:t> </w:t>
      </w:r>
      <w:r w:rsidRPr="00702A51">
        <w:rPr>
          <w:rFonts w:eastAsia="Calibri"/>
          <w:i/>
        </w:rPr>
        <w:t xml:space="preserve">Times Reporting Act 2020. </w:t>
      </w:r>
      <w:r w:rsidR="00D9380B" w:rsidRPr="00702A51">
        <w:rPr>
          <w:rFonts w:eastAsia="Calibri"/>
          <w:i/>
        </w:rPr>
        <w:br/>
      </w:r>
      <w:r w:rsidRPr="00702A51">
        <w:rPr>
          <w:rFonts w:eastAsia="Calibri"/>
        </w:rPr>
        <w:t>(Program 1.</w:t>
      </w:r>
      <w:r w:rsidR="002860DC" w:rsidRPr="00702A51">
        <w:rPr>
          <w:rFonts w:eastAsia="Calibri"/>
        </w:rPr>
        <w:t>3</w:t>
      </w:r>
      <w:r w:rsidRPr="00702A51">
        <w:rPr>
          <w:rFonts w:eastAsia="Calibri"/>
        </w:rPr>
        <w:t>– Support for Markets and Business)</w:t>
      </w:r>
    </w:p>
    <w:tbl>
      <w:tblPr>
        <w:tblStyle w:val="TableGrid11"/>
        <w:tblW w:w="5000" w:type="pct"/>
        <w:tblBorders>
          <w:top w:val="none" w:sz="0" w:space="0" w:color="auto"/>
          <w:left w:val="none" w:sz="0" w:space="0" w:color="auto"/>
          <w:bottom w:val="single" w:sz="2" w:space="0" w:color="BFBFBF" w:themeColor="background1" w:themeShade="BF"/>
          <w:right w:val="none" w:sz="0" w:space="0" w:color="auto"/>
          <w:insideH w:val="single" w:sz="2" w:space="0" w:color="BFBFBF" w:themeColor="background1" w:themeShade="BF"/>
          <w:insideV w:val="none" w:sz="0" w:space="0" w:color="auto"/>
        </w:tblBorders>
        <w:shd w:val="clear" w:color="auto" w:fill="E8F0FC" w:themeFill="accent5" w:themeFillTint="33"/>
        <w:tblCellMar>
          <w:top w:w="57" w:type="dxa"/>
          <w:left w:w="227" w:type="dxa"/>
          <w:bottom w:w="57" w:type="dxa"/>
          <w:right w:w="170" w:type="dxa"/>
        </w:tblCellMar>
        <w:tblLook w:val="0620" w:firstRow="1" w:lastRow="0" w:firstColumn="0" w:lastColumn="0" w:noHBand="1" w:noVBand="1"/>
      </w:tblPr>
      <w:tblGrid>
        <w:gridCol w:w="1513"/>
        <w:gridCol w:w="7557"/>
      </w:tblGrid>
      <w:tr w:rsidR="00E619DA" w:rsidRPr="00702A51" w14:paraId="63F8249F" w14:textId="77777777" w:rsidTr="0005460F">
        <w:tc>
          <w:tcPr>
            <w:tcW w:w="1418" w:type="dxa"/>
            <w:tcBorders>
              <w:top w:val="nil"/>
              <w:bottom w:val="nil"/>
            </w:tcBorders>
            <w:shd w:val="clear" w:color="auto" w:fill="E8F0FC" w:themeFill="accent5" w:themeFillTint="33"/>
          </w:tcPr>
          <w:p w14:paraId="071C446A" w14:textId="42B631F2" w:rsidR="00E619DA" w:rsidRPr="00702A51" w:rsidRDefault="00AB000D" w:rsidP="00D9380B">
            <w:pPr>
              <w:pStyle w:val="TableColumnHeadingLeft"/>
              <w:rPr>
                <w:rFonts w:eastAsia="Calibri"/>
                <w:lang w:eastAsia="en-US"/>
              </w:rPr>
            </w:pPr>
            <w:r w:rsidRPr="00702A51">
              <w:rPr>
                <w:rFonts w:eastAsia="Calibri"/>
                <w:lang w:eastAsia="en-US"/>
              </w:rPr>
              <w:t>Year</w:t>
            </w:r>
          </w:p>
        </w:tc>
        <w:tc>
          <w:tcPr>
            <w:tcW w:w="7085" w:type="dxa"/>
            <w:tcBorders>
              <w:top w:val="nil"/>
              <w:bottom w:val="nil"/>
            </w:tcBorders>
            <w:shd w:val="clear" w:color="auto" w:fill="E8F0FC" w:themeFill="accent5" w:themeFillTint="33"/>
          </w:tcPr>
          <w:p w14:paraId="6279567F" w14:textId="216AEC41" w:rsidR="00E619DA" w:rsidRPr="00702A51" w:rsidRDefault="00AB000D" w:rsidP="00D9380B">
            <w:pPr>
              <w:pStyle w:val="TableColumnHeadingLeft"/>
            </w:pPr>
            <w:r w:rsidRPr="00702A51">
              <w:t>Target</w:t>
            </w:r>
          </w:p>
        </w:tc>
      </w:tr>
      <w:tr w:rsidR="00DE39F2" w:rsidRPr="00702A51" w14:paraId="6EC32FDF" w14:textId="77777777" w:rsidTr="0005460F">
        <w:tc>
          <w:tcPr>
            <w:tcW w:w="1418" w:type="dxa"/>
            <w:tcBorders>
              <w:top w:val="nil"/>
            </w:tcBorders>
          </w:tcPr>
          <w:p w14:paraId="16AC0668" w14:textId="0CDE2E4B" w:rsidR="00DE39F2" w:rsidRPr="00702A51" w:rsidRDefault="00DE39F2" w:rsidP="0008586E">
            <w:pPr>
              <w:pStyle w:val="TableTextLeft"/>
              <w:rPr>
                <w:rFonts w:eastAsia="Calibri"/>
                <w:b/>
                <w:lang w:eastAsia="en-US"/>
              </w:rPr>
            </w:pPr>
            <w:bookmarkStart w:id="64" w:name="_Hlk198818434"/>
            <w:bookmarkEnd w:id="63"/>
            <w:r w:rsidRPr="00702A51">
              <w:rPr>
                <w:rFonts w:eastAsia="Calibri"/>
                <w:b/>
                <w:lang w:eastAsia="en-US"/>
              </w:rPr>
              <w:t>2026–27</w:t>
            </w:r>
          </w:p>
        </w:tc>
        <w:tc>
          <w:tcPr>
            <w:tcW w:w="7085" w:type="dxa"/>
            <w:tcBorders>
              <w:top w:val="nil"/>
            </w:tcBorders>
          </w:tcPr>
          <w:p w14:paraId="607E77B4" w14:textId="69AA7545" w:rsidR="00DE39F2" w:rsidRPr="00702A51" w:rsidRDefault="00DE39F2" w:rsidP="0008586E">
            <w:pPr>
              <w:pStyle w:val="TableTextLeft"/>
            </w:pPr>
            <w:r w:rsidRPr="00702A51">
              <w:t>85%</w:t>
            </w:r>
          </w:p>
        </w:tc>
      </w:tr>
      <w:tr w:rsidR="00DE39F2" w:rsidRPr="00702A51" w14:paraId="2A9725AB" w14:textId="77777777" w:rsidTr="0005460F">
        <w:tc>
          <w:tcPr>
            <w:tcW w:w="1418" w:type="dxa"/>
          </w:tcPr>
          <w:p w14:paraId="5110650A" w14:textId="35AFC7B7" w:rsidR="00DE39F2" w:rsidRPr="00702A51" w:rsidRDefault="00DE39F2" w:rsidP="0008586E">
            <w:pPr>
              <w:pStyle w:val="TableTextLeft"/>
              <w:rPr>
                <w:rFonts w:eastAsia="Calibri"/>
                <w:b/>
                <w:lang w:eastAsia="en-US"/>
              </w:rPr>
            </w:pPr>
            <w:r w:rsidRPr="00702A51">
              <w:rPr>
                <w:rFonts w:eastAsia="Calibri"/>
                <w:b/>
                <w:lang w:eastAsia="en-US"/>
              </w:rPr>
              <w:t>2027–28</w:t>
            </w:r>
          </w:p>
        </w:tc>
        <w:tc>
          <w:tcPr>
            <w:tcW w:w="7085" w:type="dxa"/>
          </w:tcPr>
          <w:p w14:paraId="7D01012D" w14:textId="53C1F239" w:rsidR="00DE39F2" w:rsidRPr="00702A51" w:rsidRDefault="00825D6A" w:rsidP="0008586E">
            <w:pPr>
              <w:pStyle w:val="TableTextLeft"/>
            </w:pPr>
            <w:r w:rsidRPr="00702A51">
              <w:t>85%</w:t>
            </w:r>
          </w:p>
        </w:tc>
      </w:tr>
      <w:tr w:rsidR="00DE39F2" w:rsidRPr="00702A51" w14:paraId="23A90C83" w14:textId="77777777" w:rsidTr="0005460F">
        <w:tc>
          <w:tcPr>
            <w:tcW w:w="1418" w:type="dxa"/>
          </w:tcPr>
          <w:p w14:paraId="038CD097" w14:textId="35575A30" w:rsidR="00DE39F2" w:rsidRPr="00702A51" w:rsidRDefault="00DE39F2" w:rsidP="0008586E">
            <w:pPr>
              <w:pStyle w:val="TableTextLeft"/>
              <w:rPr>
                <w:rFonts w:eastAsia="Calibri"/>
                <w:b/>
                <w:lang w:eastAsia="en-US"/>
              </w:rPr>
            </w:pPr>
            <w:r w:rsidRPr="00702A51">
              <w:rPr>
                <w:rFonts w:eastAsia="Calibri"/>
                <w:b/>
                <w:lang w:eastAsia="en-US"/>
              </w:rPr>
              <w:t>2028–29</w:t>
            </w:r>
          </w:p>
        </w:tc>
        <w:tc>
          <w:tcPr>
            <w:tcW w:w="7085" w:type="dxa"/>
          </w:tcPr>
          <w:p w14:paraId="4C2ADE90" w14:textId="56A09F2A" w:rsidR="00DE39F2" w:rsidRPr="00702A51" w:rsidRDefault="00825D6A" w:rsidP="0008586E">
            <w:pPr>
              <w:pStyle w:val="TableTextLeft"/>
            </w:pPr>
            <w:r w:rsidRPr="00702A51">
              <w:t>85%</w:t>
            </w:r>
          </w:p>
        </w:tc>
      </w:tr>
      <w:tr w:rsidR="0036147B" w:rsidRPr="00702A51" w14:paraId="3FF623AE" w14:textId="77777777" w:rsidTr="0005460F">
        <w:tc>
          <w:tcPr>
            <w:tcW w:w="1418" w:type="dxa"/>
          </w:tcPr>
          <w:p w14:paraId="2751BB08" w14:textId="445CD956" w:rsidR="0036147B" w:rsidRPr="00702A51" w:rsidRDefault="0036147B" w:rsidP="0008586E">
            <w:pPr>
              <w:pStyle w:val="TableTextLeft"/>
              <w:rPr>
                <w:rFonts w:eastAsia="Calibri"/>
                <w:b/>
                <w:lang w:eastAsia="en-US"/>
              </w:rPr>
            </w:pPr>
            <w:r w:rsidRPr="00702A51">
              <w:rPr>
                <w:rFonts w:eastAsia="Calibri"/>
                <w:b/>
                <w:lang w:eastAsia="en-US"/>
              </w:rPr>
              <w:t>202</w:t>
            </w:r>
            <w:r w:rsidR="00DE39F2" w:rsidRPr="00702A51">
              <w:rPr>
                <w:rFonts w:eastAsia="Calibri"/>
                <w:b/>
                <w:lang w:eastAsia="en-US"/>
              </w:rPr>
              <w:t>9</w:t>
            </w:r>
            <w:r w:rsidRPr="00702A51">
              <w:rPr>
                <w:rFonts w:eastAsia="Calibri"/>
                <w:b/>
                <w:lang w:eastAsia="en-US"/>
              </w:rPr>
              <w:t>–</w:t>
            </w:r>
            <w:r w:rsidR="00DE39F2" w:rsidRPr="00702A51">
              <w:rPr>
                <w:rFonts w:eastAsia="Calibri"/>
                <w:b/>
                <w:lang w:eastAsia="en-US"/>
              </w:rPr>
              <w:t>30</w:t>
            </w:r>
          </w:p>
        </w:tc>
        <w:tc>
          <w:tcPr>
            <w:tcW w:w="7085" w:type="dxa"/>
          </w:tcPr>
          <w:p w14:paraId="0580F9A7" w14:textId="35342EB9" w:rsidR="0036147B" w:rsidRPr="00702A51" w:rsidRDefault="00825D6A" w:rsidP="0008586E">
            <w:pPr>
              <w:pStyle w:val="TableTextLeft"/>
            </w:pPr>
            <w:r w:rsidRPr="00702A51">
              <w:t>85%</w:t>
            </w:r>
          </w:p>
        </w:tc>
      </w:tr>
    </w:tbl>
    <w:p w14:paraId="0E6DDB31" w14:textId="77777777" w:rsidR="00D9380B" w:rsidRPr="00702A51" w:rsidRDefault="00D9380B" w:rsidP="00D9380B">
      <w:pPr>
        <w:pStyle w:val="Heading5"/>
        <w:spacing w:before="240"/>
      </w:pPr>
      <w:r w:rsidRPr="00702A51">
        <w:rPr>
          <w:rFonts w:eastAsia="Calibri"/>
          <w:lang w:eastAsia="en-US"/>
        </w:rPr>
        <w:t>Target rationale</w:t>
      </w:r>
      <w:r w:rsidRPr="00702A51">
        <w:t xml:space="preserve"> </w:t>
      </w:r>
    </w:p>
    <w:p w14:paraId="05BADB26" w14:textId="38A3DB03" w:rsidR="00D9380B" w:rsidRPr="00702A51" w:rsidRDefault="00D9380B" w:rsidP="00D9380B">
      <w:pPr>
        <w:pStyle w:val="PeformanceMeasuresNormal"/>
      </w:pPr>
      <w:r w:rsidRPr="00702A51">
        <w:t xml:space="preserve">The Australian Government overhauled the Payment Times Reporting Scheme in response to the Statutory Review of the </w:t>
      </w:r>
      <w:r w:rsidRPr="00702A51">
        <w:rPr>
          <w:i/>
          <w:iCs/>
        </w:rPr>
        <w:t xml:space="preserve">Payment Times Reporting Act 2020 </w:t>
      </w:r>
      <w:r w:rsidRPr="00702A51">
        <w:t>(the Act) in 2024</w:t>
      </w:r>
      <w:r w:rsidRPr="00702A51">
        <w:rPr>
          <w:b/>
        </w:rPr>
        <w:t>–</w:t>
      </w:r>
      <w:r w:rsidRPr="00702A51">
        <w:t xml:space="preserve">25. Treasury </w:t>
      </w:r>
      <w:r w:rsidRPr="00702A51" w:rsidDel="005744E3">
        <w:t>re</w:t>
      </w:r>
      <w:r w:rsidR="001D7A91" w:rsidRPr="00702A51">
        <w:noBreakHyphen/>
      </w:r>
      <w:r w:rsidRPr="00702A51" w:rsidDel="005744E3">
        <w:t xml:space="preserve">established </w:t>
      </w:r>
      <w:r w:rsidRPr="00702A51">
        <w:t>the Payment Times Reporting Regulator’s performance target for the 2025</w:t>
      </w:r>
      <w:r w:rsidRPr="00702A51">
        <w:rPr>
          <w:b/>
        </w:rPr>
        <w:t>–</w:t>
      </w:r>
      <w:r w:rsidRPr="00702A51">
        <w:t>26 reporting period. Treasury has identified a baseline target of 85% of regulated entities complying with their reporting obligations using 2025</w:t>
      </w:r>
      <w:r w:rsidRPr="00702A51">
        <w:rPr>
          <w:b/>
        </w:rPr>
        <w:t>–</w:t>
      </w:r>
      <w:r w:rsidRPr="00702A51">
        <w:t xml:space="preserve">26 reporting data. </w:t>
      </w:r>
    </w:p>
    <w:p w14:paraId="605117DD" w14:textId="77777777" w:rsidR="00D9380B" w:rsidRPr="00702A51" w:rsidRDefault="00D9380B" w:rsidP="00D9380B">
      <w:pPr>
        <w:pStyle w:val="Heading5"/>
      </w:pPr>
      <w:r w:rsidRPr="00702A51">
        <w:rPr>
          <w:rFonts w:eastAsia="Calibri"/>
          <w:lang w:eastAsia="en-US"/>
        </w:rPr>
        <w:t>Methodology</w:t>
      </w:r>
      <w:r w:rsidRPr="00702A51">
        <w:t xml:space="preserve"> </w:t>
      </w:r>
    </w:p>
    <w:p w14:paraId="7095BB38" w14:textId="73655955" w:rsidR="00D9380B" w:rsidRPr="00702A51" w:rsidRDefault="00D9380B" w:rsidP="00D9380B">
      <w:pPr>
        <w:pStyle w:val="PeformanceMeasuresNormal"/>
      </w:pPr>
      <w:r w:rsidRPr="00702A51">
        <w:t>This performance measure assesses the proportion of regulated entities that comply with their obligation to report under section 12 of the Act, expressed as a percentage of all entities required to report under the Payment Times Reporting Scheme during the reporting period</w:t>
      </w:r>
      <w:r w:rsidR="00CA5DA7" w:rsidRPr="00702A51">
        <w:t>.</w:t>
      </w:r>
    </w:p>
    <w:p w14:paraId="72C21266" w14:textId="58665EAF" w:rsidR="00D9380B" w:rsidRPr="00702A51" w:rsidRDefault="00D9380B" w:rsidP="00D9380B">
      <w:pPr>
        <w:pStyle w:val="Heading5"/>
      </w:pPr>
      <w:r w:rsidRPr="00702A51">
        <w:rPr>
          <w:rFonts w:eastAsia="Calibri"/>
          <w:lang w:eastAsia="en-US"/>
        </w:rPr>
        <w:t>Measure type</w:t>
      </w:r>
    </w:p>
    <w:p w14:paraId="29525356" w14:textId="77777777" w:rsidR="00D9380B" w:rsidRPr="00702A51" w:rsidRDefault="00D9380B" w:rsidP="00D9380B">
      <w:pPr>
        <w:pStyle w:val="PeformanceMeasuresNormal"/>
        <w:rPr>
          <w:rFonts w:eastAsia="Calibri"/>
          <w:lang w:eastAsia="en-US"/>
        </w:rPr>
      </w:pPr>
      <w:r w:rsidRPr="00702A51">
        <w:t>Effectiveness measure.</w:t>
      </w:r>
      <w:r w:rsidRPr="00702A51">
        <w:rPr>
          <w:rFonts w:eastAsia="Calibri"/>
          <w:lang w:eastAsia="en-US"/>
        </w:rPr>
        <w:t xml:space="preserve"> </w:t>
      </w:r>
    </w:p>
    <w:p w14:paraId="096BE4E3" w14:textId="77777777" w:rsidR="00D9380B" w:rsidRPr="00702A51" w:rsidRDefault="00D9380B" w:rsidP="00D9380B">
      <w:pPr>
        <w:pStyle w:val="Heading5"/>
      </w:pPr>
      <w:r w:rsidRPr="00702A51">
        <w:rPr>
          <w:rFonts w:eastAsia="Calibri"/>
          <w:lang w:eastAsia="en-US"/>
        </w:rPr>
        <w:t>Data sources</w:t>
      </w:r>
      <w:r w:rsidRPr="00702A51">
        <w:t xml:space="preserve"> </w:t>
      </w:r>
    </w:p>
    <w:p w14:paraId="78B05C38" w14:textId="77777777" w:rsidR="00D9380B" w:rsidRPr="00702A51" w:rsidRDefault="00D9380B" w:rsidP="00D9380B">
      <w:pPr>
        <w:pStyle w:val="PeformanceMeasuresNormal"/>
        <w:rPr>
          <w:rFonts w:eastAsia="Calibri"/>
          <w:lang w:eastAsia="en-US"/>
        </w:rPr>
      </w:pPr>
      <w:r w:rsidRPr="00702A51">
        <w:t>Data from the Payment Times Reporting Regulator’s IT system, the Australian Taxation Office, the Australian Securities and Investments Commission, and commercial data sources.</w:t>
      </w:r>
      <w:r w:rsidRPr="00702A51">
        <w:rPr>
          <w:rFonts w:eastAsia="Calibri"/>
          <w:lang w:eastAsia="en-US"/>
        </w:rPr>
        <w:t xml:space="preserve"> </w:t>
      </w:r>
    </w:p>
    <w:p w14:paraId="46D95900" w14:textId="668C9F26" w:rsidR="00D9380B" w:rsidRPr="00702A51" w:rsidRDefault="00D9380B" w:rsidP="00D9380B">
      <w:pPr>
        <w:pStyle w:val="Heading5"/>
      </w:pPr>
      <w:r w:rsidRPr="00702A51">
        <w:rPr>
          <w:rFonts w:eastAsia="Calibri"/>
          <w:lang w:eastAsia="en-US"/>
        </w:rPr>
        <w:t>Changes from previous year</w:t>
      </w:r>
    </w:p>
    <w:bookmarkEnd w:id="64"/>
    <w:p w14:paraId="7B5A3347" w14:textId="130F23B4" w:rsidR="00D9380B" w:rsidRPr="00702A51" w:rsidRDefault="00D9380B" w:rsidP="00D9380B">
      <w:pPr>
        <w:pStyle w:val="PeformanceMeasuresNormal"/>
      </w:pPr>
      <w:r w:rsidRPr="00702A51">
        <w:t>This performance measure commenced in 2025–26. Treasury developed the methodology and data sources for performance reporting in 2025–26 to reflect the legislative and regulatory reforms. The 2026–27 target remains unchanged. Treasury has realigned targets for the forward years to better reflect results from the 2025–26 reporting period.</w:t>
      </w:r>
    </w:p>
    <w:p w14:paraId="1CBBE979" w14:textId="24416206" w:rsidR="003C5496" w:rsidRPr="00702A51" w:rsidRDefault="003C5496">
      <w:pPr>
        <w:spacing w:before="0" w:after="160" w:line="259" w:lineRule="auto"/>
      </w:pPr>
      <w:r w:rsidRPr="00702A51">
        <w:br w:type="page"/>
      </w:r>
    </w:p>
    <w:p w14:paraId="77990DAE" w14:textId="271A99F4" w:rsidR="00CC69FB" w:rsidRPr="00702A51" w:rsidRDefault="00CC69FB" w:rsidP="00CC69FB">
      <w:pPr>
        <w:pStyle w:val="Heading4"/>
      </w:pPr>
      <w:r w:rsidRPr="00702A51">
        <w:lastRenderedPageBreak/>
        <w:t>Performance measure 11</w:t>
      </w:r>
    </w:p>
    <w:p w14:paraId="5D9C2EE2" w14:textId="29238057" w:rsidR="00CC69FB" w:rsidRPr="00702A51" w:rsidRDefault="00CC69FB" w:rsidP="005B1EA6">
      <w:pPr>
        <w:pStyle w:val="PeformanceMeasuresNormal"/>
      </w:pPr>
      <w:r w:rsidRPr="00702A51">
        <w:t xml:space="preserve">Proportion of </w:t>
      </w:r>
      <w:r w:rsidR="00841FC6" w:rsidRPr="00702A51">
        <w:t>low</w:t>
      </w:r>
      <w:r w:rsidR="001224C3" w:rsidRPr="00702A51">
        <w:noBreakHyphen/>
      </w:r>
      <w:r w:rsidR="00841FC6" w:rsidRPr="00702A51">
        <w:t>risk foreign investment proposals decided within 30 days.</w:t>
      </w:r>
      <w:r w:rsidR="005B1EA6" w:rsidRPr="00702A51">
        <w:br/>
      </w:r>
      <w:r w:rsidRPr="00702A51">
        <w:t>(Program 1.1 – Economic Management)</w:t>
      </w:r>
    </w:p>
    <w:p w14:paraId="6893827C" w14:textId="77777777" w:rsidR="005B1EA6" w:rsidRPr="00702A51" w:rsidRDefault="005B1EA6" w:rsidP="005B1EA6">
      <w:pPr>
        <w:pStyle w:val="Heading5"/>
      </w:pPr>
      <w:r w:rsidRPr="00702A51">
        <w:rPr>
          <w:rFonts w:eastAsia="Calibri"/>
          <w:lang w:eastAsia="en-US"/>
        </w:rPr>
        <w:t>Changes from previous year</w:t>
      </w:r>
      <w:r w:rsidRPr="00702A51">
        <w:t xml:space="preserve"> </w:t>
      </w:r>
    </w:p>
    <w:p w14:paraId="22CBC11A" w14:textId="4930FCB1" w:rsidR="005B1EA6" w:rsidRPr="00702A51" w:rsidRDefault="005B1EA6" w:rsidP="005B1EA6">
      <w:pPr>
        <w:pStyle w:val="PeformanceMeasuresNormal"/>
        <w:rPr>
          <w:rFonts w:eastAsia="Calibri"/>
          <w:lang w:eastAsia="en-US"/>
        </w:rPr>
      </w:pPr>
      <w:r w:rsidRPr="00702A51">
        <w:t>Treasury is developing a new performance measure for the assessment of low-risk commercial foreign</w:t>
      </w:r>
      <w:r w:rsidR="000120F4" w:rsidRPr="00702A51">
        <w:t> </w:t>
      </w:r>
      <w:r w:rsidRPr="00702A51">
        <w:t xml:space="preserve">investment proposals within a 30-day statutory decision period. Treasury will report on the new performance measure in the </w:t>
      </w:r>
      <w:r w:rsidR="00951380">
        <w:t>a</w:t>
      </w:r>
      <w:r w:rsidRPr="00702A51">
        <w:t xml:space="preserve">nnual </w:t>
      </w:r>
      <w:r w:rsidR="00951380">
        <w:t>p</w:t>
      </w:r>
      <w:r w:rsidRPr="00702A51">
        <w:t xml:space="preserve">erformance </w:t>
      </w:r>
      <w:r w:rsidR="00951380">
        <w:t>s</w:t>
      </w:r>
      <w:r w:rsidRPr="00702A51">
        <w:t>tatements 2026</w:t>
      </w:r>
      <w:r w:rsidRPr="00702A51">
        <w:rPr>
          <w:iCs/>
        </w:rPr>
        <w:t>–</w:t>
      </w:r>
      <w:r w:rsidRPr="00702A51">
        <w:t>27 and will publish the new measure and targets in the Corporate Plan 2027</w:t>
      </w:r>
      <w:r w:rsidRPr="00702A51">
        <w:rPr>
          <w:iCs/>
        </w:rPr>
        <w:t>–</w:t>
      </w:r>
      <w:r w:rsidRPr="00702A51">
        <w:t>28.</w:t>
      </w:r>
      <w:r w:rsidRPr="00702A51">
        <w:rPr>
          <w:rFonts w:eastAsia="Calibri"/>
          <w:lang w:eastAsia="en-US"/>
        </w:rPr>
        <w:t xml:space="preserve"> </w:t>
      </w:r>
    </w:p>
    <w:p w14:paraId="47F51DB8" w14:textId="77777777" w:rsidR="005B1EA6" w:rsidRPr="00702A51" w:rsidRDefault="005B1EA6" w:rsidP="005B1EA6">
      <w:pPr>
        <w:pStyle w:val="Heading5"/>
      </w:pPr>
      <w:r w:rsidRPr="00702A51">
        <w:rPr>
          <w:rFonts w:eastAsia="Calibri"/>
          <w:lang w:eastAsia="en-US"/>
        </w:rPr>
        <w:t>Rationale for change</w:t>
      </w:r>
      <w:r w:rsidRPr="00702A51">
        <w:t xml:space="preserve"> </w:t>
      </w:r>
    </w:p>
    <w:p w14:paraId="459A4D6C" w14:textId="450B65AE" w:rsidR="00CC69FB" w:rsidRPr="00702A51" w:rsidRDefault="005B1EA6" w:rsidP="005B1EA6">
      <w:pPr>
        <w:pStyle w:val="PeformanceMeasuresNormal"/>
      </w:pPr>
      <w:r w:rsidRPr="00702A51">
        <w:t xml:space="preserve">The government announced on 19 May 2026 foreign investment reforms, including setting a new performance target of deciding all low-risk applications within 30 days, from 1 January 2027. </w:t>
      </w:r>
      <w:r w:rsidRPr="00702A51">
        <w:rPr>
          <w:iCs/>
        </w:rPr>
        <w:t>Treasury</w:t>
      </w:r>
      <w:r w:rsidR="000120F4" w:rsidRPr="00702A51">
        <w:rPr>
          <w:iCs/>
        </w:rPr>
        <w:t> </w:t>
      </w:r>
      <w:r w:rsidRPr="00702A51">
        <w:rPr>
          <w:iCs/>
        </w:rPr>
        <w:t>will establish the measure using new methodology and data sources during 2026–27.</w:t>
      </w:r>
    </w:p>
    <w:p w14:paraId="75410483" w14:textId="20C63264" w:rsidR="0027400B" w:rsidRPr="00702A51" w:rsidRDefault="0027400B" w:rsidP="00413D98">
      <w:r w:rsidRPr="00702A51">
        <w:br w:type="page"/>
      </w:r>
    </w:p>
    <w:p w14:paraId="76057012" w14:textId="189BB21E" w:rsidR="004F5E5D" w:rsidRPr="00702A51" w:rsidRDefault="004F5E5D" w:rsidP="00303115">
      <w:pPr>
        <w:pStyle w:val="Heading2"/>
      </w:pPr>
      <w:bookmarkStart w:id="65" w:name="_Toc237339151"/>
      <w:r w:rsidRPr="00702A51">
        <w:lastRenderedPageBreak/>
        <w:t xml:space="preserve">Key </w:t>
      </w:r>
      <w:r w:rsidR="00825744" w:rsidRPr="00702A51">
        <w:t>a</w:t>
      </w:r>
      <w:r w:rsidRPr="00702A51">
        <w:t>ctivity 3: Treasury</w:t>
      </w:r>
      <w:r w:rsidR="006225C6" w:rsidRPr="00702A51">
        <w:t>’</w:t>
      </w:r>
      <w:r w:rsidRPr="00702A51">
        <w:t xml:space="preserve">s external engagements enable implementation of the </w:t>
      </w:r>
      <w:r w:rsidR="00825744" w:rsidRPr="00702A51">
        <w:t>g</w:t>
      </w:r>
      <w:r w:rsidRPr="00702A51">
        <w:t>overnment</w:t>
      </w:r>
      <w:r w:rsidR="006225C6" w:rsidRPr="00702A51">
        <w:t>’</w:t>
      </w:r>
      <w:r w:rsidRPr="00702A51">
        <w:t>s</w:t>
      </w:r>
      <w:r w:rsidR="00003162" w:rsidRPr="00702A51">
        <w:t> </w:t>
      </w:r>
      <w:r w:rsidRPr="00702A51">
        <w:t>economic</w:t>
      </w:r>
      <w:r w:rsidR="00003162" w:rsidRPr="00702A51">
        <w:t> </w:t>
      </w:r>
      <w:r w:rsidRPr="00702A51">
        <w:t>and fiscal</w:t>
      </w:r>
      <w:r w:rsidR="00303115" w:rsidRPr="00702A51">
        <w:t> </w:t>
      </w:r>
      <w:r w:rsidRPr="00702A51">
        <w:t>agenda</w:t>
      </w:r>
      <w:bookmarkEnd w:id="65"/>
    </w:p>
    <w:p w14:paraId="672CF7A8" w14:textId="6053E0B6" w:rsidR="00D42DCC" w:rsidRPr="00702A51" w:rsidRDefault="00D42DCC" w:rsidP="00303115">
      <w:pPr>
        <w:pStyle w:val="Heading3"/>
      </w:pPr>
      <w:r w:rsidRPr="00702A51">
        <w:t xml:space="preserve">Intended </w:t>
      </w:r>
      <w:r w:rsidR="00C73BA3" w:rsidRPr="00702A51">
        <w:t>r</w:t>
      </w:r>
      <w:r w:rsidRPr="00702A51">
        <w:t>esult 3.1</w:t>
      </w:r>
    </w:p>
    <w:p w14:paraId="322267F0" w14:textId="060E4877" w:rsidR="00D42DCC" w:rsidRPr="00702A51" w:rsidRDefault="00D42DCC" w:rsidP="0099627A">
      <w:r w:rsidRPr="00702A51">
        <w:t xml:space="preserve">Relationships with Treasury ministers, Treasury portfolio agencies and regulators and key stakeholders enable implementation of the </w:t>
      </w:r>
      <w:r w:rsidR="001668E9" w:rsidRPr="00702A51">
        <w:t>g</w:t>
      </w:r>
      <w:r w:rsidRPr="00702A51">
        <w:t>overnment</w:t>
      </w:r>
      <w:r w:rsidR="006225C6" w:rsidRPr="00702A51">
        <w:t>’</w:t>
      </w:r>
      <w:r w:rsidRPr="00702A51">
        <w:t>s agenda</w:t>
      </w:r>
      <w:r w:rsidR="00303115" w:rsidRPr="00702A51">
        <w:t>.</w:t>
      </w:r>
    </w:p>
    <w:p w14:paraId="1494939B" w14:textId="77777777" w:rsidR="007141F0" w:rsidRPr="00702A51" w:rsidRDefault="007141F0" w:rsidP="007141F0">
      <w:pPr>
        <w:pStyle w:val="Heading4"/>
      </w:pPr>
      <w:r w:rsidRPr="00702A51">
        <w:t>Performance measure 12</w:t>
      </w:r>
    </w:p>
    <w:p w14:paraId="58E3B3A4" w14:textId="1FCDE709" w:rsidR="007141F0" w:rsidRPr="00702A51" w:rsidRDefault="007141F0" w:rsidP="00E63CB9">
      <w:pPr>
        <w:pStyle w:val="PeformanceMeasuresNormal"/>
        <w:spacing w:after="240"/>
      </w:pPr>
      <w:r w:rsidRPr="00702A51">
        <w:t xml:space="preserve">Proportion of Treasury ministers, Treasury portfolio agencies and regulators and key stakeholders that highly rate working with the Treasury. </w:t>
      </w:r>
      <w:r w:rsidR="005B1EA6" w:rsidRPr="00702A51">
        <w:br/>
      </w:r>
      <w:r w:rsidRPr="00702A51">
        <w:t>(Program 1.1 – Economic Management)</w:t>
      </w:r>
    </w:p>
    <w:tbl>
      <w:tblPr>
        <w:tblStyle w:val="TableGrid3"/>
        <w:tblW w:w="4975" w:type="pct"/>
        <w:tblBorders>
          <w:left w:val="none" w:sz="0" w:space="0" w:color="auto"/>
          <w:right w:val="none" w:sz="0" w:space="0" w:color="auto"/>
        </w:tblBorders>
        <w:tblCellMar>
          <w:top w:w="57" w:type="dxa"/>
          <w:left w:w="227" w:type="dxa"/>
          <w:bottom w:w="57" w:type="dxa"/>
          <w:right w:w="170" w:type="dxa"/>
        </w:tblCellMar>
        <w:tblLook w:val="0620" w:firstRow="1" w:lastRow="0" w:firstColumn="0" w:lastColumn="0" w:noHBand="1" w:noVBand="1"/>
      </w:tblPr>
      <w:tblGrid>
        <w:gridCol w:w="1518"/>
        <w:gridCol w:w="3727"/>
        <w:gridCol w:w="3780"/>
      </w:tblGrid>
      <w:tr w:rsidR="007B4F50" w:rsidRPr="00702A51" w14:paraId="7E39D570" w14:textId="77777777" w:rsidTr="0005460F">
        <w:tc>
          <w:tcPr>
            <w:tcW w:w="1518" w:type="dxa"/>
            <w:tcBorders>
              <w:top w:val="nil"/>
              <w:bottom w:val="nil"/>
              <w:right w:val="nil"/>
            </w:tcBorders>
            <w:shd w:val="clear" w:color="auto" w:fill="E8F0FC"/>
          </w:tcPr>
          <w:p w14:paraId="649625E5" w14:textId="1641DC3F" w:rsidR="007B4F50" w:rsidRPr="00702A51" w:rsidRDefault="00AB000D">
            <w:pPr>
              <w:pStyle w:val="TableColumnHeadingLeft"/>
              <w:rPr>
                <w:rFonts w:eastAsia="Calibri"/>
              </w:rPr>
            </w:pPr>
            <w:bookmarkStart w:id="66" w:name="_Hlk205904266"/>
            <w:r w:rsidRPr="00702A51">
              <w:rPr>
                <w:rFonts w:eastAsia="Calibri"/>
              </w:rPr>
              <w:t>Year</w:t>
            </w:r>
          </w:p>
        </w:tc>
        <w:tc>
          <w:tcPr>
            <w:tcW w:w="3727" w:type="dxa"/>
            <w:tcBorders>
              <w:top w:val="nil"/>
              <w:left w:val="nil"/>
              <w:bottom w:val="nil"/>
              <w:right w:val="nil"/>
            </w:tcBorders>
            <w:shd w:val="clear" w:color="auto" w:fill="E8F0FC"/>
            <w:tcMar>
              <w:right w:w="28" w:type="dxa"/>
            </w:tcMar>
          </w:tcPr>
          <w:p w14:paraId="6F38A997" w14:textId="7F93841C" w:rsidR="007B4F50" w:rsidRPr="00702A51" w:rsidRDefault="00AB000D">
            <w:pPr>
              <w:pStyle w:val="TableColumnHeadingLeft"/>
              <w:rPr>
                <w:rFonts w:eastAsia="Calibri"/>
              </w:rPr>
            </w:pPr>
            <w:r w:rsidRPr="00702A51">
              <w:rPr>
                <w:rFonts w:eastAsia="Calibri"/>
              </w:rPr>
              <w:t xml:space="preserve">Target: </w:t>
            </w:r>
            <w:r w:rsidR="007B4F50" w:rsidRPr="00702A51">
              <w:rPr>
                <w:rFonts w:eastAsia="Calibri"/>
              </w:rPr>
              <w:t>Ministerial feedback questionnaire</w:t>
            </w:r>
          </w:p>
        </w:tc>
        <w:tc>
          <w:tcPr>
            <w:tcW w:w="3780" w:type="dxa"/>
            <w:tcBorders>
              <w:top w:val="nil"/>
              <w:left w:val="nil"/>
              <w:bottom w:val="nil"/>
            </w:tcBorders>
            <w:shd w:val="clear" w:color="auto" w:fill="E8F0FC"/>
          </w:tcPr>
          <w:p w14:paraId="6BCEF92B" w14:textId="3426680B" w:rsidR="007B4F50" w:rsidRPr="00702A51" w:rsidRDefault="00AB000D">
            <w:pPr>
              <w:pStyle w:val="TableColumnHeadingLeft"/>
              <w:rPr>
                <w:rFonts w:eastAsia="Calibri"/>
              </w:rPr>
            </w:pPr>
            <w:r w:rsidRPr="00702A51">
              <w:rPr>
                <w:rFonts w:eastAsia="Calibri"/>
              </w:rPr>
              <w:t xml:space="preserve">Target: </w:t>
            </w:r>
            <w:r w:rsidR="007B4F50" w:rsidRPr="00702A51">
              <w:rPr>
                <w:rFonts w:eastAsia="Calibri"/>
              </w:rPr>
              <w:t>Stakeholder survey</w:t>
            </w:r>
          </w:p>
        </w:tc>
      </w:tr>
      <w:tr w:rsidR="001C4546" w:rsidRPr="00702A51" w14:paraId="3EA096F7" w14:textId="77777777" w:rsidTr="0005460F">
        <w:trPr>
          <w:trHeight w:val="129"/>
        </w:trPr>
        <w:tc>
          <w:tcPr>
            <w:tcW w:w="1518" w:type="dxa"/>
            <w:tcBorders>
              <w:top w:val="nil"/>
              <w:bottom w:val="single" w:sz="2" w:space="0" w:color="BFBFBF" w:themeColor="background1" w:themeShade="BF"/>
              <w:right w:val="nil"/>
            </w:tcBorders>
            <w:tcMar>
              <w:top w:w="57" w:type="dxa"/>
              <w:bottom w:w="57" w:type="dxa"/>
            </w:tcMar>
          </w:tcPr>
          <w:p w14:paraId="742674CA" w14:textId="46DF5BE9" w:rsidR="001C4546" w:rsidRPr="00702A51" w:rsidRDefault="001C4546" w:rsidP="00D91137">
            <w:pPr>
              <w:pStyle w:val="TableTextLeft"/>
              <w:rPr>
                <w:rFonts w:eastAsia="Calibri"/>
                <w:b/>
              </w:rPr>
            </w:pPr>
            <w:r w:rsidRPr="00702A51">
              <w:rPr>
                <w:rFonts w:eastAsia="Calibri"/>
                <w:b/>
              </w:rPr>
              <w:t>2026–27</w:t>
            </w:r>
          </w:p>
        </w:tc>
        <w:tc>
          <w:tcPr>
            <w:tcW w:w="3727" w:type="dxa"/>
            <w:tcBorders>
              <w:top w:val="nil"/>
              <w:left w:val="nil"/>
              <w:bottom w:val="single" w:sz="2" w:space="0" w:color="BFBFBF" w:themeColor="background1" w:themeShade="BF"/>
              <w:right w:val="nil"/>
            </w:tcBorders>
            <w:tcMar>
              <w:top w:w="57" w:type="dxa"/>
              <w:bottom w:w="57" w:type="dxa"/>
            </w:tcMar>
          </w:tcPr>
          <w:p w14:paraId="025B5163" w14:textId="293D7B1F" w:rsidR="001C4546" w:rsidRPr="00702A51" w:rsidRDefault="005010AF" w:rsidP="00D91137">
            <w:pPr>
              <w:pStyle w:val="TableTextLeft"/>
            </w:pPr>
            <w:r w:rsidRPr="00702A51">
              <w:t>87</w:t>
            </w:r>
            <w:r w:rsidR="001C4546" w:rsidRPr="00702A51">
              <w:t>%</w:t>
            </w:r>
          </w:p>
        </w:tc>
        <w:tc>
          <w:tcPr>
            <w:tcW w:w="3780" w:type="dxa"/>
            <w:tcBorders>
              <w:top w:val="nil"/>
              <w:left w:val="nil"/>
              <w:bottom w:val="single" w:sz="2" w:space="0" w:color="BFBFBF" w:themeColor="background1" w:themeShade="BF"/>
            </w:tcBorders>
            <w:tcMar>
              <w:top w:w="57" w:type="dxa"/>
              <w:bottom w:w="57" w:type="dxa"/>
            </w:tcMar>
          </w:tcPr>
          <w:p w14:paraId="044DFAF1" w14:textId="68859596" w:rsidR="001C4546" w:rsidRPr="00702A51" w:rsidRDefault="001C4546" w:rsidP="00D91137">
            <w:pPr>
              <w:pStyle w:val="TableTextLeft"/>
            </w:pPr>
            <w:r w:rsidRPr="00702A51">
              <w:t>8</w:t>
            </w:r>
            <w:r w:rsidR="006B61E9" w:rsidRPr="00702A51">
              <w:t>0</w:t>
            </w:r>
            <w:r w:rsidRPr="00702A51">
              <w:t>%</w:t>
            </w:r>
          </w:p>
        </w:tc>
      </w:tr>
      <w:tr w:rsidR="001C4546" w:rsidRPr="00702A51" w14:paraId="4C6A73BE" w14:textId="77777777" w:rsidTr="0005460F">
        <w:trPr>
          <w:trHeight w:val="181"/>
        </w:trPr>
        <w:tc>
          <w:tcPr>
            <w:tcW w:w="1518" w:type="dxa"/>
            <w:tcBorders>
              <w:top w:val="single" w:sz="2" w:space="0" w:color="BFBFBF" w:themeColor="background1" w:themeShade="BF"/>
              <w:bottom w:val="single" w:sz="2" w:space="0" w:color="BFBFBF" w:themeColor="background1" w:themeShade="BF"/>
              <w:right w:val="nil"/>
            </w:tcBorders>
            <w:tcMar>
              <w:top w:w="57" w:type="dxa"/>
              <w:bottom w:w="57" w:type="dxa"/>
            </w:tcMar>
          </w:tcPr>
          <w:p w14:paraId="3F0A0285" w14:textId="01D5DAFB" w:rsidR="001C4546" w:rsidRPr="00702A51" w:rsidRDefault="001C4546" w:rsidP="00D91137">
            <w:pPr>
              <w:pStyle w:val="TableTextLeft"/>
              <w:rPr>
                <w:rFonts w:eastAsia="Calibri"/>
                <w:b/>
              </w:rPr>
            </w:pPr>
            <w:r w:rsidRPr="00702A51">
              <w:rPr>
                <w:rFonts w:eastAsia="Calibri"/>
                <w:b/>
              </w:rPr>
              <w:t>2027–28</w:t>
            </w:r>
          </w:p>
        </w:tc>
        <w:tc>
          <w:tcPr>
            <w:tcW w:w="3727" w:type="dxa"/>
            <w:tcBorders>
              <w:top w:val="single" w:sz="2" w:space="0" w:color="BFBFBF" w:themeColor="background1" w:themeShade="BF"/>
              <w:left w:val="nil"/>
              <w:bottom w:val="single" w:sz="2" w:space="0" w:color="BFBFBF" w:themeColor="background1" w:themeShade="BF"/>
              <w:right w:val="nil"/>
            </w:tcBorders>
            <w:tcMar>
              <w:top w:w="57" w:type="dxa"/>
              <w:bottom w:w="57" w:type="dxa"/>
            </w:tcMar>
          </w:tcPr>
          <w:p w14:paraId="7E0F7FD4" w14:textId="64B89C16" w:rsidR="001C4546" w:rsidRPr="00702A51" w:rsidRDefault="001C4546" w:rsidP="00D91137">
            <w:pPr>
              <w:pStyle w:val="TableTextLeft"/>
            </w:pPr>
            <w:r w:rsidRPr="00702A51">
              <w:t>100%</w:t>
            </w:r>
          </w:p>
        </w:tc>
        <w:tc>
          <w:tcPr>
            <w:tcW w:w="3780" w:type="dxa"/>
            <w:tcBorders>
              <w:top w:val="single" w:sz="2" w:space="0" w:color="BFBFBF" w:themeColor="background1" w:themeShade="BF"/>
              <w:left w:val="nil"/>
              <w:bottom w:val="single" w:sz="2" w:space="0" w:color="BFBFBF" w:themeColor="background1" w:themeShade="BF"/>
            </w:tcBorders>
            <w:tcMar>
              <w:top w:w="57" w:type="dxa"/>
              <w:bottom w:w="57" w:type="dxa"/>
            </w:tcMar>
          </w:tcPr>
          <w:p w14:paraId="33A7EE37" w14:textId="44AD0E8B" w:rsidR="001C4546" w:rsidRPr="00702A51" w:rsidRDefault="001C4546" w:rsidP="00D91137">
            <w:pPr>
              <w:pStyle w:val="TableTextLeft"/>
            </w:pPr>
            <w:r w:rsidRPr="00702A51">
              <w:t>8</w:t>
            </w:r>
            <w:r w:rsidR="006B61E9" w:rsidRPr="00702A51">
              <w:t>0</w:t>
            </w:r>
            <w:r w:rsidRPr="00702A51">
              <w:t>%</w:t>
            </w:r>
          </w:p>
        </w:tc>
      </w:tr>
      <w:tr w:rsidR="001C4546" w:rsidRPr="00702A51" w14:paraId="409388D4" w14:textId="77777777" w:rsidTr="0005460F">
        <w:tc>
          <w:tcPr>
            <w:tcW w:w="1518" w:type="dxa"/>
            <w:tcBorders>
              <w:top w:val="single" w:sz="2" w:space="0" w:color="BFBFBF" w:themeColor="background1" w:themeShade="BF"/>
              <w:bottom w:val="single" w:sz="2" w:space="0" w:color="BFBFBF" w:themeColor="background1" w:themeShade="BF"/>
              <w:right w:val="nil"/>
            </w:tcBorders>
            <w:tcMar>
              <w:top w:w="57" w:type="dxa"/>
              <w:bottom w:w="57" w:type="dxa"/>
            </w:tcMar>
          </w:tcPr>
          <w:p w14:paraId="32FCD0BC" w14:textId="043E80CA" w:rsidR="001C4546" w:rsidRPr="00702A51" w:rsidRDefault="001C4546" w:rsidP="00D91137">
            <w:pPr>
              <w:pStyle w:val="TableTextLeft"/>
              <w:rPr>
                <w:rFonts w:eastAsia="Calibri"/>
                <w:b/>
              </w:rPr>
            </w:pPr>
            <w:r w:rsidRPr="00702A51">
              <w:rPr>
                <w:rFonts w:eastAsia="Calibri"/>
                <w:b/>
              </w:rPr>
              <w:t xml:space="preserve">2028–29 </w:t>
            </w:r>
          </w:p>
        </w:tc>
        <w:tc>
          <w:tcPr>
            <w:tcW w:w="3727" w:type="dxa"/>
            <w:tcBorders>
              <w:top w:val="single" w:sz="2" w:space="0" w:color="BFBFBF" w:themeColor="background1" w:themeShade="BF"/>
              <w:left w:val="nil"/>
              <w:bottom w:val="single" w:sz="2" w:space="0" w:color="BFBFBF" w:themeColor="background1" w:themeShade="BF"/>
              <w:right w:val="nil"/>
            </w:tcBorders>
            <w:tcMar>
              <w:top w:w="57" w:type="dxa"/>
              <w:bottom w:w="57" w:type="dxa"/>
            </w:tcMar>
          </w:tcPr>
          <w:p w14:paraId="27E09BFB" w14:textId="1948D80E" w:rsidR="001C4546" w:rsidRPr="00702A51" w:rsidRDefault="001C4546" w:rsidP="00D91137">
            <w:pPr>
              <w:pStyle w:val="TableTextLeft"/>
            </w:pPr>
            <w:r w:rsidRPr="00702A51">
              <w:t>100%</w:t>
            </w:r>
          </w:p>
        </w:tc>
        <w:tc>
          <w:tcPr>
            <w:tcW w:w="3780" w:type="dxa"/>
            <w:tcBorders>
              <w:top w:val="single" w:sz="2" w:space="0" w:color="BFBFBF" w:themeColor="background1" w:themeShade="BF"/>
              <w:left w:val="nil"/>
              <w:bottom w:val="single" w:sz="2" w:space="0" w:color="BFBFBF" w:themeColor="background1" w:themeShade="BF"/>
            </w:tcBorders>
            <w:tcMar>
              <w:top w:w="57" w:type="dxa"/>
              <w:bottom w:w="57" w:type="dxa"/>
            </w:tcMar>
          </w:tcPr>
          <w:p w14:paraId="6ECCC44C" w14:textId="37522382" w:rsidR="001C4546" w:rsidRPr="00702A51" w:rsidRDefault="00290A7C" w:rsidP="00D91137">
            <w:pPr>
              <w:pStyle w:val="TableTextLeft"/>
            </w:pPr>
            <w:r w:rsidRPr="00702A51">
              <w:t>80</w:t>
            </w:r>
            <w:r w:rsidR="001C4546" w:rsidRPr="00702A51">
              <w:t>%</w:t>
            </w:r>
          </w:p>
        </w:tc>
      </w:tr>
      <w:tr w:rsidR="00752B3E" w:rsidRPr="00702A51" w14:paraId="606F2012" w14:textId="77777777" w:rsidTr="0005460F">
        <w:tc>
          <w:tcPr>
            <w:tcW w:w="1518" w:type="dxa"/>
            <w:tcBorders>
              <w:top w:val="single" w:sz="2" w:space="0" w:color="BFBFBF" w:themeColor="background1" w:themeShade="BF"/>
              <w:bottom w:val="single" w:sz="2" w:space="0" w:color="BFBFBF" w:themeColor="background1" w:themeShade="BF"/>
              <w:right w:val="nil"/>
            </w:tcBorders>
            <w:tcMar>
              <w:top w:w="57" w:type="dxa"/>
              <w:bottom w:w="57" w:type="dxa"/>
            </w:tcMar>
          </w:tcPr>
          <w:p w14:paraId="3DC46263" w14:textId="425FEEA8" w:rsidR="00752B3E" w:rsidRPr="00702A51" w:rsidRDefault="00752B3E" w:rsidP="00D91137">
            <w:pPr>
              <w:pStyle w:val="TableTextLeft"/>
              <w:rPr>
                <w:rFonts w:eastAsia="Calibri"/>
                <w:b/>
              </w:rPr>
            </w:pPr>
            <w:r w:rsidRPr="00702A51">
              <w:rPr>
                <w:rFonts w:eastAsia="Calibri"/>
                <w:b/>
              </w:rPr>
              <w:t>2029–30</w:t>
            </w:r>
          </w:p>
        </w:tc>
        <w:tc>
          <w:tcPr>
            <w:tcW w:w="3727" w:type="dxa"/>
            <w:tcBorders>
              <w:top w:val="single" w:sz="2" w:space="0" w:color="BFBFBF" w:themeColor="background1" w:themeShade="BF"/>
              <w:left w:val="nil"/>
              <w:bottom w:val="single" w:sz="2" w:space="0" w:color="BFBFBF" w:themeColor="background1" w:themeShade="BF"/>
              <w:right w:val="nil"/>
            </w:tcBorders>
            <w:tcMar>
              <w:top w:w="57" w:type="dxa"/>
              <w:bottom w:w="57" w:type="dxa"/>
            </w:tcMar>
          </w:tcPr>
          <w:p w14:paraId="31FF4EFA" w14:textId="43A3DDCD" w:rsidR="00752B3E" w:rsidRPr="00702A51" w:rsidRDefault="00841FC6" w:rsidP="00D91137">
            <w:pPr>
              <w:pStyle w:val="TableTextLeft"/>
            </w:pPr>
            <w:r w:rsidRPr="00702A51">
              <w:t>100%</w:t>
            </w:r>
          </w:p>
        </w:tc>
        <w:tc>
          <w:tcPr>
            <w:tcW w:w="3780" w:type="dxa"/>
            <w:tcBorders>
              <w:top w:val="single" w:sz="2" w:space="0" w:color="BFBFBF" w:themeColor="background1" w:themeShade="BF"/>
              <w:left w:val="nil"/>
              <w:bottom w:val="single" w:sz="2" w:space="0" w:color="BFBFBF" w:themeColor="background1" w:themeShade="BF"/>
            </w:tcBorders>
            <w:tcMar>
              <w:top w:w="57" w:type="dxa"/>
              <w:bottom w:w="57" w:type="dxa"/>
            </w:tcMar>
          </w:tcPr>
          <w:p w14:paraId="2A858C96" w14:textId="6528F97B" w:rsidR="00752B3E" w:rsidRPr="00702A51" w:rsidRDefault="00290A7C" w:rsidP="00D91137">
            <w:pPr>
              <w:pStyle w:val="TableTextLeft"/>
            </w:pPr>
            <w:r w:rsidRPr="00702A51">
              <w:t>80</w:t>
            </w:r>
            <w:r w:rsidR="00841FC6" w:rsidRPr="00702A51">
              <w:t>%</w:t>
            </w:r>
          </w:p>
        </w:tc>
      </w:tr>
    </w:tbl>
    <w:bookmarkEnd w:id="66"/>
    <w:p w14:paraId="382AEE7E" w14:textId="1D499A4B" w:rsidR="007B4F50" w:rsidRPr="00702A51" w:rsidRDefault="00E63CB9" w:rsidP="00E63CB9">
      <w:pPr>
        <w:pStyle w:val="Heading5"/>
        <w:spacing w:before="240"/>
      </w:pPr>
      <w:r w:rsidRPr="00702A51">
        <w:t>Target rationale</w:t>
      </w:r>
    </w:p>
    <w:p w14:paraId="04D46718" w14:textId="437A9AA8" w:rsidR="00E63CB9" w:rsidRPr="00702A51" w:rsidRDefault="00E63CB9" w:rsidP="00E63CB9">
      <w:pPr>
        <w:pStyle w:val="PeformanceMeasuresNormal"/>
      </w:pPr>
      <w:r w:rsidRPr="00702A51">
        <w:t>Treasury established 70% as a baseline for the stakeholder survey and ministerial feedback questionnaire in 2021–22. Treasury has increased the targets for the ministerial feedback questionnaire for 2025</w:t>
      </w:r>
      <w:r w:rsidRPr="00702A51">
        <w:rPr>
          <w:lang w:val="en-US"/>
        </w:rPr>
        <w:t>–</w:t>
      </w:r>
      <w:r w:rsidRPr="00702A51">
        <w:t xml:space="preserve">26 and forward years to align with the methodology for assessing performance and the prior year performance results. </w:t>
      </w:r>
      <w:r w:rsidRPr="00702A51">
        <w:rPr>
          <w:rFonts w:cstheme="minorHAnsi"/>
          <w:bCs/>
        </w:rPr>
        <w:t xml:space="preserve">Treasury has maintained the targets for the stakeholder survey in </w:t>
      </w:r>
      <w:r w:rsidRPr="00702A51">
        <w:t xml:space="preserve">2026–27 and </w:t>
      </w:r>
      <w:r w:rsidR="0022717C">
        <w:t>the forward years</w:t>
      </w:r>
      <w:r w:rsidRPr="00702A51">
        <w:t xml:space="preserve"> </w:t>
      </w:r>
      <w:r w:rsidRPr="00702A51">
        <w:rPr>
          <w:rFonts w:cstheme="minorHAnsi"/>
          <w:bCs/>
        </w:rPr>
        <w:t>based on the 2025–26 performance.</w:t>
      </w:r>
      <w:r w:rsidRPr="00702A51">
        <w:t xml:space="preserve"> </w:t>
      </w:r>
    </w:p>
    <w:p w14:paraId="1EE31F83" w14:textId="3BC25191" w:rsidR="00E63CB9" w:rsidRPr="00702A51" w:rsidRDefault="00E63CB9" w:rsidP="00E63CB9">
      <w:pPr>
        <w:pStyle w:val="Heading5"/>
      </w:pPr>
      <w:r w:rsidRPr="00702A51">
        <w:t>Methodology</w:t>
      </w:r>
    </w:p>
    <w:p w14:paraId="781B0F42" w14:textId="07B9690B" w:rsidR="00E63CB9" w:rsidRPr="00702A51" w:rsidRDefault="00E63CB9" w:rsidP="00E63CB9">
      <w:pPr>
        <w:pStyle w:val="PeformanceMeasuresNormal"/>
      </w:pPr>
      <w:r w:rsidRPr="00702A51">
        <w:t xml:space="preserve">Independent stakeholder survey conducted by a third-party provider and structured interviews with Treasury </w:t>
      </w:r>
      <w:r w:rsidR="006E4F8A" w:rsidRPr="00702A51">
        <w:t>m</w:t>
      </w:r>
      <w:r w:rsidRPr="00702A51">
        <w:t xml:space="preserve">inisters or their representatives. The assessment of the ministerial feedback questionnaire is weighted so that the Treasurer’s responses account for 50% of the overall percentage measure. Stakeholder selection is governed by transparent stakeholder selection rules. </w:t>
      </w:r>
    </w:p>
    <w:p w14:paraId="396D556A" w14:textId="28BFFC92" w:rsidR="00E63CB9" w:rsidRPr="00702A51" w:rsidRDefault="00E63CB9" w:rsidP="00E63CB9">
      <w:pPr>
        <w:pStyle w:val="Heading5"/>
      </w:pPr>
      <w:r w:rsidRPr="00702A51">
        <w:t>Measure type</w:t>
      </w:r>
    </w:p>
    <w:p w14:paraId="08E2209C" w14:textId="77777777" w:rsidR="00E63CB9" w:rsidRPr="00702A51" w:rsidRDefault="00E63CB9" w:rsidP="00E63CB9">
      <w:pPr>
        <w:pStyle w:val="PeformanceMeasuresNormal"/>
      </w:pPr>
      <w:r w:rsidRPr="00702A51">
        <w:t xml:space="preserve">Effectiveness measure. </w:t>
      </w:r>
    </w:p>
    <w:p w14:paraId="58430434" w14:textId="68493F29" w:rsidR="00E63CB9" w:rsidRPr="00702A51" w:rsidRDefault="00E63CB9" w:rsidP="00E63CB9">
      <w:pPr>
        <w:pStyle w:val="Heading5"/>
      </w:pPr>
      <w:r w:rsidRPr="00702A51">
        <w:t>Data sources</w:t>
      </w:r>
    </w:p>
    <w:p w14:paraId="2F737FF0" w14:textId="70FDAA99" w:rsidR="00E63CB9" w:rsidRPr="00702A51" w:rsidRDefault="00E63CB9" w:rsidP="00E63CB9">
      <w:pPr>
        <w:pStyle w:val="PeformanceMeasuresNormal"/>
      </w:pPr>
      <w:r w:rsidRPr="00702A51">
        <w:t xml:space="preserve">Stakeholder lists and responses to the stakeholder survey and the ministerial feedback questionnaire from Treasury </w:t>
      </w:r>
      <w:r w:rsidR="006E4F8A" w:rsidRPr="00702A51">
        <w:t>m</w:t>
      </w:r>
      <w:r w:rsidRPr="00702A51">
        <w:t>inisters or their representatives.</w:t>
      </w:r>
    </w:p>
    <w:p w14:paraId="01F85213" w14:textId="5D08E4BB" w:rsidR="00E63CB9" w:rsidRPr="00702A51" w:rsidRDefault="00E63CB9" w:rsidP="00E63CB9">
      <w:pPr>
        <w:pStyle w:val="Heading5"/>
        <w:rPr>
          <w:rFonts w:cs="Calibri Light"/>
          <w:szCs w:val="22"/>
        </w:rPr>
      </w:pPr>
      <w:r w:rsidRPr="00702A51">
        <w:t>Changes from previous year</w:t>
      </w:r>
    </w:p>
    <w:p w14:paraId="7897E557" w14:textId="7DAA1BC5" w:rsidR="00E63CB9" w:rsidRPr="00702A51" w:rsidRDefault="00E63CB9" w:rsidP="00E63CB9">
      <w:pPr>
        <w:pStyle w:val="PeformanceMeasuresNormal"/>
      </w:pPr>
      <w:r w:rsidRPr="00702A51">
        <w:t xml:space="preserve">Treasury has revised the questionnaire to align with the principles of the </w:t>
      </w:r>
      <w:hyperlink r:id="rId26" w:history="1">
        <w:r w:rsidRPr="00702A51">
          <w:rPr>
            <w:rStyle w:val="Hyperlink"/>
          </w:rPr>
          <w:t>Charter of Partnerships and Engagement</w:t>
        </w:r>
      </w:hyperlink>
      <w:r w:rsidRPr="00702A51">
        <w:t xml:space="preserve"> that is part of the APS Reform. </w:t>
      </w:r>
    </w:p>
    <w:p w14:paraId="7E86D3DA" w14:textId="6FF7D9EB" w:rsidR="00235577" w:rsidRPr="00702A51" w:rsidRDefault="00E63CB9" w:rsidP="00E63CB9">
      <w:pPr>
        <w:pStyle w:val="PeformanceMeasuresNormal"/>
        <w:rPr>
          <w:rFonts w:eastAsia="Calibri" w:cs="Calibri Light"/>
          <w:kern w:val="2"/>
          <w:szCs w:val="22"/>
          <w:lang w:eastAsia="en-US"/>
          <w14:ligatures w14:val="standardContextual"/>
        </w:rPr>
      </w:pPr>
      <w:r w:rsidRPr="00702A51">
        <w:t xml:space="preserve">The target for the key stakeholder survey is maintained at 80% in 2026–27 and the forward years. </w:t>
      </w:r>
      <w:r w:rsidRPr="00702A51">
        <w:rPr>
          <w:bCs/>
        </w:rPr>
        <w:t>Treasury annually reviews its stakeholders and areas of policy advice to incorporate new functions.</w:t>
      </w:r>
    </w:p>
    <w:p w14:paraId="38C2EE81" w14:textId="5FA24F20" w:rsidR="00235577" w:rsidRPr="00702A51" w:rsidRDefault="00235577" w:rsidP="00DE6AAE">
      <w:pPr>
        <w:pStyle w:val="Heading3"/>
      </w:pPr>
      <w:r w:rsidRPr="00702A51">
        <w:lastRenderedPageBreak/>
        <w:t xml:space="preserve">Intended </w:t>
      </w:r>
      <w:r w:rsidR="00C73BA3" w:rsidRPr="00702A51">
        <w:t>r</w:t>
      </w:r>
      <w:r w:rsidRPr="00702A51">
        <w:t>esult 3.2</w:t>
      </w:r>
    </w:p>
    <w:p w14:paraId="33ED0AE5" w14:textId="02AE1758" w:rsidR="00235577" w:rsidRPr="00702A51" w:rsidRDefault="00235577" w:rsidP="00922043">
      <w:pPr>
        <w:rPr>
          <w:rFonts w:eastAsia="Calibri"/>
          <w:lang w:eastAsia="en-US"/>
        </w:rPr>
      </w:pPr>
      <w:r w:rsidRPr="00702A51">
        <w:rPr>
          <w:rFonts w:eastAsia="Calibri"/>
          <w:lang w:eastAsia="en-US"/>
        </w:rPr>
        <w:t xml:space="preserve">Partnering with international financial institutions promotes international monetary cooperation, fosters financial system stability and economic growth, and facilitates the </w:t>
      </w:r>
      <w:r w:rsidR="001668E9" w:rsidRPr="00702A51">
        <w:rPr>
          <w:rFonts w:eastAsia="Calibri"/>
          <w:lang w:eastAsia="en-US"/>
        </w:rPr>
        <w:t>g</w:t>
      </w:r>
      <w:r w:rsidRPr="00702A51">
        <w:rPr>
          <w:rFonts w:eastAsia="Calibri"/>
          <w:lang w:eastAsia="en-US"/>
        </w:rPr>
        <w:t>overnment</w:t>
      </w:r>
      <w:r w:rsidR="006225C6" w:rsidRPr="00702A51">
        <w:rPr>
          <w:rFonts w:eastAsia="Calibri"/>
          <w:lang w:eastAsia="en-US"/>
        </w:rPr>
        <w:t>’</w:t>
      </w:r>
      <w:r w:rsidRPr="00702A51">
        <w:rPr>
          <w:rFonts w:eastAsia="Calibri"/>
          <w:lang w:eastAsia="en-US"/>
        </w:rPr>
        <w:t>s objectives in</w:t>
      </w:r>
      <w:r w:rsidR="006B4727" w:rsidRPr="00702A51">
        <w:rPr>
          <w:rFonts w:eastAsia="Calibri"/>
          <w:lang w:eastAsia="en-US"/>
        </w:rPr>
        <w:t> </w:t>
      </w:r>
      <w:r w:rsidRPr="00702A51">
        <w:rPr>
          <w:rFonts w:eastAsia="Calibri"/>
          <w:lang w:eastAsia="en-US"/>
        </w:rPr>
        <w:t>international forums</w:t>
      </w:r>
      <w:r w:rsidR="00DE6AAE" w:rsidRPr="00702A51">
        <w:rPr>
          <w:rFonts w:eastAsia="Calibri"/>
          <w:lang w:eastAsia="en-US"/>
        </w:rPr>
        <w:t>.</w:t>
      </w:r>
    </w:p>
    <w:p w14:paraId="57AC85D4" w14:textId="77777777" w:rsidR="00413BCE" w:rsidRPr="00702A51" w:rsidRDefault="00413BCE" w:rsidP="00413BCE">
      <w:pPr>
        <w:pStyle w:val="Heading4"/>
        <w:rPr>
          <w:rFonts w:eastAsia="Calibri"/>
          <w:lang w:eastAsia="en-US"/>
        </w:rPr>
      </w:pPr>
      <w:r w:rsidRPr="00702A51">
        <w:rPr>
          <w:rFonts w:eastAsia="Calibri"/>
          <w:lang w:eastAsia="en-US"/>
        </w:rPr>
        <w:t>Performance measure 13</w:t>
      </w:r>
    </w:p>
    <w:p w14:paraId="5E61B9CA" w14:textId="7172D8C3" w:rsidR="00413BCE" w:rsidRPr="00702A51" w:rsidRDefault="00413BCE" w:rsidP="0008586E">
      <w:pPr>
        <w:pStyle w:val="PeformanceMeasuresNormal"/>
        <w:spacing w:after="240"/>
        <w:rPr>
          <w:rFonts w:eastAsia="Calibri"/>
          <w:lang w:eastAsia="en-US"/>
        </w:rPr>
      </w:pPr>
      <w:r w:rsidRPr="00702A51">
        <w:rPr>
          <w:rFonts w:eastAsia="Calibri"/>
          <w:lang w:eastAsia="en-US"/>
        </w:rPr>
        <w:t xml:space="preserve">Proportion of payments to international financial institutions are transferred within legislated requirements and agreements. </w:t>
      </w:r>
      <w:r w:rsidR="00377027" w:rsidRPr="00702A51">
        <w:rPr>
          <w:rFonts w:eastAsia="Calibri"/>
          <w:lang w:eastAsia="en-US"/>
        </w:rPr>
        <w:br/>
      </w:r>
      <w:r w:rsidRPr="00702A51">
        <w:rPr>
          <w:rFonts w:eastAsia="Calibri"/>
          <w:lang w:eastAsia="en-US"/>
        </w:rPr>
        <w:t>(Program 1.2 – International Financial Relations)</w:t>
      </w:r>
    </w:p>
    <w:tbl>
      <w:tblPr>
        <w:tblStyle w:val="TableGrid14"/>
        <w:tblW w:w="5000" w:type="pct"/>
        <w:tblBorders>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E619DA" w:rsidRPr="00702A51" w14:paraId="60431B64" w14:textId="77777777" w:rsidTr="0005460F">
        <w:tc>
          <w:tcPr>
            <w:tcW w:w="1418" w:type="dxa"/>
            <w:tcBorders>
              <w:top w:val="nil"/>
              <w:bottom w:val="nil"/>
              <w:right w:val="nil"/>
            </w:tcBorders>
            <w:shd w:val="clear" w:color="auto" w:fill="E8F0FC" w:themeFill="accent5" w:themeFillTint="33"/>
          </w:tcPr>
          <w:p w14:paraId="028A980F" w14:textId="59F50972" w:rsidR="00E619DA" w:rsidRPr="00702A51" w:rsidRDefault="00AB000D" w:rsidP="005F5C36">
            <w:pPr>
              <w:pStyle w:val="TableColumnHeadingLeft"/>
              <w:rPr>
                <w:rFonts w:eastAsia="Calibri"/>
                <w:lang w:eastAsia="en-US"/>
              </w:rPr>
            </w:pPr>
            <w:r w:rsidRPr="00702A51">
              <w:rPr>
                <w:rFonts w:eastAsia="Calibri"/>
                <w:lang w:eastAsia="en-US"/>
              </w:rPr>
              <w:t>Year</w:t>
            </w:r>
          </w:p>
        </w:tc>
        <w:tc>
          <w:tcPr>
            <w:tcW w:w="7085" w:type="dxa"/>
            <w:tcBorders>
              <w:top w:val="nil"/>
              <w:left w:val="nil"/>
              <w:bottom w:val="nil"/>
            </w:tcBorders>
            <w:shd w:val="clear" w:color="auto" w:fill="E8F0FC" w:themeFill="accent5" w:themeFillTint="33"/>
          </w:tcPr>
          <w:p w14:paraId="19F828D4" w14:textId="2BF90A55" w:rsidR="00E619DA" w:rsidRPr="00702A51" w:rsidRDefault="00AB000D" w:rsidP="005F5C36">
            <w:pPr>
              <w:pStyle w:val="Tabletext10pt"/>
              <w:rPr>
                <w:b/>
                <w:bCs/>
              </w:rPr>
            </w:pPr>
            <w:r w:rsidRPr="00702A51">
              <w:rPr>
                <w:b/>
                <w:bCs/>
              </w:rPr>
              <w:t>Target</w:t>
            </w:r>
          </w:p>
        </w:tc>
      </w:tr>
      <w:tr w:rsidR="005F5C36" w:rsidRPr="00702A51" w14:paraId="591A2DE8" w14:textId="77777777" w:rsidTr="0005460F">
        <w:tc>
          <w:tcPr>
            <w:tcW w:w="1418" w:type="dxa"/>
            <w:tcBorders>
              <w:top w:val="nil"/>
              <w:bottom w:val="single" w:sz="2" w:space="0" w:color="BFBFBF" w:themeColor="background1" w:themeShade="BF"/>
              <w:right w:val="nil"/>
            </w:tcBorders>
          </w:tcPr>
          <w:p w14:paraId="27C7B488" w14:textId="1533613B" w:rsidR="005F5C36" w:rsidRPr="00702A51" w:rsidRDefault="005F5C36" w:rsidP="0008586E">
            <w:pPr>
              <w:pStyle w:val="TableTextLeft"/>
              <w:rPr>
                <w:rFonts w:eastAsia="Calibri"/>
                <w:b/>
                <w:lang w:eastAsia="en-US"/>
              </w:rPr>
            </w:pPr>
            <w:r w:rsidRPr="00702A51">
              <w:rPr>
                <w:rFonts w:eastAsia="Calibri"/>
                <w:b/>
                <w:lang w:eastAsia="en-US"/>
              </w:rPr>
              <w:t>2026–27</w:t>
            </w:r>
          </w:p>
        </w:tc>
        <w:tc>
          <w:tcPr>
            <w:tcW w:w="7085" w:type="dxa"/>
            <w:tcBorders>
              <w:top w:val="nil"/>
              <w:left w:val="nil"/>
              <w:bottom w:val="single" w:sz="2" w:space="0" w:color="BFBFBF" w:themeColor="background1" w:themeShade="BF"/>
            </w:tcBorders>
          </w:tcPr>
          <w:p w14:paraId="336587DE" w14:textId="77777777" w:rsidR="005F5C36" w:rsidRPr="00702A51" w:rsidRDefault="005F5C36" w:rsidP="0008586E">
            <w:pPr>
              <w:pStyle w:val="TableTextLeft"/>
            </w:pPr>
            <w:r w:rsidRPr="00702A51">
              <w:t>100%</w:t>
            </w:r>
          </w:p>
        </w:tc>
      </w:tr>
      <w:tr w:rsidR="005F5C36" w:rsidRPr="00702A51" w14:paraId="54B72F01" w14:textId="77777777" w:rsidTr="0005460F">
        <w:tc>
          <w:tcPr>
            <w:tcW w:w="1418" w:type="dxa"/>
            <w:tcBorders>
              <w:top w:val="single" w:sz="2" w:space="0" w:color="BFBFBF" w:themeColor="background1" w:themeShade="BF"/>
              <w:bottom w:val="single" w:sz="2" w:space="0" w:color="BFBFBF" w:themeColor="background1" w:themeShade="BF"/>
              <w:right w:val="nil"/>
            </w:tcBorders>
          </w:tcPr>
          <w:p w14:paraId="5C600A73" w14:textId="4BE785D9" w:rsidR="005F5C36" w:rsidRPr="00702A51" w:rsidRDefault="005F5C36" w:rsidP="0008586E">
            <w:pPr>
              <w:pStyle w:val="TableTextLeft"/>
              <w:rPr>
                <w:rFonts w:eastAsia="Calibri"/>
                <w:b/>
                <w:lang w:eastAsia="en-US"/>
              </w:rPr>
            </w:pPr>
            <w:r w:rsidRPr="00702A51">
              <w:rPr>
                <w:rFonts w:eastAsia="Calibri"/>
                <w:b/>
                <w:lang w:eastAsia="en-US"/>
              </w:rPr>
              <w:t>2027–28</w:t>
            </w:r>
          </w:p>
        </w:tc>
        <w:tc>
          <w:tcPr>
            <w:tcW w:w="7085" w:type="dxa"/>
            <w:tcBorders>
              <w:top w:val="single" w:sz="2" w:space="0" w:color="BFBFBF" w:themeColor="background1" w:themeShade="BF"/>
              <w:left w:val="nil"/>
              <w:bottom w:val="single" w:sz="2" w:space="0" w:color="BFBFBF" w:themeColor="background1" w:themeShade="BF"/>
            </w:tcBorders>
          </w:tcPr>
          <w:p w14:paraId="6B7DD091" w14:textId="77777777" w:rsidR="005F5C36" w:rsidRPr="00702A51" w:rsidRDefault="005F5C36" w:rsidP="0008586E">
            <w:pPr>
              <w:pStyle w:val="TableTextLeft"/>
            </w:pPr>
            <w:r w:rsidRPr="00702A51">
              <w:t>100%</w:t>
            </w:r>
          </w:p>
        </w:tc>
      </w:tr>
      <w:tr w:rsidR="005F5C36" w:rsidRPr="00702A51" w14:paraId="17165876" w14:textId="77777777" w:rsidTr="0005460F">
        <w:tc>
          <w:tcPr>
            <w:tcW w:w="1418" w:type="dxa"/>
            <w:tcBorders>
              <w:top w:val="single" w:sz="2" w:space="0" w:color="BFBFBF" w:themeColor="background1" w:themeShade="BF"/>
              <w:bottom w:val="single" w:sz="2" w:space="0" w:color="BFBFBF" w:themeColor="background1" w:themeShade="BF"/>
              <w:right w:val="nil"/>
            </w:tcBorders>
          </w:tcPr>
          <w:p w14:paraId="12931B99" w14:textId="032D497B" w:rsidR="005F5C36" w:rsidRPr="00702A51" w:rsidRDefault="005F5C36" w:rsidP="0008586E">
            <w:pPr>
              <w:pStyle w:val="TableTextLeft"/>
              <w:rPr>
                <w:rFonts w:eastAsia="Calibri"/>
                <w:b/>
                <w:lang w:eastAsia="en-US"/>
              </w:rPr>
            </w:pPr>
            <w:r w:rsidRPr="00702A51">
              <w:rPr>
                <w:rFonts w:eastAsia="Calibri"/>
                <w:b/>
                <w:lang w:eastAsia="en-US"/>
              </w:rPr>
              <w:t>2028–29</w:t>
            </w:r>
          </w:p>
        </w:tc>
        <w:tc>
          <w:tcPr>
            <w:tcW w:w="7085" w:type="dxa"/>
            <w:tcBorders>
              <w:top w:val="single" w:sz="2" w:space="0" w:color="BFBFBF" w:themeColor="background1" w:themeShade="BF"/>
              <w:left w:val="nil"/>
              <w:bottom w:val="single" w:sz="2" w:space="0" w:color="BFBFBF" w:themeColor="background1" w:themeShade="BF"/>
            </w:tcBorders>
          </w:tcPr>
          <w:p w14:paraId="30967514" w14:textId="77777777" w:rsidR="005F5C36" w:rsidRPr="00702A51" w:rsidRDefault="005F5C36" w:rsidP="0008586E">
            <w:pPr>
              <w:pStyle w:val="TableTextLeft"/>
            </w:pPr>
            <w:r w:rsidRPr="00702A51">
              <w:t>100%</w:t>
            </w:r>
          </w:p>
        </w:tc>
      </w:tr>
      <w:tr w:rsidR="00235577" w:rsidRPr="00702A51" w14:paraId="7FB431AA" w14:textId="77777777" w:rsidTr="0005460F">
        <w:tc>
          <w:tcPr>
            <w:tcW w:w="1418" w:type="dxa"/>
            <w:tcBorders>
              <w:top w:val="single" w:sz="2" w:space="0" w:color="BFBFBF" w:themeColor="background1" w:themeShade="BF"/>
              <w:bottom w:val="single" w:sz="2" w:space="0" w:color="BFBFBF" w:themeColor="background1" w:themeShade="BF"/>
              <w:right w:val="nil"/>
            </w:tcBorders>
          </w:tcPr>
          <w:p w14:paraId="4F4C5253" w14:textId="5CEAE099" w:rsidR="00235577" w:rsidRPr="00702A51" w:rsidRDefault="00235577" w:rsidP="0008586E">
            <w:pPr>
              <w:pStyle w:val="TableTextLeft"/>
              <w:rPr>
                <w:rFonts w:eastAsia="Calibri"/>
                <w:b/>
                <w:lang w:eastAsia="en-US"/>
              </w:rPr>
            </w:pPr>
            <w:r w:rsidRPr="00702A51">
              <w:rPr>
                <w:rFonts w:eastAsia="Calibri"/>
                <w:b/>
                <w:lang w:eastAsia="en-US"/>
              </w:rPr>
              <w:t>202</w:t>
            </w:r>
            <w:r w:rsidR="005F5C36" w:rsidRPr="00702A51">
              <w:rPr>
                <w:rFonts w:eastAsia="Calibri"/>
                <w:b/>
                <w:lang w:eastAsia="en-US"/>
              </w:rPr>
              <w:t>9</w:t>
            </w:r>
            <w:r w:rsidRPr="00702A51">
              <w:rPr>
                <w:rFonts w:eastAsia="Calibri"/>
                <w:b/>
                <w:lang w:eastAsia="en-US"/>
              </w:rPr>
              <w:t>–</w:t>
            </w:r>
            <w:r w:rsidR="005F5C36" w:rsidRPr="00702A51">
              <w:rPr>
                <w:rFonts w:eastAsia="Calibri"/>
                <w:b/>
                <w:lang w:eastAsia="en-US"/>
              </w:rPr>
              <w:t>30</w:t>
            </w:r>
          </w:p>
        </w:tc>
        <w:tc>
          <w:tcPr>
            <w:tcW w:w="7085" w:type="dxa"/>
            <w:tcBorders>
              <w:top w:val="single" w:sz="2" w:space="0" w:color="BFBFBF" w:themeColor="background1" w:themeShade="BF"/>
              <w:left w:val="nil"/>
              <w:bottom w:val="single" w:sz="2" w:space="0" w:color="BFBFBF" w:themeColor="background1" w:themeShade="BF"/>
            </w:tcBorders>
          </w:tcPr>
          <w:p w14:paraId="3DFF217B" w14:textId="77777777" w:rsidR="00235577" w:rsidRPr="00702A51" w:rsidRDefault="00235577" w:rsidP="0008586E">
            <w:pPr>
              <w:pStyle w:val="TableTextLeft"/>
            </w:pPr>
            <w:r w:rsidRPr="00702A51">
              <w:t>100%</w:t>
            </w:r>
          </w:p>
        </w:tc>
      </w:tr>
    </w:tbl>
    <w:p w14:paraId="42BDEA34" w14:textId="77777777" w:rsidR="0008586E" w:rsidRPr="00702A51" w:rsidRDefault="0008586E" w:rsidP="0008586E">
      <w:pPr>
        <w:pStyle w:val="Heading5"/>
        <w:spacing w:before="240"/>
        <w:rPr>
          <w:rFonts w:eastAsia="Calibri" w:cs="Calibri Light"/>
          <w:kern w:val="2"/>
          <w:szCs w:val="22"/>
          <w:lang w:eastAsia="en-US"/>
          <w14:ligatures w14:val="standardContextual"/>
        </w:rPr>
      </w:pPr>
      <w:r w:rsidRPr="00702A51">
        <w:rPr>
          <w:rFonts w:eastAsia="Calibri"/>
          <w:lang w:eastAsia="en-US"/>
        </w:rPr>
        <w:t>Target rationale</w:t>
      </w:r>
      <w:r w:rsidRPr="00702A51">
        <w:rPr>
          <w:rFonts w:eastAsia="Calibri" w:cs="Calibri Light"/>
          <w:kern w:val="2"/>
          <w:szCs w:val="22"/>
          <w:lang w:eastAsia="en-US"/>
          <w14:ligatures w14:val="standardContextual"/>
        </w:rPr>
        <w:t xml:space="preserve"> </w:t>
      </w:r>
    </w:p>
    <w:p w14:paraId="7494EE48" w14:textId="77777777" w:rsidR="0008586E" w:rsidRPr="00702A51" w:rsidRDefault="0008586E" w:rsidP="0008586E">
      <w:pPr>
        <w:pStyle w:val="PeformanceMeasuresNormal"/>
        <w:rPr>
          <w:rFonts w:eastAsia="Calibri"/>
          <w:lang w:eastAsia="en-US"/>
        </w:rPr>
      </w:pPr>
      <w:r w:rsidRPr="00702A51">
        <w:t>Treasury has reported over previous periods that transfers to international financial institutions are within legislated requirements. The target is consistent with these performance results.</w:t>
      </w:r>
      <w:r w:rsidRPr="00702A51">
        <w:rPr>
          <w:rFonts w:eastAsia="Calibri"/>
          <w:lang w:eastAsia="en-US"/>
        </w:rPr>
        <w:t xml:space="preserve"> </w:t>
      </w:r>
    </w:p>
    <w:p w14:paraId="2BFDC898" w14:textId="77777777" w:rsidR="0008586E" w:rsidRPr="00702A51" w:rsidRDefault="0008586E" w:rsidP="0008586E">
      <w:pPr>
        <w:pStyle w:val="Heading5"/>
        <w:rPr>
          <w:rFonts w:eastAsia="Calibri" w:cs="Calibri Light"/>
          <w:kern w:val="2"/>
          <w:szCs w:val="22"/>
          <w:lang w:eastAsia="en-US"/>
          <w14:ligatures w14:val="standardContextual"/>
        </w:rPr>
      </w:pPr>
      <w:r w:rsidRPr="00702A51">
        <w:rPr>
          <w:rFonts w:eastAsia="Calibri"/>
          <w:lang w:eastAsia="en-US"/>
        </w:rPr>
        <w:t>Methodology</w:t>
      </w:r>
      <w:r w:rsidRPr="00702A51">
        <w:rPr>
          <w:rFonts w:eastAsia="Calibri" w:cs="Calibri Light"/>
          <w:kern w:val="2"/>
          <w:szCs w:val="22"/>
          <w:lang w:eastAsia="en-US"/>
          <w14:ligatures w14:val="standardContextual"/>
        </w:rPr>
        <w:t xml:space="preserve"> </w:t>
      </w:r>
    </w:p>
    <w:p w14:paraId="108AF30F" w14:textId="77777777" w:rsidR="0008586E" w:rsidRPr="00702A51" w:rsidRDefault="0008586E" w:rsidP="0008586E">
      <w:pPr>
        <w:pStyle w:val="PeformanceMeasuresNormal"/>
        <w:rPr>
          <w:rFonts w:eastAsia="Calibri"/>
          <w:lang w:eastAsia="en-US"/>
        </w:rPr>
      </w:pPr>
      <w:r w:rsidRPr="00702A51">
        <w:t>Assessment of payments against the requirements of relevant legislation and agreements. The performance results are calculated as a percentage of total payments that meet requirements and timeframes against total payments (all payments including those that do not meet requirements and timeframes) for the period.</w:t>
      </w:r>
      <w:r w:rsidRPr="00702A51">
        <w:rPr>
          <w:rFonts w:eastAsia="Calibri"/>
          <w:lang w:eastAsia="en-US"/>
        </w:rPr>
        <w:t xml:space="preserve"> </w:t>
      </w:r>
    </w:p>
    <w:p w14:paraId="2C327416" w14:textId="393BB5CC" w:rsidR="0008586E" w:rsidRPr="00702A51" w:rsidRDefault="0008586E" w:rsidP="0008586E">
      <w:pPr>
        <w:pStyle w:val="Heading5"/>
      </w:pPr>
      <w:r w:rsidRPr="00702A51">
        <w:rPr>
          <w:rFonts w:eastAsia="Calibri"/>
          <w:lang w:eastAsia="en-US"/>
        </w:rPr>
        <w:t>Measure type</w:t>
      </w:r>
    </w:p>
    <w:p w14:paraId="555A242B" w14:textId="77777777" w:rsidR="0008586E" w:rsidRPr="00702A51" w:rsidRDefault="0008586E" w:rsidP="0008586E">
      <w:pPr>
        <w:pStyle w:val="PeformanceMeasuresNormal"/>
      </w:pPr>
      <w:r w:rsidRPr="00702A51">
        <w:t>Output measure.</w:t>
      </w:r>
    </w:p>
    <w:p w14:paraId="3722FCA9" w14:textId="77777777" w:rsidR="0008586E" w:rsidRPr="00702A51" w:rsidRDefault="0008586E" w:rsidP="0008586E">
      <w:pPr>
        <w:pStyle w:val="Heading5"/>
        <w:rPr>
          <w:rFonts w:eastAsia="Calibri" w:cs="Calibri Light"/>
          <w:kern w:val="2"/>
          <w:lang w:eastAsia="en-US"/>
          <w14:ligatures w14:val="standardContextual"/>
        </w:rPr>
      </w:pPr>
      <w:r w:rsidRPr="00702A51">
        <w:rPr>
          <w:rFonts w:eastAsia="Calibri"/>
          <w:lang w:eastAsia="en-US"/>
        </w:rPr>
        <w:t>Data sources</w:t>
      </w:r>
      <w:r w:rsidRPr="00702A51">
        <w:rPr>
          <w:rFonts w:eastAsia="Calibri" w:cs="Calibri Light"/>
          <w:kern w:val="2"/>
          <w:lang w:eastAsia="en-US"/>
          <w14:ligatures w14:val="standardContextual"/>
        </w:rPr>
        <w:t xml:space="preserve"> </w:t>
      </w:r>
    </w:p>
    <w:p w14:paraId="5CE784A2" w14:textId="4E86F3DA" w:rsidR="0008586E" w:rsidRPr="00702A51" w:rsidRDefault="0008586E" w:rsidP="0008586E">
      <w:pPr>
        <w:pStyle w:val="PeformanceMeasuresNormal"/>
      </w:pPr>
      <w:r w:rsidRPr="00702A51">
        <w:rPr>
          <w:i/>
          <w:iCs/>
        </w:rPr>
        <w:t>International Monetary Agreements Act 1947, International Finance Corporation Act 1955, Asian</w:t>
      </w:r>
      <w:r w:rsidR="00CA5DA7" w:rsidRPr="00702A51">
        <w:rPr>
          <w:i/>
          <w:iCs/>
        </w:rPr>
        <w:t> </w:t>
      </w:r>
      <w:r w:rsidRPr="00702A51">
        <w:rPr>
          <w:i/>
          <w:iCs/>
        </w:rPr>
        <w:t>Development Bank Act 1966, Asian Infrastructure Investment Bank Act 2015, European Bank for Reconstruction and Development Act 1990, Official Development Assistance Multilateral Replenishment Obligations (Special Appropriation) Act 2020</w:t>
      </w:r>
      <w:r w:rsidRPr="00702A51">
        <w:t>, and payment records from the Reserve Bank of Australia, World Bank Group, Asian Development Bank, Asian Infrastructure Investment Bank, European Bank for Reconstruction and Development and International Monetary Fund (where relevant).</w:t>
      </w:r>
    </w:p>
    <w:p w14:paraId="4144650A" w14:textId="77777777" w:rsidR="0008586E" w:rsidRPr="00702A51" w:rsidRDefault="0008586E" w:rsidP="0008586E">
      <w:pPr>
        <w:pStyle w:val="Heading5"/>
        <w:rPr>
          <w:rFonts w:eastAsia="Calibri" w:cs="Calibri Light"/>
          <w:kern w:val="2"/>
          <w:szCs w:val="22"/>
          <w:lang w:eastAsia="en-US"/>
          <w14:ligatures w14:val="standardContextual"/>
        </w:rPr>
      </w:pPr>
      <w:r w:rsidRPr="00702A51">
        <w:rPr>
          <w:rFonts w:eastAsia="Calibri"/>
          <w:lang w:eastAsia="en-US"/>
        </w:rPr>
        <w:t>Changes from previous year</w:t>
      </w:r>
      <w:r w:rsidRPr="00702A51">
        <w:rPr>
          <w:rFonts w:eastAsia="Calibri" w:cs="Calibri Light"/>
          <w:kern w:val="2"/>
          <w:szCs w:val="22"/>
          <w:lang w:eastAsia="en-US"/>
          <w14:ligatures w14:val="standardContextual"/>
        </w:rPr>
        <w:t xml:space="preserve"> </w:t>
      </w:r>
    </w:p>
    <w:p w14:paraId="47DA0227" w14:textId="08F53023" w:rsidR="00395699" w:rsidRPr="00702A51" w:rsidRDefault="0008586E">
      <w:pPr>
        <w:spacing w:before="0" w:after="160" w:line="259" w:lineRule="auto"/>
        <w:rPr>
          <w:rFonts w:eastAsia="Calibri" w:cs="Calibri Light"/>
          <w:kern w:val="2"/>
          <w:szCs w:val="22"/>
          <w:lang w:eastAsia="en-US"/>
          <w14:ligatures w14:val="standardContextual"/>
        </w:rPr>
      </w:pPr>
      <w:r w:rsidRPr="00702A51">
        <w:t>Treasury developed this performance measure for the Corporate Plan 2022–23. There are no changes for the 2026–27 reporting period.</w:t>
      </w:r>
      <w:r w:rsidR="00395699" w:rsidRPr="00702A51">
        <w:rPr>
          <w:rFonts w:eastAsia="Calibri" w:cs="Calibri Light"/>
          <w:kern w:val="2"/>
          <w:szCs w:val="22"/>
          <w:lang w:eastAsia="en-US"/>
          <w14:ligatures w14:val="standardContextual"/>
        </w:rPr>
        <w:br w:type="page"/>
      </w:r>
    </w:p>
    <w:p w14:paraId="667C8557" w14:textId="1D1699BB" w:rsidR="00CA41FC" w:rsidRPr="00702A51" w:rsidRDefault="00CA41FC" w:rsidP="00DE6AAE">
      <w:pPr>
        <w:pStyle w:val="Heading3"/>
      </w:pPr>
      <w:r w:rsidRPr="00702A51">
        <w:lastRenderedPageBreak/>
        <w:t xml:space="preserve">Intended </w:t>
      </w:r>
      <w:r w:rsidR="00C73BA3" w:rsidRPr="00702A51">
        <w:t>r</w:t>
      </w:r>
      <w:r w:rsidRPr="00702A51">
        <w:t>esult 3.3</w:t>
      </w:r>
    </w:p>
    <w:p w14:paraId="66C53B93" w14:textId="24CB6C82" w:rsidR="00CA41FC" w:rsidRPr="00702A51" w:rsidRDefault="00CA41FC" w:rsidP="00922043">
      <w:pPr>
        <w:rPr>
          <w:rFonts w:eastAsia="Calibri"/>
          <w:lang w:eastAsia="en-US"/>
        </w:rPr>
      </w:pPr>
      <w:r w:rsidRPr="00702A51">
        <w:rPr>
          <w:rFonts w:eastAsia="Calibri"/>
          <w:lang w:eastAsia="en-US"/>
        </w:rPr>
        <w:t>Payments to the states and territories (the states) are administered in accordance with the Intergovernmental Agreement on Federal Financial Relations and other relevant agreements between</w:t>
      </w:r>
      <w:r w:rsidR="006B4727" w:rsidRPr="00702A51">
        <w:rPr>
          <w:rFonts w:eastAsia="Calibri"/>
          <w:lang w:eastAsia="en-US"/>
        </w:rPr>
        <w:t> </w:t>
      </w:r>
      <w:r w:rsidRPr="00702A51">
        <w:rPr>
          <w:rFonts w:eastAsia="Calibri"/>
          <w:lang w:eastAsia="en-US"/>
        </w:rPr>
        <w:t>the Commonwealth and the states</w:t>
      </w:r>
      <w:r w:rsidR="00DE6AAE" w:rsidRPr="00702A51">
        <w:rPr>
          <w:rFonts w:eastAsia="Calibri"/>
          <w:lang w:eastAsia="en-US"/>
        </w:rPr>
        <w:t>.</w:t>
      </w:r>
    </w:p>
    <w:p w14:paraId="0877CD68" w14:textId="77777777" w:rsidR="000E3D8A" w:rsidRPr="00702A51" w:rsidRDefault="000E3D8A" w:rsidP="000E3D8A">
      <w:pPr>
        <w:pStyle w:val="Heading4"/>
        <w:rPr>
          <w:rFonts w:eastAsia="Calibri"/>
          <w:lang w:eastAsia="en-US"/>
        </w:rPr>
      </w:pPr>
      <w:r w:rsidRPr="00702A51">
        <w:rPr>
          <w:rFonts w:eastAsia="Calibri"/>
          <w:lang w:eastAsia="en-US"/>
        </w:rPr>
        <w:t>Performance measure 14</w:t>
      </w:r>
    </w:p>
    <w:p w14:paraId="304EBB22" w14:textId="7859D7D6" w:rsidR="000E3D8A" w:rsidRPr="00702A51" w:rsidRDefault="000E3D8A" w:rsidP="0008586E">
      <w:pPr>
        <w:pStyle w:val="PeformanceMeasuresNormal"/>
        <w:spacing w:after="240"/>
        <w:rPr>
          <w:rFonts w:eastAsia="Calibri"/>
          <w:lang w:eastAsia="en-US"/>
        </w:rPr>
      </w:pPr>
      <w:r w:rsidRPr="00702A51">
        <w:rPr>
          <w:rFonts w:eastAsia="Calibri"/>
          <w:lang w:eastAsia="en-US"/>
        </w:rPr>
        <w:t xml:space="preserve">Proportion of payments to the states are delivered within requirements of the Intergovernmental Agreement on Federal Financial Relations and other relevant agreements between the Commonwealth and the states. </w:t>
      </w:r>
      <w:r w:rsidR="00377027" w:rsidRPr="00702A51">
        <w:rPr>
          <w:rFonts w:eastAsia="Calibri"/>
          <w:lang w:eastAsia="en-US"/>
        </w:rPr>
        <w:br/>
      </w:r>
      <w:r w:rsidRPr="00702A51">
        <w:rPr>
          <w:rFonts w:eastAsia="Calibri"/>
          <w:lang w:eastAsia="en-US"/>
        </w:rPr>
        <w:t>(Program 1.4 – Commonwealth State Financial Relations)</w:t>
      </w:r>
    </w:p>
    <w:tbl>
      <w:tblPr>
        <w:tblStyle w:val="TableGrid15"/>
        <w:tblW w:w="5000" w:type="pct"/>
        <w:tblBorders>
          <w:left w:val="none" w:sz="0" w:space="0" w:color="auto"/>
          <w:right w:val="none" w:sz="0" w:space="0" w:color="auto"/>
          <w:insideV w:val="none" w:sz="0" w:space="0" w:color="auto"/>
        </w:tblBorders>
        <w:tblCellMar>
          <w:top w:w="57" w:type="dxa"/>
          <w:left w:w="227" w:type="dxa"/>
          <w:bottom w:w="57" w:type="dxa"/>
          <w:right w:w="170" w:type="dxa"/>
        </w:tblCellMar>
        <w:tblLook w:val="0620" w:firstRow="1" w:lastRow="0" w:firstColumn="0" w:lastColumn="0" w:noHBand="1" w:noVBand="1"/>
      </w:tblPr>
      <w:tblGrid>
        <w:gridCol w:w="1513"/>
        <w:gridCol w:w="7557"/>
      </w:tblGrid>
      <w:tr w:rsidR="00E619DA" w:rsidRPr="00702A51" w14:paraId="7DAE0B58" w14:textId="77777777" w:rsidTr="0005460F">
        <w:tc>
          <w:tcPr>
            <w:tcW w:w="1418" w:type="dxa"/>
            <w:tcBorders>
              <w:top w:val="nil"/>
              <w:bottom w:val="nil"/>
              <w:right w:val="nil"/>
            </w:tcBorders>
            <w:shd w:val="clear" w:color="auto" w:fill="E8F0FC" w:themeFill="accent5" w:themeFillTint="33"/>
          </w:tcPr>
          <w:p w14:paraId="3E2E234A" w14:textId="34C327B0" w:rsidR="00E619DA" w:rsidRPr="00702A51" w:rsidRDefault="00AB000D" w:rsidP="0008586E">
            <w:pPr>
              <w:pStyle w:val="TableColumnHeadingLeft"/>
              <w:rPr>
                <w:rFonts w:eastAsia="Calibri"/>
                <w:lang w:eastAsia="en-US"/>
              </w:rPr>
            </w:pPr>
            <w:r w:rsidRPr="00702A51">
              <w:rPr>
                <w:rFonts w:eastAsia="Calibri"/>
                <w:lang w:eastAsia="en-US"/>
              </w:rPr>
              <w:t>Year</w:t>
            </w:r>
          </w:p>
        </w:tc>
        <w:tc>
          <w:tcPr>
            <w:tcW w:w="7085" w:type="dxa"/>
            <w:tcBorders>
              <w:top w:val="nil"/>
              <w:left w:val="nil"/>
              <w:bottom w:val="nil"/>
            </w:tcBorders>
            <w:shd w:val="clear" w:color="auto" w:fill="E8F0FC" w:themeFill="accent5" w:themeFillTint="33"/>
          </w:tcPr>
          <w:p w14:paraId="0B0C9B4A" w14:textId="721A20A8" w:rsidR="00E619DA" w:rsidRPr="00702A51" w:rsidRDefault="00AB000D" w:rsidP="0008586E">
            <w:pPr>
              <w:pStyle w:val="TableColumnHeadingLeft"/>
            </w:pPr>
            <w:r w:rsidRPr="00702A51">
              <w:t>Target</w:t>
            </w:r>
          </w:p>
        </w:tc>
      </w:tr>
      <w:tr w:rsidR="005F5C36" w:rsidRPr="00702A51" w14:paraId="033096EC" w14:textId="77777777" w:rsidTr="0005460F">
        <w:tc>
          <w:tcPr>
            <w:tcW w:w="1418" w:type="dxa"/>
            <w:tcBorders>
              <w:top w:val="nil"/>
              <w:bottom w:val="single" w:sz="2" w:space="0" w:color="BFBFBF" w:themeColor="background1" w:themeShade="BF"/>
              <w:right w:val="nil"/>
            </w:tcBorders>
          </w:tcPr>
          <w:p w14:paraId="378B770E" w14:textId="60CA79DA" w:rsidR="005F5C36" w:rsidRPr="00702A51" w:rsidRDefault="005F5C36" w:rsidP="00E60535">
            <w:pPr>
              <w:pStyle w:val="TableTextLeft"/>
              <w:rPr>
                <w:rFonts w:eastAsia="Calibri"/>
                <w:b/>
                <w:lang w:eastAsia="en-US"/>
              </w:rPr>
            </w:pPr>
            <w:r w:rsidRPr="00702A51">
              <w:rPr>
                <w:rFonts w:eastAsia="Calibri"/>
                <w:b/>
                <w:lang w:eastAsia="en-US"/>
              </w:rPr>
              <w:t>2026–27</w:t>
            </w:r>
          </w:p>
        </w:tc>
        <w:tc>
          <w:tcPr>
            <w:tcW w:w="7085" w:type="dxa"/>
            <w:tcBorders>
              <w:top w:val="nil"/>
              <w:left w:val="nil"/>
              <w:bottom w:val="single" w:sz="2" w:space="0" w:color="BFBFBF" w:themeColor="background1" w:themeShade="BF"/>
            </w:tcBorders>
          </w:tcPr>
          <w:p w14:paraId="7C632933" w14:textId="77777777" w:rsidR="005F5C36" w:rsidRPr="00702A51" w:rsidRDefault="005F5C36" w:rsidP="00E60535">
            <w:pPr>
              <w:pStyle w:val="TableTextLeft"/>
            </w:pPr>
            <w:r w:rsidRPr="00702A51">
              <w:t>100%</w:t>
            </w:r>
          </w:p>
        </w:tc>
      </w:tr>
      <w:tr w:rsidR="005F5C36" w:rsidRPr="00702A51" w14:paraId="4D98A8E8" w14:textId="77777777" w:rsidTr="0005460F">
        <w:tc>
          <w:tcPr>
            <w:tcW w:w="1418" w:type="dxa"/>
            <w:tcBorders>
              <w:top w:val="single" w:sz="2" w:space="0" w:color="BFBFBF" w:themeColor="background1" w:themeShade="BF"/>
              <w:bottom w:val="single" w:sz="2" w:space="0" w:color="BFBFBF" w:themeColor="background1" w:themeShade="BF"/>
              <w:right w:val="nil"/>
            </w:tcBorders>
          </w:tcPr>
          <w:p w14:paraId="7A1A85EA" w14:textId="45E65622" w:rsidR="005F5C36" w:rsidRPr="00702A51" w:rsidRDefault="005F5C36" w:rsidP="00E60535">
            <w:pPr>
              <w:pStyle w:val="TableTextLeft"/>
              <w:rPr>
                <w:rFonts w:eastAsia="Calibri"/>
                <w:b/>
                <w:lang w:eastAsia="en-US"/>
              </w:rPr>
            </w:pPr>
            <w:r w:rsidRPr="00702A51">
              <w:rPr>
                <w:rFonts w:eastAsia="Calibri"/>
                <w:b/>
                <w:lang w:eastAsia="en-US"/>
              </w:rPr>
              <w:t>2027–28</w:t>
            </w:r>
          </w:p>
        </w:tc>
        <w:tc>
          <w:tcPr>
            <w:tcW w:w="7085" w:type="dxa"/>
            <w:tcBorders>
              <w:top w:val="single" w:sz="2" w:space="0" w:color="BFBFBF" w:themeColor="background1" w:themeShade="BF"/>
              <w:left w:val="nil"/>
              <w:bottom w:val="single" w:sz="2" w:space="0" w:color="BFBFBF" w:themeColor="background1" w:themeShade="BF"/>
            </w:tcBorders>
          </w:tcPr>
          <w:p w14:paraId="66906C53" w14:textId="77777777" w:rsidR="005F5C36" w:rsidRPr="00702A51" w:rsidRDefault="005F5C36" w:rsidP="00E60535">
            <w:pPr>
              <w:pStyle w:val="TableTextLeft"/>
            </w:pPr>
            <w:r w:rsidRPr="00702A51">
              <w:t>100%</w:t>
            </w:r>
          </w:p>
        </w:tc>
      </w:tr>
      <w:tr w:rsidR="005F5C36" w:rsidRPr="00702A51" w14:paraId="5C1A4820" w14:textId="77777777" w:rsidTr="0005460F">
        <w:tc>
          <w:tcPr>
            <w:tcW w:w="1418" w:type="dxa"/>
            <w:tcBorders>
              <w:top w:val="single" w:sz="2" w:space="0" w:color="BFBFBF" w:themeColor="background1" w:themeShade="BF"/>
              <w:bottom w:val="single" w:sz="2" w:space="0" w:color="BFBFBF" w:themeColor="background1" w:themeShade="BF"/>
              <w:right w:val="nil"/>
            </w:tcBorders>
          </w:tcPr>
          <w:p w14:paraId="7494B6AD" w14:textId="308323E7" w:rsidR="005F5C36" w:rsidRPr="00702A51" w:rsidRDefault="005F5C36" w:rsidP="00E60535">
            <w:pPr>
              <w:pStyle w:val="TableTextLeft"/>
              <w:rPr>
                <w:rFonts w:eastAsia="Calibri"/>
                <w:b/>
                <w:lang w:eastAsia="en-US"/>
              </w:rPr>
            </w:pPr>
            <w:r w:rsidRPr="00702A51">
              <w:rPr>
                <w:rFonts w:eastAsia="Calibri"/>
                <w:b/>
                <w:lang w:eastAsia="en-US"/>
              </w:rPr>
              <w:t>2028–29</w:t>
            </w:r>
          </w:p>
        </w:tc>
        <w:tc>
          <w:tcPr>
            <w:tcW w:w="7085" w:type="dxa"/>
            <w:tcBorders>
              <w:top w:val="single" w:sz="2" w:space="0" w:color="BFBFBF" w:themeColor="background1" w:themeShade="BF"/>
              <w:left w:val="nil"/>
              <w:bottom w:val="single" w:sz="2" w:space="0" w:color="BFBFBF" w:themeColor="background1" w:themeShade="BF"/>
            </w:tcBorders>
          </w:tcPr>
          <w:p w14:paraId="0831085B" w14:textId="77777777" w:rsidR="005F5C36" w:rsidRPr="00702A51" w:rsidRDefault="005F5C36" w:rsidP="00E60535">
            <w:pPr>
              <w:pStyle w:val="TableTextLeft"/>
            </w:pPr>
            <w:r w:rsidRPr="00702A51">
              <w:t>100%</w:t>
            </w:r>
          </w:p>
        </w:tc>
      </w:tr>
      <w:tr w:rsidR="00CA41FC" w:rsidRPr="00702A51" w14:paraId="409E964E" w14:textId="77777777" w:rsidTr="0005460F">
        <w:tc>
          <w:tcPr>
            <w:tcW w:w="1418" w:type="dxa"/>
            <w:tcBorders>
              <w:top w:val="single" w:sz="2" w:space="0" w:color="BFBFBF" w:themeColor="background1" w:themeShade="BF"/>
              <w:bottom w:val="single" w:sz="2" w:space="0" w:color="BFBFBF" w:themeColor="background1" w:themeShade="BF"/>
              <w:right w:val="nil"/>
            </w:tcBorders>
          </w:tcPr>
          <w:p w14:paraId="774DCEE2" w14:textId="32052EAF" w:rsidR="00CA41FC" w:rsidRPr="00702A51" w:rsidRDefault="00CA41FC" w:rsidP="00E60535">
            <w:pPr>
              <w:pStyle w:val="TableTextLeft"/>
              <w:rPr>
                <w:rFonts w:eastAsia="Calibri"/>
                <w:b/>
                <w:lang w:eastAsia="en-US"/>
              </w:rPr>
            </w:pPr>
            <w:r w:rsidRPr="00702A51">
              <w:rPr>
                <w:rFonts w:eastAsia="Calibri"/>
                <w:b/>
                <w:lang w:eastAsia="en-US"/>
              </w:rPr>
              <w:t>202</w:t>
            </w:r>
            <w:r w:rsidR="005F5C36" w:rsidRPr="00702A51">
              <w:rPr>
                <w:rFonts w:eastAsia="Calibri"/>
                <w:b/>
                <w:lang w:eastAsia="en-US"/>
              </w:rPr>
              <w:t>9</w:t>
            </w:r>
            <w:r w:rsidRPr="00702A51">
              <w:rPr>
                <w:rFonts w:eastAsia="Calibri"/>
                <w:b/>
                <w:lang w:eastAsia="en-US"/>
              </w:rPr>
              <w:t>–</w:t>
            </w:r>
            <w:r w:rsidR="005F5C36" w:rsidRPr="00702A51">
              <w:rPr>
                <w:rFonts w:eastAsia="Calibri"/>
                <w:b/>
                <w:lang w:eastAsia="en-US"/>
              </w:rPr>
              <w:t>30</w:t>
            </w:r>
          </w:p>
        </w:tc>
        <w:tc>
          <w:tcPr>
            <w:tcW w:w="7085" w:type="dxa"/>
            <w:tcBorders>
              <w:top w:val="single" w:sz="2" w:space="0" w:color="BFBFBF" w:themeColor="background1" w:themeShade="BF"/>
              <w:left w:val="nil"/>
              <w:bottom w:val="single" w:sz="2" w:space="0" w:color="BFBFBF" w:themeColor="background1" w:themeShade="BF"/>
            </w:tcBorders>
          </w:tcPr>
          <w:p w14:paraId="7F06BD71" w14:textId="77777777" w:rsidR="00CA41FC" w:rsidRPr="00702A51" w:rsidRDefault="00CA41FC" w:rsidP="00E60535">
            <w:pPr>
              <w:pStyle w:val="TableTextLeft"/>
            </w:pPr>
            <w:r w:rsidRPr="00702A51">
              <w:t>100%</w:t>
            </w:r>
          </w:p>
        </w:tc>
      </w:tr>
    </w:tbl>
    <w:bookmarkEnd w:id="50"/>
    <w:p w14:paraId="78BE9540" w14:textId="66B2677D" w:rsidR="006367A8" w:rsidRPr="00702A51" w:rsidRDefault="0008586E" w:rsidP="00E60535">
      <w:pPr>
        <w:pStyle w:val="Heading5"/>
        <w:spacing w:before="240"/>
      </w:pPr>
      <w:r w:rsidRPr="00702A51">
        <w:rPr>
          <w:rFonts w:eastAsia="Calibri"/>
          <w:lang w:eastAsia="en-US"/>
        </w:rPr>
        <w:t>Target rationale</w:t>
      </w:r>
    </w:p>
    <w:p w14:paraId="68BCEF2B" w14:textId="77777777" w:rsidR="0008586E" w:rsidRPr="00702A51" w:rsidRDefault="0008586E" w:rsidP="00E60535">
      <w:pPr>
        <w:pStyle w:val="PeformanceMeasuresNormal"/>
        <w:rPr>
          <w:rFonts w:eastAsia="Calibri"/>
          <w:lang w:eastAsia="en-US"/>
        </w:rPr>
      </w:pPr>
      <w:r w:rsidRPr="00702A51">
        <w:t>Treasury has reported against this performance measure over previous periods. The target is set in accordance with Treasury’s obligations</w:t>
      </w:r>
      <w:r w:rsidRPr="00702A51">
        <w:rPr>
          <w:rFonts w:eastAsia="Calibri"/>
          <w:lang w:eastAsia="en-US"/>
        </w:rPr>
        <w:t>.</w:t>
      </w:r>
    </w:p>
    <w:p w14:paraId="17897F17" w14:textId="77777777" w:rsidR="0008586E" w:rsidRPr="00702A51" w:rsidRDefault="0008586E" w:rsidP="00E60535">
      <w:pPr>
        <w:pStyle w:val="Heading5"/>
      </w:pPr>
      <w:r w:rsidRPr="00702A51">
        <w:rPr>
          <w:rFonts w:eastAsia="Calibri"/>
          <w:lang w:eastAsia="en-US"/>
        </w:rPr>
        <w:t>Methodology</w:t>
      </w:r>
    </w:p>
    <w:p w14:paraId="20CE50F3" w14:textId="0D9ED40A" w:rsidR="0008586E" w:rsidRPr="00702A51" w:rsidRDefault="0008586E" w:rsidP="00E60535">
      <w:pPr>
        <w:pStyle w:val="PeformanceMeasuresNormal"/>
        <w:rPr>
          <w:rFonts w:eastAsia="Calibri"/>
          <w:lang w:eastAsia="en-US"/>
        </w:rPr>
      </w:pPr>
      <w:r w:rsidRPr="00702A51">
        <w:t>Assessment of payments against the requirements of the Intergovernmental Agreement on Federal Financial Relations and other relevant agreements between the Commonwealth and the states. The assessment is calculated as a percentage of the number of payments that meet requirements against the total number of payments (all payments including those that do not meet requirements) for the</w:t>
      </w:r>
      <w:r w:rsidR="00CA5DA7" w:rsidRPr="00702A51">
        <w:t> </w:t>
      </w:r>
      <w:r w:rsidRPr="00702A51">
        <w:t>period.</w:t>
      </w:r>
      <w:r w:rsidRPr="00702A51">
        <w:rPr>
          <w:rFonts w:eastAsia="Calibri"/>
          <w:lang w:eastAsia="en-US"/>
        </w:rPr>
        <w:t xml:space="preserve"> </w:t>
      </w:r>
    </w:p>
    <w:p w14:paraId="7823F942" w14:textId="3EE8F117" w:rsidR="0008586E" w:rsidRPr="00702A51" w:rsidRDefault="0008586E" w:rsidP="00E60535">
      <w:pPr>
        <w:pStyle w:val="Heading5"/>
      </w:pPr>
      <w:r w:rsidRPr="00702A51">
        <w:rPr>
          <w:rFonts w:eastAsia="Calibri"/>
          <w:lang w:eastAsia="en-US"/>
        </w:rPr>
        <w:t>Measure type</w:t>
      </w:r>
    </w:p>
    <w:p w14:paraId="3451FD86" w14:textId="77777777" w:rsidR="0008586E" w:rsidRPr="00702A51" w:rsidRDefault="0008586E" w:rsidP="00E60535">
      <w:pPr>
        <w:pStyle w:val="PeformanceMeasuresNormal"/>
      </w:pPr>
      <w:r w:rsidRPr="00702A51">
        <w:t>Output measure.</w:t>
      </w:r>
    </w:p>
    <w:p w14:paraId="5C95CAC9" w14:textId="0975D71A" w:rsidR="0008586E" w:rsidRPr="00702A51" w:rsidRDefault="0008586E" w:rsidP="00E60535">
      <w:pPr>
        <w:pStyle w:val="Heading5"/>
      </w:pPr>
      <w:r w:rsidRPr="00702A51">
        <w:rPr>
          <w:rFonts w:eastAsia="Calibri"/>
          <w:lang w:eastAsia="en-US"/>
        </w:rPr>
        <w:t>Data sources</w:t>
      </w:r>
    </w:p>
    <w:p w14:paraId="4CA4FD0B" w14:textId="37DADCF7" w:rsidR="00E60535" w:rsidRPr="00702A51" w:rsidRDefault="0008586E" w:rsidP="00E60535">
      <w:pPr>
        <w:pStyle w:val="PeformanceMeasuresNormal"/>
        <w:rPr>
          <w:rFonts w:eastAsia="Calibri"/>
          <w:lang w:eastAsia="en-US"/>
        </w:rPr>
      </w:pPr>
      <w:r w:rsidRPr="00702A51">
        <w:t>The Intergovernmental Agreement on Federal Financial Relations and other relevant agreements, records of payment requests in the Federal Payments Management System, approvals, and payment</w:t>
      </w:r>
      <w:r w:rsidR="00CA5DA7" w:rsidRPr="00702A51">
        <w:t> </w:t>
      </w:r>
      <w:r w:rsidRPr="00702A51">
        <w:t>advice.</w:t>
      </w:r>
      <w:r w:rsidRPr="00702A51">
        <w:rPr>
          <w:rFonts w:eastAsia="Calibri"/>
          <w:lang w:eastAsia="en-US"/>
        </w:rPr>
        <w:t xml:space="preserve"> </w:t>
      </w:r>
    </w:p>
    <w:p w14:paraId="5684A111" w14:textId="1E76DC9E" w:rsidR="00E60535" w:rsidRPr="00702A51" w:rsidRDefault="0008586E" w:rsidP="00E60535">
      <w:pPr>
        <w:pStyle w:val="Heading5"/>
        <w:rPr>
          <w:rFonts w:eastAsia="Calibri"/>
          <w:lang w:eastAsia="en-US"/>
        </w:rPr>
      </w:pPr>
      <w:r w:rsidRPr="00702A51">
        <w:rPr>
          <w:rFonts w:eastAsia="Calibri"/>
          <w:lang w:eastAsia="en-US"/>
        </w:rPr>
        <w:t>Changes from previous year</w:t>
      </w:r>
    </w:p>
    <w:p w14:paraId="7F419080" w14:textId="625BB616" w:rsidR="0008586E" w:rsidRPr="00702A51" w:rsidRDefault="0008586E" w:rsidP="00E60535">
      <w:pPr>
        <w:pStyle w:val="PeformanceMeasuresNormal"/>
      </w:pPr>
      <w:r w:rsidRPr="00702A51">
        <w:t>Treasury developed this performance measure for the Corporate Plan 2024–25. There are no changes to the assessment of delivery within requirements in 2026–27.</w:t>
      </w:r>
    </w:p>
    <w:p w14:paraId="755B23F3" w14:textId="0DF625DD" w:rsidR="006367A8" w:rsidRPr="00702A51" w:rsidRDefault="0008586E">
      <w:pPr>
        <w:spacing w:before="0" w:after="160" w:line="259" w:lineRule="auto"/>
      </w:pPr>
      <w:r w:rsidRPr="00702A51">
        <w:t>Treasury will include a supplementary assessment of the value of payments delivered within requirements to reflect its risk-based approach to managing federal financial relations</w:t>
      </w:r>
      <w:r w:rsidR="00E60535" w:rsidRPr="00702A51">
        <w:t>.</w:t>
      </w:r>
      <w:r w:rsidR="006367A8" w:rsidRPr="00702A51">
        <w:br w:type="page"/>
      </w:r>
    </w:p>
    <w:p w14:paraId="67CEE631" w14:textId="6832FA0D" w:rsidR="00EF69B7" w:rsidRPr="00702A51" w:rsidRDefault="006367A8" w:rsidP="001264C3">
      <w:pPr>
        <w:pStyle w:val="Heading1"/>
      </w:pPr>
      <w:bookmarkStart w:id="67" w:name="_Toc237339152"/>
      <w:r w:rsidRPr="00702A51">
        <w:lastRenderedPageBreak/>
        <w:t>Append</w:t>
      </w:r>
      <w:r w:rsidR="001264C3" w:rsidRPr="00702A51">
        <w:t xml:space="preserve">ix: </w:t>
      </w:r>
      <w:r w:rsidR="00840A67" w:rsidRPr="00702A51">
        <w:t xml:space="preserve">Corporate </w:t>
      </w:r>
      <w:r w:rsidR="005D41B1" w:rsidRPr="00702A51">
        <w:t>p</w:t>
      </w:r>
      <w:r w:rsidR="00840A67" w:rsidRPr="00702A51">
        <w:t>lan requirements</w:t>
      </w:r>
      <w:bookmarkEnd w:id="67"/>
    </w:p>
    <w:p w14:paraId="0A19A0AB" w14:textId="3F16A8E3" w:rsidR="00EF69B7" w:rsidRPr="00702A51" w:rsidRDefault="00DB33F5" w:rsidP="005E017E">
      <w:pPr>
        <w:spacing w:before="0" w:after="160" w:line="259" w:lineRule="auto"/>
      </w:pPr>
      <w:r w:rsidRPr="00702A51">
        <w:rPr>
          <w:lang w:val="en-GB"/>
        </w:rPr>
        <w:t xml:space="preserve">The table below </w:t>
      </w:r>
      <w:r w:rsidR="002D1E45" w:rsidRPr="00702A51">
        <w:rPr>
          <w:lang w:val="en-GB"/>
        </w:rPr>
        <w:t>shows</w:t>
      </w:r>
      <w:r w:rsidRPr="00702A51">
        <w:rPr>
          <w:lang w:val="en-GB"/>
        </w:rPr>
        <w:t xml:space="preserve"> the</w:t>
      </w:r>
      <w:r w:rsidR="00D7428F" w:rsidRPr="00702A51">
        <w:rPr>
          <w:lang w:val="en-GB"/>
        </w:rPr>
        <w:t xml:space="preserve"> topics</w:t>
      </w:r>
      <w:r w:rsidRPr="00702A51">
        <w:rPr>
          <w:lang w:val="en-GB"/>
        </w:rPr>
        <w:t xml:space="preserve"> that must be included in </w:t>
      </w:r>
      <w:r w:rsidR="00BD4A1F" w:rsidRPr="00702A51">
        <w:rPr>
          <w:lang w:val="en-GB"/>
        </w:rPr>
        <w:t xml:space="preserve">a </w:t>
      </w:r>
      <w:r w:rsidRPr="00702A51">
        <w:rPr>
          <w:lang w:val="en-GB"/>
        </w:rPr>
        <w:t>corporate plan under section 16</w:t>
      </w:r>
      <w:proofErr w:type="gramStart"/>
      <w:r w:rsidRPr="00702A51">
        <w:rPr>
          <w:lang w:val="en-GB"/>
        </w:rPr>
        <w:t>E(</w:t>
      </w:r>
      <w:proofErr w:type="gramEnd"/>
      <w:r w:rsidRPr="00702A51">
        <w:rPr>
          <w:lang w:val="en-GB"/>
        </w:rPr>
        <w:t xml:space="preserve">2) of the </w:t>
      </w:r>
      <w:r w:rsidRPr="00702A51">
        <w:rPr>
          <w:iCs/>
          <w:lang w:val="en-GB"/>
        </w:rPr>
        <w:t>Public Governance, Performance and Accountability Rule 2014</w:t>
      </w:r>
      <w:r w:rsidR="005D2398" w:rsidRPr="00702A51">
        <w:rPr>
          <w:iCs/>
          <w:lang w:val="en-GB"/>
        </w:rPr>
        <w:t>,</w:t>
      </w:r>
      <w:r w:rsidR="00797D97" w:rsidRPr="00702A51">
        <w:rPr>
          <w:lang w:val="en-GB"/>
        </w:rPr>
        <w:t xml:space="preserve"> and</w:t>
      </w:r>
      <w:r w:rsidR="005D2398" w:rsidRPr="00702A51">
        <w:rPr>
          <w:lang w:val="en-GB"/>
        </w:rPr>
        <w:t xml:space="preserve"> </w:t>
      </w:r>
      <w:r w:rsidR="00797D97" w:rsidRPr="00702A51">
        <w:rPr>
          <w:lang w:val="en-GB"/>
        </w:rPr>
        <w:t xml:space="preserve">page </w:t>
      </w:r>
      <w:r w:rsidR="00B062EB" w:rsidRPr="00702A51">
        <w:rPr>
          <w:lang w:val="en-GB"/>
        </w:rPr>
        <w:t>references</w:t>
      </w:r>
      <w:r w:rsidR="005D2398" w:rsidRPr="00702A51">
        <w:rPr>
          <w:lang w:val="en-GB"/>
        </w:rPr>
        <w:t xml:space="preserve"> in this plan</w:t>
      </w:r>
      <w:r w:rsidRPr="00702A51">
        <w:rPr>
          <w:lang w:val="en-GB"/>
        </w:rPr>
        <w:t>.</w:t>
      </w:r>
    </w:p>
    <w:tbl>
      <w:tblPr>
        <w:tblStyle w:val="TableGrid1"/>
        <w:tblW w:w="5000" w:type="pct"/>
        <w:tblCellMar>
          <w:top w:w="57" w:type="dxa"/>
          <w:left w:w="227" w:type="dxa"/>
          <w:bottom w:w="57" w:type="dxa"/>
          <w:right w:w="170" w:type="dxa"/>
        </w:tblCellMar>
        <w:tblLook w:val="0620" w:firstRow="1" w:lastRow="0" w:firstColumn="0" w:lastColumn="0" w:noHBand="1" w:noVBand="1"/>
      </w:tblPr>
      <w:tblGrid>
        <w:gridCol w:w="7088"/>
        <w:gridCol w:w="1982"/>
      </w:tblGrid>
      <w:tr w:rsidR="0001126E" w:rsidRPr="00702A51" w14:paraId="48E32FB1" w14:textId="77777777" w:rsidTr="00516909">
        <w:trPr>
          <w:cnfStyle w:val="100000000000" w:firstRow="1" w:lastRow="0" w:firstColumn="0" w:lastColumn="0" w:oddVBand="0" w:evenVBand="0" w:oddHBand="0" w:evenHBand="0" w:firstRowFirstColumn="0" w:firstRowLastColumn="0" w:lastRowFirstColumn="0" w:lastRowLastColumn="0"/>
        </w:trPr>
        <w:tc>
          <w:tcPr>
            <w:tcW w:w="7088" w:type="dxa"/>
            <w:shd w:val="clear" w:color="auto" w:fill="E8F0FC" w:themeFill="accent5" w:themeFillTint="33"/>
          </w:tcPr>
          <w:p w14:paraId="7B757421" w14:textId="77777777" w:rsidR="0001126E" w:rsidRPr="00702A51" w:rsidRDefault="0001126E" w:rsidP="00692A48">
            <w:pPr>
              <w:pStyle w:val="TableColumnHeadingLeft"/>
              <w:rPr>
                <w:rStyle w:val="Strong"/>
              </w:rPr>
            </w:pPr>
            <w:r w:rsidRPr="00702A51">
              <w:rPr>
                <w:rStyle w:val="Strong"/>
              </w:rPr>
              <w:t>Requirement</w:t>
            </w:r>
          </w:p>
        </w:tc>
        <w:tc>
          <w:tcPr>
            <w:tcW w:w="1982" w:type="dxa"/>
            <w:shd w:val="clear" w:color="auto" w:fill="E8F0FC" w:themeFill="accent5" w:themeFillTint="33"/>
          </w:tcPr>
          <w:p w14:paraId="63F4FEE3" w14:textId="77777777" w:rsidR="0001126E" w:rsidRPr="00702A51" w:rsidRDefault="0001126E" w:rsidP="00692A48">
            <w:pPr>
              <w:pStyle w:val="TableColumnHeadingLeft"/>
              <w:rPr>
                <w:rStyle w:val="Strong"/>
              </w:rPr>
            </w:pPr>
            <w:r w:rsidRPr="00702A51">
              <w:rPr>
                <w:rStyle w:val="Strong"/>
              </w:rPr>
              <w:t>Page reference</w:t>
            </w:r>
          </w:p>
        </w:tc>
      </w:tr>
      <w:tr w:rsidR="0001126E" w:rsidRPr="00702A51" w14:paraId="1B8F272C" w14:textId="77777777" w:rsidTr="00516909">
        <w:tc>
          <w:tcPr>
            <w:tcW w:w="7088" w:type="dxa"/>
            <w:tcBorders>
              <w:bottom w:val="single" w:sz="4" w:space="0" w:color="D6D6D6" w:themeColor="background2" w:themeShade="E6"/>
            </w:tcBorders>
          </w:tcPr>
          <w:p w14:paraId="75A03476" w14:textId="7D5B7CEC" w:rsidR="0001126E" w:rsidRPr="00702A51" w:rsidRDefault="0001126E" w:rsidP="0001126E">
            <w:pPr>
              <w:pStyle w:val="Tabletext10pt"/>
            </w:pPr>
            <w:r w:rsidRPr="00702A51">
              <w:t>Introduction: Statement of preparation</w:t>
            </w:r>
          </w:p>
        </w:tc>
        <w:tc>
          <w:tcPr>
            <w:tcW w:w="1982" w:type="dxa"/>
            <w:tcBorders>
              <w:bottom w:val="single" w:sz="4" w:space="0" w:color="D6D6D6" w:themeColor="background2" w:themeShade="E6"/>
            </w:tcBorders>
          </w:tcPr>
          <w:p w14:paraId="5059AEAE" w14:textId="25FD315D" w:rsidR="0001126E" w:rsidRPr="00702A51" w:rsidRDefault="0001126E" w:rsidP="00EB156B">
            <w:pPr>
              <w:pStyle w:val="Tabletext10pt"/>
            </w:pPr>
            <w:r w:rsidRPr="00702A51">
              <w:t>1</w:t>
            </w:r>
          </w:p>
        </w:tc>
      </w:tr>
      <w:tr w:rsidR="0001126E" w:rsidRPr="00702A51" w14:paraId="52052731" w14:textId="77777777" w:rsidTr="00516909">
        <w:tc>
          <w:tcPr>
            <w:tcW w:w="7088" w:type="dxa"/>
            <w:tcBorders>
              <w:bottom w:val="single" w:sz="4" w:space="0" w:color="D6D6D6" w:themeColor="background2" w:themeShade="E6"/>
            </w:tcBorders>
          </w:tcPr>
          <w:p w14:paraId="0D11AF05" w14:textId="2E4D1A73" w:rsidR="0001126E" w:rsidRPr="00702A51" w:rsidRDefault="0001126E" w:rsidP="0001126E">
            <w:pPr>
              <w:pStyle w:val="TableText10ptBULLET"/>
              <w:numPr>
                <w:ilvl w:val="0"/>
                <w:numId w:val="0"/>
              </w:numPr>
              <w:ind w:left="284" w:hanging="284"/>
            </w:pPr>
            <w:r w:rsidRPr="00702A51">
              <w:t>Introduction: The reporting period for which the plan is prepared</w:t>
            </w:r>
          </w:p>
        </w:tc>
        <w:tc>
          <w:tcPr>
            <w:tcW w:w="1982" w:type="dxa"/>
            <w:tcBorders>
              <w:bottom w:val="single" w:sz="4" w:space="0" w:color="D6D6D6" w:themeColor="background2" w:themeShade="E6"/>
            </w:tcBorders>
          </w:tcPr>
          <w:p w14:paraId="7A7412E0" w14:textId="5D063012" w:rsidR="0001126E" w:rsidRPr="00702A51" w:rsidRDefault="0001126E" w:rsidP="00EB156B">
            <w:pPr>
              <w:pStyle w:val="Tabletext10pt"/>
            </w:pPr>
            <w:r w:rsidRPr="00702A51">
              <w:t>1</w:t>
            </w:r>
          </w:p>
        </w:tc>
      </w:tr>
      <w:tr w:rsidR="0001126E" w:rsidRPr="00702A51" w14:paraId="421B5E42" w14:textId="77777777" w:rsidTr="00516909">
        <w:tc>
          <w:tcPr>
            <w:tcW w:w="7088" w:type="dxa"/>
            <w:tcBorders>
              <w:bottom w:val="single" w:sz="4" w:space="0" w:color="D6D6D6" w:themeColor="background2" w:themeShade="E6"/>
            </w:tcBorders>
          </w:tcPr>
          <w:p w14:paraId="748FC8B3" w14:textId="3B9716A9" w:rsidR="0001126E" w:rsidRPr="00702A51" w:rsidRDefault="0001126E" w:rsidP="0001126E">
            <w:pPr>
              <w:pStyle w:val="Tabletext10pt"/>
            </w:pPr>
            <w:r w:rsidRPr="00702A51">
              <w:t>Introduction: The reporting periods covered by the plan</w:t>
            </w:r>
          </w:p>
        </w:tc>
        <w:tc>
          <w:tcPr>
            <w:tcW w:w="1982" w:type="dxa"/>
            <w:tcBorders>
              <w:bottom w:val="single" w:sz="4" w:space="0" w:color="D6D6D6" w:themeColor="background2" w:themeShade="E6"/>
            </w:tcBorders>
          </w:tcPr>
          <w:p w14:paraId="4B136520" w14:textId="2E0236CD" w:rsidR="0001126E" w:rsidRPr="00702A51" w:rsidRDefault="0001126E" w:rsidP="00EB156B">
            <w:pPr>
              <w:pStyle w:val="Tabletext10pt"/>
            </w:pPr>
            <w:r w:rsidRPr="00702A51">
              <w:t>2</w:t>
            </w:r>
          </w:p>
        </w:tc>
      </w:tr>
      <w:tr w:rsidR="0001126E" w:rsidRPr="00702A51" w14:paraId="68774E01" w14:textId="77777777" w:rsidTr="00516909">
        <w:tc>
          <w:tcPr>
            <w:tcW w:w="7088" w:type="dxa"/>
            <w:tcBorders>
              <w:top w:val="single" w:sz="4" w:space="0" w:color="D6D6D6" w:themeColor="background2" w:themeShade="E6"/>
              <w:bottom w:val="single" w:sz="4" w:space="0" w:color="D6D6D6" w:themeColor="background2" w:themeShade="E6"/>
            </w:tcBorders>
          </w:tcPr>
          <w:p w14:paraId="5DDE9448" w14:textId="77777777" w:rsidR="0001126E" w:rsidRPr="00702A51" w:rsidRDefault="0001126E" w:rsidP="00EB156B">
            <w:pPr>
              <w:pStyle w:val="Tabletext10pt"/>
            </w:pPr>
            <w:r w:rsidRPr="00702A51">
              <w:t>Purpose</w:t>
            </w:r>
          </w:p>
        </w:tc>
        <w:tc>
          <w:tcPr>
            <w:tcW w:w="1982" w:type="dxa"/>
            <w:tcBorders>
              <w:top w:val="single" w:sz="4" w:space="0" w:color="D6D6D6" w:themeColor="background2" w:themeShade="E6"/>
              <w:bottom w:val="single" w:sz="4" w:space="0" w:color="D6D6D6" w:themeColor="background2" w:themeShade="E6"/>
            </w:tcBorders>
          </w:tcPr>
          <w:p w14:paraId="3EEB6B11" w14:textId="77777777" w:rsidR="0001126E" w:rsidRPr="00702A51" w:rsidRDefault="0001126E" w:rsidP="00EB156B">
            <w:pPr>
              <w:pStyle w:val="Tabletext10pt"/>
            </w:pPr>
            <w:r w:rsidRPr="00702A51">
              <w:t>2</w:t>
            </w:r>
          </w:p>
        </w:tc>
      </w:tr>
      <w:tr w:rsidR="0001126E" w:rsidRPr="00702A51" w14:paraId="2C7E4D03" w14:textId="77777777" w:rsidTr="00516909">
        <w:tc>
          <w:tcPr>
            <w:tcW w:w="7088" w:type="dxa"/>
            <w:tcBorders>
              <w:top w:val="single" w:sz="4" w:space="0" w:color="D6D6D6" w:themeColor="background2" w:themeShade="E6"/>
              <w:bottom w:val="single" w:sz="4" w:space="0" w:color="D6D6D6" w:themeColor="background2" w:themeShade="E6"/>
            </w:tcBorders>
          </w:tcPr>
          <w:p w14:paraId="43F86C9B" w14:textId="77777777" w:rsidR="0001126E" w:rsidRPr="00702A51" w:rsidRDefault="0001126E" w:rsidP="00EB156B">
            <w:pPr>
              <w:pStyle w:val="Tabletext10pt"/>
            </w:pPr>
            <w:r w:rsidRPr="00702A51">
              <w:t>Key activities</w:t>
            </w:r>
          </w:p>
        </w:tc>
        <w:tc>
          <w:tcPr>
            <w:tcW w:w="1982" w:type="dxa"/>
            <w:tcBorders>
              <w:top w:val="single" w:sz="4" w:space="0" w:color="D6D6D6" w:themeColor="background2" w:themeShade="E6"/>
              <w:bottom w:val="single" w:sz="4" w:space="0" w:color="D6D6D6" w:themeColor="background2" w:themeShade="E6"/>
            </w:tcBorders>
          </w:tcPr>
          <w:p w14:paraId="2C6B53E5" w14:textId="6F921EEF" w:rsidR="0001126E" w:rsidRPr="00702A51" w:rsidRDefault="00331F06" w:rsidP="00EB156B">
            <w:pPr>
              <w:pStyle w:val="Tabletext10pt"/>
            </w:pPr>
            <w:r w:rsidRPr="00702A51">
              <w:t>3</w:t>
            </w:r>
          </w:p>
        </w:tc>
      </w:tr>
      <w:tr w:rsidR="00692A48" w:rsidRPr="00702A51" w14:paraId="20F8523A" w14:textId="77777777" w:rsidTr="00516909">
        <w:tc>
          <w:tcPr>
            <w:tcW w:w="7088" w:type="dxa"/>
            <w:tcBorders>
              <w:top w:val="single" w:sz="4" w:space="0" w:color="D6D6D6" w:themeColor="background2" w:themeShade="E6"/>
              <w:bottom w:val="single" w:sz="4" w:space="0" w:color="D6D6D6" w:themeColor="background2" w:themeShade="E6"/>
            </w:tcBorders>
          </w:tcPr>
          <w:p w14:paraId="180937CD" w14:textId="2BD391B8" w:rsidR="00692A48" w:rsidRPr="00702A51" w:rsidRDefault="00692A48" w:rsidP="00692A48">
            <w:pPr>
              <w:pStyle w:val="TableTextLeft"/>
            </w:pPr>
            <w:r w:rsidRPr="00702A51">
              <w:t xml:space="preserve">Operating context: Environment </w:t>
            </w:r>
          </w:p>
        </w:tc>
        <w:tc>
          <w:tcPr>
            <w:tcW w:w="1982" w:type="dxa"/>
            <w:tcBorders>
              <w:top w:val="single" w:sz="4" w:space="0" w:color="D6D6D6" w:themeColor="background2" w:themeShade="E6"/>
              <w:bottom w:val="single" w:sz="4" w:space="0" w:color="D6D6D6" w:themeColor="background2" w:themeShade="E6"/>
            </w:tcBorders>
          </w:tcPr>
          <w:p w14:paraId="34AE6227" w14:textId="126FFE57" w:rsidR="00692A48" w:rsidRPr="00702A51" w:rsidRDefault="00331F06" w:rsidP="00EB156B">
            <w:pPr>
              <w:pStyle w:val="Tabletext10pt"/>
            </w:pPr>
            <w:r w:rsidRPr="00702A51">
              <w:t>4–</w:t>
            </w:r>
            <w:r w:rsidR="005A14BB" w:rsidRPr="00702A51">
              <w:t>6</w:t>
            </w:r>
          </w:p>
        </w:tc>
      </w:tr>
      <w:tr w:rsidR="00692A48" w:rsidRPr="00702A51" w14:paraId="5F8F7C17" w14:textId="77777777" w:rsidTr="00516909">
        <w:tc>
          <w:tcPr>
            <w:tcW w:w="7088" w:type="dxa"/>
            <w:tcBorders>
              <w:top w:val="single" w:sz="4" w:space="0" w:color="D6D6D6" w:themeColor="background2" w:themeShade="E6"/>
              <w:bottom w:val="single" w:sz="4" w:space="0" w:color="D6D6D6" w:themeColor="background2" w:themeShade="E6"/>
            </w:tcBorders>
          </w:tcPr>
          <w:p w14:paraId="45CC4878" w14:textId="6E8A09F2" w:rsidR="00692A48" w:rsidRPr="00702A51" w:rsidRDefault="00692A48" w:rsidP="00692A48">
            <w:pPr>
              <w:pStyle w:val="TableTextLeft"/>
            </w:pPr>
            <w:r w:rsidRPr="00702A51">
              <w:t>Operating context: Capability</w:t>
            </w:r>
          </w:p>
        </w:tc>
        <w:tc>
          <w:tcPr>
            <w:tcW w:w="1982" w:type="dxa"/>
            <w:tcBorders>
              <w:top w:val="single" w:sz="4" w:space="0" w:color="D6D6D6" w:themeColor="background2" w:themeShade="E6"/>
              <w:bottom w:val="single" w:sz="4" w:space="0" w:color="D6D6D6" w:themeColor="background2" w:themeShade="E6"/>
            </w:tcBorders>
          </w:tcPr>
          <w:p w14:paraId="4904FDF5" w14:textId="71843BEF" w:rsidR="00692A48" w:rsidRPr="00702A51" w:rsidRDefault="005A14BB" w:rsidP="00EB156B">
            <w:pPr>
              <w:pStyle w:val="Tabletext10pt"/>
            </w:pPr>
            <w:r w:rsidRPr="00702A51">
              <w:t>7</w:t>
            </w:r>
            <w:r w:rsidR="00331F06" w:rsidRPr="00702A51">
              <w:t>–</w:t>
            </w:r>
            <w:r w:rsidRPr="00702A51">
              <w:t>9</w:t>
            </w:r>
          </w:p>
        </w:tc>
      </w:tr>
      <w:tr w:rsidR="00692A48" w:rsidRPr="00702A51" w14:paraId="61CFE006" w14:textId="77777777" w:rsidTr="00516909">
        <w:tc>
          <w:tcPr>
            <w:tcW w:w="7088" w:type="dxa"/>
            <w:tcBorders>
              <w:top w:val="single" w:sz="4" w:space="0" w:color="D6D6D6" w:themeColor="background2" w:themeShade="E6"/>
              <w:bottom w:val="single" w:sz="4" w:space="0" w:color="D6D6D6" w:themeColor="background2" w:themeShade="E6"/>
            </w:tcBorders>
          </w:tcPr>
          <w:p w14:paraId="78E97AE7" w14:textId="2BC05469" w:rsidR="00692A48" w:rsidRPr="00702A51" w:rsidRDefault="00692A48" w:rsidP="00692A48">
            <w:pPr>
              <w:pStyle w:val="TableTextLeft"/>
            </w:pPr>
            <w:r w:rsidRPr="00702A51">
              <w:t>Operating context: Subsidiaries (if applicable)</w:t>
            </w:r>
          </w:p>
        </w:tc>
        <w:tc>
          <w:tcPr>
            <w:tcW w:w="1982" w:type="dxa"/>
            <w:tcBorders>
              <w:top w:val="single" w:sz="4" w:space="0" w:color="D6D6D6" w:themeColor="background2" w:themeShade="E6"/>
              <w:bottom w:val="single" w:sz="4" w:space="0" w:color="D6D6D6" w:themeColor="background2" w:themeShade="E6"/>
            </w:tcBorders>
          </w:tcPr>
          <w:p w14:paraId="301CF42B" w14:textId="59DE590E" w:rsidR="00692A48" w:rsidRPr="00702A51" w:rsidRDefault="00692A48" w:rsidP="00EB156B">
            <w:pPr>
              <w:pStyle w:val="Tabletext10pt"/>
            </w:pPr>
            <w:r w:rsidRPr="00702A51">
              <w:t>Not applicable</w:t>
            </w:r>
          </w:p>
        </w:tc>
      </w:tr>
      <w:tr w:rsidR="005A14BB" w:rsidRPr="00702A51" w14:paraId="4EE68124" w14:textId="77777777" w:rsidTr="00516909">
        <w:tc>
          <w:tcPr>
            <w:tcW w:w="7088" w:type="dxa"/>
            <w:tcBorders>
              <w:top w:val="single" w:sz="4" w:space="0" w:color="D6D6D6" w:themeColor="background2" w:themeShade="E6"/>
              <w:bottom w:val="single" w:sz="4" w:space="0" w:color="D6D6D6" w:themeColor="background2" w:themeShade="E6"/>
            </w:tcBorders>
          </w:tcPr>
          <w:p w14:paraId="35849555" w14:textId="77777777" w:rsidR="005A14BB" w:rsidRPr="00702A51" w:rsidRDefault="005A14BB" w:rsidP="000D24C8">
            <w:pPr>
              <w:pStyle w:val="TableTextLeft"/>
            </w:pPr>
            <w:r w:rsidRPr="00702A51">
              <w:t>Risk oversight and management, including key risks and management</w:t>
            </w:r>
          </w:p>
        </w:tc>
        <w:tc>
          <w:tcPr>
            <w:tcW w:w="1982" w:type="dxa"/>
            <w:tcBorders>
              <w:top w:val="single" w:sz="4" w:space="0" w:color="D6D6D6" w:themeColor="background2" w:themeShade="E6"/>
              <w:bottom w:val="single" w:sz="4" w:space="0" w:color="D6D6D6" w:themeColor="background2" w:themeShade="E6"/>
            </w:tcBorders>
          </w:tcPr>
          <w:p w14:paraId="3A61A43D" w14:textId="5343C00C" w:rsidR="005A14BB" w:rsidRPr="00702A51" w:rsidRDefault="0055726E" w:rsidP="000D24C8">
            <w:pPr>
              <w:pStyle w:val="Tabletext10pt"/>
            </w:pPr>
            <w:r w:rsidRPr="00702A51">
              <w:t>1</w:t>
            </w:r>
            <w:r w:rsidR="00422675" w:rsidRPr="00702A51">
              <w:t>0</w:t>
            </w:r>
            <w:r w:rsidR="005A14BB" w:rsidRPr="00702A51">
              <w:t>–1</w:t>
            </w:r>
            <w:r w:rsidR="00702A51" w:rsidRPr="00702A51">
              <w:t>3</w:t>
            </w:r>
          </w:p>
        </w:tc>
      </w:tr>
      <w:tr w:rsidR="0001126E" w:rsidRPr="00AA2CC1" w14:paraId="6599AB8F" w14:textId="77777777" w:rsidTr="00516909">
        <w:tc>
          <w:tcPr>
            <w:tcW w:w="7088" w:type="dxa"/>
            <w:tcBorders>
              <w:top w:val="single" w:sz="4" w:space="0" w:color="D6D6D6" w:themeColor="background2" w:themeShade="E6"/>
              <w:bottom w:val="single" w:sz="4" w:space="0" w:color="D6D6D6" w:themeColor="background2" w:themeShade="E6"/>
            </w:tcBorders>
          </w:tcPr>
          <w:p w14:paraId="320EE3DA" w14:textId="77777777" w:rsidR="0001126E" w:rsidRPr="00702A51" w:rsidRDefault="0001126E" w:rsidP="00EB156B">
            <w:pPr>
              <w:pStyle w:val="Tabletext10pt"/>
            </w:pPr>
            <w:r w:rsidRPr="00702A51">
              <w:t>Performance</w:t>
            </w:r>
          </w:p>
        </w:tc>
        <w:tc>
          <w:tcPr>
            <w:tcW w:w="1982" w:type="dxa"/>
            <w:tcBorders>
              <w:top w:val="single" w:sz="4" w:space="0" w:color="D6D6D6" w:themeColor="background2" w:themeShade="E6"/>
              <w:bottom w:val="single" w:sz="4" w:space="0" w:color="D6D6D6" w:themeColor="background2" w:themeShade="E6"/>
            </w:tcBorders>
          </w:tcPr>
          <w:p w14:paraId="004802A2" w14:textId="0CA3A200" w:rsidR="0001126E" w:rsidRPr="00AA2CC1" w:rsidRDefault="0055726E" w:rsidP="00EB156B">
            <w:pPr>
              <w:pStyle w:val="Tabletext10pt"/>
            </w:pPr>
            <w:r w:rsidRPr="00702A51">
              <w:t>1</w:t>
            </w:r>
            <w:r w:rsidR="00BB1F06" w:rsidRPr="00702A51">
              <w:t>4</w:t>
            </w:r>
            <w:r w:rsidR="0001126E" w:rsidRPr="00702A51">
              <w:rPr>
                <w:rFonts w:cs="Calibri Light"/>
              </w:rPr>
              <w:t>–</w:t>
            </w:r>
            <w:r w:rsidRPr="00702A51">
              <w:t>2</w:t>
            </w:r>
            <w:r w:rsidR="00BB1F06" w:rsidRPr="00702A51">
              <w:t>8</w:t>
            </w:r>
          </w:p>
        </w:tc>
      </w:tr>
    </w:tbl>
    <w:p w14:paraId="3F214C35" w14:textId="77777777" w:rsidR="0001126E" w:rsidRPr="004F5E5D" w:rsidRDefault="0001126E" w:rsidP="005E017E">
      <w:pPr>
        <w:spacing w:before="0" w:after="160" w:line="259" w:lineRule="auto"/>
      </w:pPr>
    </w:p>
    <w:sectPr w:rsidR="0001126E" w:rsidRPr="004F5E5D" w:rsidSect="006365BF">
      <w:footerReference w:type="default" r:id="rId27"/>
      <w:pgSz w:w="11906" w:h="16838" w:code="9"/>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C3689" w14:textId="77777777" w:rsidR="00AE23B7" w:rsidRDefault="00AE23B7">
      <w:pPr>
        <w:spacing w:before="0" w:after="0"/>
      </w:pPr>
      <w:r>
        <w:separator/>
      </w:r>
    </w:p>
  </w:endnote>
  <w:endnote w:type="continuationSeparator" w:id="0">
    <w:p w14:paraId="54E9D272" w14:textId="77777777" w:rsidR="00AE23B7" w:rsidRDefault="00AE23B7">
      <w:pPr>
        <w:spacing w:before="0" w:after="0"/>
      </w:pPr>
      <w:r>
        <w:continuationSeparator/>
      </w:r>
    </w:p>
  </w:endnote>
  <w:endnote w:type="continuationNotice" w:id="1">
    <w:p w14:paraId="6171D460" w14:textId="77777777" w:rsidR="00AE23B7" w:rsidRDefault="00AE23B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ktiv Grotesk">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755A" w14:textId="06552A24" w:rsidR="006A7DB1" w:rsidRPr="00455F35" w:rsidRDefault="006A7DB1" w:rsidP="00B941B9">
    <w:pPr>
      <w:pStyle w:val="FooterEven"/>
      <w:jc w:val="right"/>
      <w:rPr>
        <w:color w:val="2C384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F64F" w14:textId="6EC22DD3" w:rsidR="000A04B9" w:rsidRPr="000A04B9" w:rsidRDefault="000A04B9" w:rsidP="000A04B9">
    <w:pPr>
      <w:pStyle w:val="FooterEven"/>
      <w:jc w:val="right"/>
      <w:rPr>
        <w:color w:val="2C384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B39E" w14:textId="79A016B0" w:rsidR="00B941B9" w:rsidRPr="000A04B9" w:rsidRDefault="00B941B9" w:rsidP="000A04B9">
    <w:pPr>
      <w:pStyle w:val="FooterEven"/>
      <w:jc w:val="right"/>
      <w:rPr>
        <w:color w:val="2C384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D730" w14:textId="06C13E8C" w:rsidR="00E859C3" w:rsidRPr="006A6233" w:rsidRDefault="009732C5" w:rsidP="006A6233">
    <w:pPr>
      <w:pStyle w:val="FooterEven"/>
      <w:jc w:val="right"/>
      <w:rPr>
        <w:color w:val="2C384A"/>
      </w:rPr>
    </w:pPr>
    <w:r>
      <w:rPr>
        <w:color w:val="2C384A"/>
      </w:rPr>
      <w:t xml:space="preserve">Treasury </w:t>
    </w:r>
    <w:r w:rsidRPr="00A53A42">
      <w:rPr>
        <w:color w:val="2C384A"/>
      </w:rPr>
      <w:t>Corporate Plan 202</w:t>
    </w:r>
    <w:r>
      <w:rPr>
        <w:color w:val="2C384A"/>
      </w:rPr>
      <w:t>6</w:t>
    </w:r>
    <w:r w:rsidRPr="00A53A42">
      <w:rPr>
        <w:color w:val="2C384A"/>
      </w:rPr>
      <w:t>–2</w:t>
    </w:r>
    <w:r w:rsidRPr="00A53A42">
      <w:rPr>
        <w:color w:val="2C384A"/>
      </w:rPr>
      <w:drawing>
        <wp:anchor distT="0" distB="0" distL="114300" distR="114300" simplePos="0" relativeHeight="251660289" behindDoc="1" locked="0" layoutInCell="1" allowOverlap="0" wp14:anchorId="31D15CAF" wp14:editId="47DD76F2">
          <wp:simplePos x="0" y="0"/>
          <wp:positionH relativeFrom="margin">
            <wp:align>left</wp:align>
          </wp:positionH>
          <wp:positionV relativeFrom="page">
            <wp:posOffset>10048875</wp:posOffset>
          </wp:positionV>
          <wp:extent cx="1324800" cy="201600"/>
          <wp:effectExtent l="0" t="0" r="0" b="8255"/>
          <wp:wrapTight wrapText="bothSides">
            <wp:wrapPolygon edited="0">
              <wp:start x="0" y="0"/>
              <wp:lineTo x="0" y="16353"/>
              <wp:lineTo x="2174" y="20442"/>
              <wp:lineTo x="9630" y="20442"/>
              <wp:lineTo x="13979" y="20442"/>
              <wp:lineTo x="21124" y="20442"/>
              <wp:lineTo x="20813" y="4088"/>
              <wp:lineTo x="1553" y="0"/>
              <wp:lineTo x="0" y="0"/>
            </wp:wrapPolygon>
          </wp:wrapTight>
          <wp:docPr id="2104601368" name="Picture 2104601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14:sizeRelH relativeFrom="margin">
            <wp14:pctWidth>0</wp14:pctWidth>
          </wp14:sizeRelH>
          <wp14:sizeRelV relativeFrom="margin">
            <wp14:pctHeight>0</wp14:pctHeight>
          </wp14:sizeRelV>
        </wp:anchor>
      </w:drawing>
    </w:r>
    <w:r>
      <w:rPr>
        <w:color w:val="2C384A"/>
      </w:rPr>
      <w:t>7</w:t>
    </w:r>
    <w:r w:rsidRPr="00A53A42">
      <w:rPr>
        <w:color w:val="2C384A"/>
      </w:rPr>
      <w:t xml:space="preserve"> | </w:t>
    </w:r>
    <w:r w:rsidRPr="00A53A42">
      <w:rPr>
        <w:noProof w:val="0"/>
        <w:color w:val="2C384A"/>
      </w:rPr>
      <w:fldChar w:fldCharType="begin"/>
    </w:r>
    <w:r w:rsidRPr="00A53A42">
      <w:rPr>
        <w:color w:val="2C384A"/>
      </w:rPr>
      <w:instrText xml:space="preserve"> PAGE   \* MERGEFORMAT </w:instrText>
    </w:r>
    <w:r w:rsidRPr="00A53A42">
      <w:rPr>
        <w:noProof w:val="0"/>
        <w:color w:val="2C384A"/>
      </w:rPr>
      <w:fldChar w:fldCharType="separate"/>
    </w:r>
    <w:r>
      <w:rPr>
        <w:noProof w:val="0"/>
        <w:color w:val="2C384A"/>
      </w:rPr>
      <w:t>4</w:t>
    </w:r>
    <w:r w:rsidRPr="00A53A42">
      <w:rPr>
        <w:color w:val="2C384A"/>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FDD8" w14:textId="35348A07" w:rsidR="00E859C3" w:rsidRPr="000A04B9" w:rsidRDefault="00E859C3" w:rsidP="000A04B9">
    <w:pPr>
      <w:pStyle w:val="FooterEven"/>
      <w:jc w:val="right"/>
      <w:rPr>
        <w:color w:val="2C384A"/>
      </w:rPr>
    </w:pPr>
    <w:r>
      <w:rPr>
        <w:color w:val="2C384A"/>
      </w:rPr>
      <w:t xml:space="preserve">Treasury </w:t>
    </w:r>
    <w:r w:rsidRPr="00A53A42">
      <w:rPr>
        <w:color w:val="2C384A"/>
      </w:rPr>
      <w:t>Corporate Plan 202</w:t>
    </w:r>
    <w:r w:rsidR="002B3503">
      <w:rPr>
        <w:color w:val="2C384A"/>
      </w:rPr>
      <w:t>6</w:t>
    </w:r>
    <w:r w:rsidRPr="00A53A42">
      <w:rPr>
        <w:color w:val="2C384A"/>
      </w:rPr>
      <w:t>–2</w:t>
    </w:r>
    <w:r w:rsidRPr="00A53A42">
      <w:rPr>
        <w:color w:val="2C384A"/>
      </w:rPr>
      <w:drawing>
        <wp:anchor distT="0" distB="0" distL="114300" distR="114300" simplePos="0" relativeHeight="251658241" behindDoc="1" locked="0" layoutInCell="1" allowOverlap="0" wp14:anchorId="78350AAD" wp14:editId="25E78C6E">
          <wp:simplePos x="0" y="0"/>
          <wp:positionH relativeFrom="margin">
            <wp:align>left</wp:align>
          </wp:positionH>
          <wp:positionV relativeFrom="page">
            <wp:posOffset>10048875</wp:posOffset>
          </wp:positionV>
          <wp:extent cx="1324800" cy="201600"/>
          <wp:effectExtent l="0" t="0" r="0" b="8255"/>
          <wp:wrapTight wrapText="bothSides">
            <wp:wrapPolygon edited="0">
              <wp:start x="0" y="0"/>
              <wp:lineTo x="0" y="16353"/>
              <wp:lineTo x="2174" y="20442"/>
              <wp:lineTo x="9630" y="20442"/>
              <wp:lineTo x="13979" y="20442"/>
              <wp:lineTo x="21124" y="20442"/>
              <wp:lineTo x="20813" y="4088"/>
              <wp:lineTo x="1553" y="0"/>
              <wp:lineTo x="0" y="0"/>
            </wp:wrapPolygon>
          </wp:wrapTight>
          <wp:docPr id="583758686" name="Picture 5837586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14:sizeRelH relativeFrom="margin">
            <wp14:pctWidth>0</wp14:pctWidth>
          </wp14:sizeRelH>
          <wp14:sizeRelV relativeFrom="margin">
            <wp14:pctHeight>0</wp14:pctHeight>
          </wp14:sizeRelV>
        </wp:anchor>
      </w:drawing>
    </w:r>
    <w:r w:rsidR="004E0B3F">
      <w:rPr>
        <w:color w:val="2C384A"/>
      </w:rPr>
      <w:t>7</w:t>
    </w:r>
    <w:r w:rsidRPr="00A53A42">
      <w:rPr>
        <w:color w:val="2C384A"/>
      </w:rPr>
      <w:t xml:space="preserve"> | </w:t>
    </w:r>
    <w:r w:rsidRPr="00A53A42">
      <w:rPr>
        <w:noProof w:val="0"/>
        <w:color w:val="2C384A"/>
      </w:rPr>
      <w:fldChar w:fldCharType="begin"/>
    </w:r>
    <w:r w:rsidRPr="00A53A42">
      <w:rPr>
        <w:color w:val="2C384A"/>
      </w:rPr>
      <w:instrText xml:space="preserve"> PAGE   \* MERGEFORMAT </w:instrText>
    </w:r>
    <w:r w:rsidRPr="00A53A42">
      <w:rPr>
        <w:noProof w:val="0"/>
        <w:color w:val="2C384A"/>
      </w:rPr>
      <w:fldChar w:fldCharType="separate"/>
    </w:r>
    <w:r>
      <w:rPr>
        <w:noProof w:val="0"/>
        <w:color w:val="2C384A"/>
      </w:rPr>
      <w:t>8</w:t>
    </w:r>
    <w:r w:rsidRPr="00A53A42">
      <w:rPr>
        <w:color w:val="2C384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4B678" w14:textId="77777777" w:rsidR="00AE23B7" w:rsidRDefault="00AE23B7">
      <w:pPr>
        <w:spacing w:before="0" w:after="0"/>
      </w:pPr>
      <w:r>
        <w:separator/>
      </w:r>
    </w:p>
  </w:footnote>
  <w:footnote w:type="continuationSeparator" w:id="0">
    <w:p w14:paraId="5EDAC880" w14:textId="77777777" w:rsidR="00AE23B7" w:rsidRDefault="00AE23B7">
      <w:pPr>
        <w:spacing w:before="0" w:after="0"/>
      </w:pPr>
      <w:r>
        <w:continuationSeparator/>
      </w:r>
    </w:p>
  </w:footnote>
  <w:footnote w:type="continuationNotice" w:id="1">
    <w:p w14:paraId="71F681C3" w14:textId="77777777" w:rsidR="00AE23B7" w:rsidRDefault="00AE23B7">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0B5D2CB3"/>
    <w:multiLevelType w:val="multilevel"/>
    <w:tmpl w:val="DB7E1138"/>
    <w:lvl w:ilvl="0">
      <w:start w:val="1"/>
      <w:numFmt w:val="bullet"/>
      <w:lvlText w:val=""/>
      <w:lvlJc w:val="left"/>
      <w:pPr>
        <w:tabs>
          <w:tab w:val="num" w:pos="520"/>
        </w:tabs>
        <w:ind w:left="520" w:hanging="520"/>
      </w:pPr>
      <w:rPr>
        <w:rFonts w:ascii="Symbol" w:hAnsi="Symbol" w:hint="default"/>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653560"/>
    <w:multiLevelType w:val="multilevel"/>
    <w:tmpl w:val="72F8140E"/>
    <w:styleLink w:val="OutlineList"/>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564F9D"/>
    <w:multiLevelType w:val="multilevel"/>
    <w:tmpl w:val="B0402706"/>
    <w:lvl w:ilvl="0">
      <w:start w:val="1"/>
      <w:numFmt w:val="bullet"/>
      <w:lvlRestart w:val="0"/>
      <w:pStyle w:val="Boxbullet"/>
      <w:lvlText w:val="•"/>
      <w:lvlJc w:val="left"/>
      <w:pPr>
        <w:tabs>
          <w:tab w:val="num" w:pos="283"/>
        </w:tabs>
        <w:ind w:left="284" w:hanging="284"/>
      </w:pPr>
      <w:rPr>
        <w:rFonts w:ascii="Times New Roman" w:hAnsi="Times New Roman" w:cs="Times New Roman" w:hint="default"/>
        <w:b w:val="0"/>
        <w:i w:val="0"/>
      </w:rPr>
    </w:lvl>
    <w:lvl w:ilvl="1">
      <w:start w:val="1"/>
      <w:numFmt w:val="bullet"/>
      <w:pStyle w:val="Boxdash"/>
      <w:lvlText w:val="–"/>
      <w:lvlJc w:val="left"/>
      <w:pPr>
        <w:tabs>
          <w:tab w:val="num" w:pos="567"/>
        </w:tabs>
        <w:ind w:left="568" w:hanging="284"/>
      </w:pPr>
      <w:rPr>
        <w:rFonts w:ascii="Times New Roman" w:hAnsi="Times New Roman" w:cs="Times New Roman" w:hint="default"/>
        <w:b w:val="0"/>
        <w:i w:val="0"/>
      </w:rPr>
    </w:lvl>
    <w:lvl w:ilvl="2">
      <w:start w:val="1"/>
      <w:numFmt w:val="bullet"/>
      <w:pStyle w:val="Boxdoubledo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4"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D70C77"/>
    <w:multiLevelType w:val="hybridMultilevel"/>
    <w:tmpl w:val="D556CAE0"/>
    <w:lvl w:ilvl="0" w:tplc="9FD4EEF6">
      <w:start w:val="1"/>
      <w:numFmt w:val="bullet"/>
      <w:pStyle w:val="Tabletext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C2710"/>
    <w:multiLevelType w:val="multilevel"/>
    <w:tmpl w:val="0D723674"/>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8"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FFF51A7"/>
    <w:multiLevelType w:val="hybridMultilevel"/>
    <w:tmpl w:val="7CFC6254"/>
    <w:lvl w:ilvl="0" w:tplc="C4FCB478">
      <w:start w:val="1"/>
      <w:numFmt w:val="bullet"/>
      <w:lvlText w:val=""/>
      <w:lvlJc w:val="left"/>
      <w:pPr>
        <w:ind w:left="1080" w:hanging="360"/>
      </w:pPr>
      <w:rPr>
        <w:rFonts w:ascii="Symbol" w:hAnsi="Symbol"/>
      </w:rPr>
    </w:lvl>
    <w:lvl w:ilvl="1" w:tplc="14DA5EEC">
      <w:start w:val="1"/>
      <w:numFmt w:val="bullet"/>
      <w:lvlText w:val=""/>
      <w:lvlJc w:val="left"/>
      <w:pPr>
        <w:ind w:left="1080" w:hanging="360"/>
      </w:pPr>
      <w:rPr>
        <w:rFonts w:ascii="Symbol" w:hAnsi="Symbol"/>
      </w:rPr>
    </w:lvl>
    <w:lvl w:ilvl="2" w:tplc="116CDB4A">
      <w:start w:val="1"/>
      <w:numFmt w:val="bullet"/>
      <w:lvlText w:val=""/>
      <w:lvlJc w:val="left"/>
      <w:pPr>
        <w:ind w:left="1080" w:hanging="360"/>
      </w:pPr>
      <w:rPr>
        <w:rFonts w:ascii="Symbol" w:hAnsi="Symbol"/>
      </w:rPr>
    </w:lvl>
    <w:lvl w:ilvl="3" w:tplc="5F68B38A">
      <w:start w:val="1"/>
      <w:numFmt w:val="bullet"/>
      <w:lvlText w:val=""/>
      <w:lvlJc w:val="left"/>
      <w:pPr>
        <w:ind w:left="1080" w:hanging="360"/>
      </w:pPr>
      <w:rPr>
        <w:rFonts w:ascii="Symbol" w:hAnsi="Symbol"/>
      </w:rPr>
    </w:lvl>
    <w:lvl w:ilvl="4" w:tplc="4D7E6B4E">
      <w:start w:val="1"/>
      <w:numFmt w:val="bullet"/>
      <w:lvlText w:val=""/>
      <w:lvlJc w:val="left"/>
      <w:pPr>
        <w:ind w:left="1080" w:hanging="360"/>
      </w:pPr>
      <w:rPr>
        <w:rFonts w:ascii="Symbol" w:hAnsi="Symbol"/>
      </w:rPr>
    </w:lvl>
    <w:lvl w:ilvl="5" w:tplc="077221DC">
      <w:start w:val="1"/>
      <w:numFmt w:val="bullet"/>
      <w:lvlText w:val=""/>
      <w:lvlJc w:val="left"/>
      <w:pPr>
        <w:ind w:left="1080" w:hanging="360"/>
      </w:pPr>
      <w:rPr>
        <w:rFonts w:ascii="Symbol" w:hAnsi="Symbol"/>
      </w:rPr>
    </w:lvl>
    <w:lvl w:ilvl="6" w:tplc="6CE280B8">
      <w:start w:val="1"/>
      <w:numFmt w:val="bullet"/>
      <w:lvlText w:val=""/>
      <w:lvlJc w:val="left"/>
      <w:pPr>
        <w:ind w:left="1080" w:hanging="360"/>
      </w:pPr>
      <w:rPr>
        <w:rFonts w:ascii="Symbol" w:hAnsi="Symbol"/>
      </w:rPr>
    </w:lvl>
    <w:lvl w:ilvl="7" w:tplc="961C4208">
      <w:start w:val="1"/>
      <w:numFmt w:val="bullet"/>
      <w:lvlText w:val=""/>
      <w:lvlJc w:val="left"/>
      <w:pPr>
        <w:ind w:left="1080" w:hanging="360"/>
      </w:pPr>
      <w:rPr>
        <w:rFonts w:ascii="Symbol" w:hAnsi="Symbol"/>
      </w:rPr>
    </w:lvl>
    <w:lvl w:ilvl="8" w:tplc="77904580">
      <w:start w:val="1"/>
      <w:numFmt w:val="bullet"/>
      <w:lvlText w:val=""/>
      <w:lvlJc w:val="left"/>
      <w:pPr>
        <w:ind w:left="1080" w:hanging="360"/>
      </w:pPr>
      <w:rPr>
        <w:rFonts w:ascii="Symbol" w:hAnsi="Symbol"/>
      </w:rPr>
    </w:lvl>
  </w:abstractNum>
  <w:abstractNum w:abstractNumId="11" w15:restartNumberingAfterBreak="0">
    <w:nsid w:val="47265065"/>
    <w:multiLevelType w:val="hybridMultilevel"/>
    <w:tmpl w:val="14EE6D6A"/>
    <w:lvl w:ilvl="0" w:tplc="E1B0C61A">
      <w:start w:val="1"/>
      <w:numFmt w:val="bullet"/>
      <w:lvlText w:val=""/>
      <w:lvlJc w:val="left"/>
      <w:pPr>
        <w:ind w:left="1080" w:hanging="360"/>
      </w:pPr>
      <w:rPr>
        <w:rFonts w:ascii="Symbol" w:hAnsi="Symbol"/>
      </w:rPr>
    </w:lvl>
    <w:lvl w:ilvl="1" w:tplc="69623A8A">
      <w:start w:val="1"/>
      <w:numFmt w:val="bullet"/>
      <w:lvlText w:val=""/>
      <w:lvlJc w:val="left"/>
      <w:pPr>
        <w:ind w:left="1080" w:hanging="360"/>
      </w:pPr>
      <w:rPr>
        <w:rFonts w:ascii="Symbol" w:hAnsi="Symbol"/>
      </w:rPr>
    </w:lvl>
    <w:lvl w:ilvl="2" w:tplc="0994F822">
      <w:start w:val="1"/>
      <w:numFmt w:val="bullet"/>
      <w:lvlText w:val=""/>
      <w:lvlJc w:val="left"/>
      <w:pPr>
        <w:ind w:left="1080" w:hanging="360"/>
      </w:pPr>
      <w:rPr>
        <w:rFonts w:ascii="Symbol" w:hAnsi="Symbol"/>
      </w:rPr>
    </w:lvl>
    <w:lvl w:ilvl="3" w:tplc="DAB25BAE">
      <w:start w:val="1"/>
      <w:numFmt w:val="bullet"/>
      <w:lvlText w:val=""/>
      <w:lvlJc w:val="left"/>
      <w:pPr>
        <w:ind w:left="1080" w:hanging="360"/>
      </w:pPr>
      <w:rPr>
        <w:rFonts w:ascii="Symbol" w:hAnsi="Symbol"/>
      </w:rPr>
    </w:lvl>
    <w:lvl w:ilvl="4" w:tplc="9FEED4DA">
      <w:start w:val="1"/>
      <w:numFmt w:val="bullet"/>
      <w:lvlText w:val=""/>
      <w:lvlJc w:val="left"/>
      <w:pPr>
        <w:ind w:left="1080" w:hanging="360"/>
      </w:pPr>
      <w:rPr>
        <w:rFonts w:ascii="Symbol" w:hAnsi="Symbol"/>
      </w:rPr>
    </w:lvl>
    <w:lvl w:ilvl="5" w:tplc="49688526">
      <w:start w:val="1"/>
      <w:numFmt w:val="bullet"/>
      <w:lvlText w:val=""/>
      <w:lvlJc w:val="left"/>
      <w:pPr>
        <w:ind w:left="1080" w:hanging="360"/>
      </w:pPr>
      <w:rPr>
        <w:rFonts w:ascii="Symbol" w:hAnsi="Symbol"/>
      </w:rPr>
    </w:lvl>
    <w:lvl w:ilvl="6" w:tplc="9B56AAB2">
      <w:start w:val="1"/>
      <w:numFmt w:val="bullet"/>
      <w:lvlText w:val=""/>
      <w:lvlJc w:val="left"/>
      <w:pPr>
        <w:ind w:left="1080" w:hanging="360"/>
      </w:pPr>
      <w:rPr>
        <w:rFonts w:ascii="Symbol" w:hAnsi="Symbol"/>
      </w:rPr>
    </w:lvl>
    <w:lvl w:ilvl="7" w:tplc="E288224A">
      <w:start w:val="1"/>
      <w:numFmt w:val="bullet"/>
      <w:lvlText w:val=""/>
      <w:lvlJc w:val="left"/>
      <w:pPr>
        <w:ind w:left="1080" w:hanging="360"/>
      </w:pPr>
      <w:rPr>
        <w:rFonts w:ascii="Symbol" w:hAnsi="Symbol"/>
      </w:rPr>
    </w:lvl>
    <w:lvl w:ilvl="8" w:tplc="D588431A">
      <w:start w:val="1"/>
      <w:numFmt w:val="bullet"/>
      <w:lvlText w:val=""/>
      <w:lvlJc w:val="left"/>
      <w:pPr>
        <w:ind w:left="1080" w:hanging="360"/>
      </w:pPr>
      <w:rPr>
        <w:rFonts w:ascii="Symbol" w:hAnsi="Symbol"/>
      </w:rPr>
    </w:lvl>
  </w:abstractNum>
  <w:abstractNum w:abstractNumId="12" w15:restartNumberingAfterBreak="0">
    <w:nsid w:val="510D2021"/>
    <w:multiLevelType w:val="multilevel"/>
    <w:tmpl w:val="72F8140E"/>
    <w:numStyleLink w:val="OutlineList"/>
  </w:abstractNum>
  <w:abstractNum w:abstractNumId="13" w15:restartNumberingAfterBreak="0">
    <w:nsid w:val="51236ABB"/>
    <w:multiLevelType w:val="hybridMultilevel"/>
    <w:tmpl w:val="8AB6C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1953CF"/>
    <w:multiLevelType w:val="multilevel"/>
    <w:tmpl w:val="4286894C"/>
    <w:name w:val="StandardNumberedList"/>
    <w:lvl w:ilvl="0">
      <w:start w:val="1"/>
      <w:numFmt w:val="decimal"/>
      <w:lvlText w:val="%1."/>
      <w:lvlJc w:val="left"/>
      <w:pPr>
        <w:tabs>
          <w:tab w:val="num" w:pos="472"/>
        </w:tabs>
        <w:ind w:left="472" w:hanging="472"/>
      </w:pPr>
      <w:rPr>
        <w:rFonts w:hint="default"/>
      </w:rPr>
    </w:lvl>
    <w:lvl w:ilvl="1">
      <w:start w:val="1"/>
      <w:numFmt w:val="decimal"/>
      <w:lvlText w:val="%1.%2."/>
      <w:lvlJc w:val="left"/>
      <w:pPr>
        <w:tabs>
          <w:tab w:val="num" w:pos="944"/>
        </w:tabs>
        <w:ind w:left="944" w:hanging="472"/>
      </w:pPr>
      <w:rPr>
        <w:rFonts w:hint="default"/>
      </w:rPr>
    </w:lvl>
    <w:lvl w:ilvl="2">
      <w:start w:val="1"/>
      <w:numFmt w:val="decimal"/>
      <w:lvlText w:val="%1.%2.%3."/>
      <w:lvlJc w:val="left"/>
      <w:pPr>
        <w:tabs>
          <w:tab w:val="num" w:pos="1416"/>
        </w:tabs>
        <w:ind w:left="1416" w:hanging="472"/>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1302C66"/>
    <w:multiLevelType w:val="multilevel"/>
    <w:tmpl w:val="0868D7A4"/>
    <w:lvl w:ilvl="0">
      <w:start w:val="1"/>
      <w:numFmt w:val="bullet"/>
      <w:lvlText w:val=""/>
      <w:lvlJc w:val="left"/>
      <w:pPr>
        <w:tabs>
          <w:tab w:val="num" w:pos="520"/>
        </w:tabs>
        <w:ind w:left="520" w:hanging="520"/>
      </w:pPr>
      <w:rPr>
        <w:rFonts w:ascii="Symbol" w:hAnsi="Symbol" w:hint="default"/>
        <w:color w:val="E8F0FC" w:themeColor="accent5" w:themeTint="33"/>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1A65BA2"/>
    <w:multiLevelType w:val="hybridMultilevel"/>
    <w:tmpl w:val="895E65AC"/>
    <w:lvl w:ilvl="0" w:tplc="D9DEBA18">
      <w:start w:val="1"/>
      <w:numFmt w:val="decimal"/>
      <w:pStyle w:val="TabletextH1numbered"/>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4251B74"/>
    <w:multiLevelType w:val="hybridMultilevel"/>
    <w:tmpl w:val="E862A9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6C181079"/>
    <w:multiLevelType w:val="multilevel"/>
    <w:tmpl w:val="224C0B34"/>
    <w:lvl w:ilvl="0">
      <w:start w:val="1"/>
      <w:numFmt w:val="bullet"/>
      <w:pStyle w:val="TabletextBULLET"/>
      <w:lvlText w:val="•"/>
      <w:lvlJc w:val="left"/>
      <w:pPr>
        <w:ind w:left="284" w:hanging="284"/>
      </w:pPr>
      <w:rPr>
        <w:rFonts w:ascii="Times New Roman" w:hAnsi="Times New Roman" w:cs="Times New Roman" w:hint="default"/>
      </w:rPr>
    </w:lvl>
    <w:lvl w:ilvl="1">
      <w:start w:val="1"/>
      <w:numFmt w:val="bullet"/>
      <w:pStyle w:val="Dash"/>
      <w:lvlText w:val="–"/>
      <w:lvlJc w:val="left"/>
      <w:pPr>
        <w:ind w:left="568" w:hanging="284"/>
      </w:pPr>
      <w:rPr>
        <w:rFonts w:ascii="Times New Roman" w:hAnsi="Times New Roman" w:cs="Times New Roman" w:hint="default"/>
      </w:rPr>
    </w:lvl>
    <w:lvl w:ilvl="2">
      <w:start w:val="1"/>
      <w:numFmt w:val="bullet"/>
      <w:pStyle w:val="DoubleDo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9" w15:restartNumberingAfterBreak="0">
    <w:nsid w:val="6FD20B3E"/>
    <w:multiLevelType w:val="hybridMultilevel"/>
    <w:tmpl w:val="6B7CDCEE"/>
    <w:lvl w:ilvl="0" w:tplc="524C9E00">
      <w:start w:val="1"/>
      <w:numFmt w:val="bullet"/>
      <w:lvlText w:val=""/>
      <w:lvlJc w:val="left"/>
      <w:pPr>
        <w:ind w:left="360" w:hanging="360"/>
      </w:pPr>
      <w:rPr>
        <w:rFonts w:ascii="Wingdings" w:hAnsi="Wingdings" w:hint="default"/>
        <w:sz w:val="16"/>
        <w:szCs w:val="1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7CD670BD"/>
    <w:multiLevelType w:val="hybridMultilevel"/>
    <w:tmpl w:val="910E3D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7D6B5224"/>
    <w:multiLevelType w:val="multilevel"/>
    <w:tmpl w:val="DEF0474E"/>
    <w:name w:val="StandardBulletedList"/>
    <w:lvl w:ilvl="0">
      <w:start w:val="1"/>
      <w:numFmt w:val="bullet"/>
      <w:pStyle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5976713">
    <w:abstractNumId w:val="0"/>
  </w:num>
  <w:num w:numId="2" w16cid:durableId="1692296757">
    <w:abstractNumId w:val="9"/>
  </w:num>
  <w:num w:numId="3" w16cid:durableId="1074936635">
    <w:abstractNumId w:val="2"/>
  </w:num>
  <w:num w:numId="4" w16cid:durableId="727807357">
    <w:abstractNumId w:val="12"/>
  </w:num>
  <w:num w:numId="5" w16cid:durableId="1407609236">
    <w:abstractNumId w:val="4"/>
  </w:num>
  <w:num w:numId="6" w16cid:durableId="620185849">
    <w:abstractNumId w:val="5"/>
  </w:num>
  <w:num w:numId="7" w16cid:durableId="1849171897">
    <w:abstractNumId w:val="8"/>
  </w:num>
  <w:num w:numId="8" w16cid:durableId="1003094771">
    <w:abstractNumId w:val="7"/>
  </w:num>
  <w:num w:numId="9" w16cid:durableId="6757661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6228132">
    <w:abstractNumId w:val="13"/>
  </w:num>
  <w:num w:numId="11" w16cid:durableId="1208645369">
    <w:abstractNumId w:val="13"/>
  </w:num>
  <w:num w:numId="12" w16cid:durableId="1223103208">
    <w:abstractNumId w:val="1"/>
  </w:num>
  <w:num w:numId="13" w16cid:durableId="1017973052">
    <w:abstractNumId w:val="3"/>
  </w:num>
  <w:num w:numId="14" w16cid:durableId="1534227257">
    <w:abstractNumId w:val="18"/>
  </w:num>
  <w:num w:numId="15" w16cid:durableId="1950165085">
    <w:abstractNumId w:val="6"/>
  </w:num>
  <w:num w:numId="16" w16cid:durableId="694381213">
    <w:abstractNumId w:val="16"/>
  </w:num>
  <w:num w:numId="17" w16cid:durableId="747849372">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7321244">
    <w:abstractNumId w:val="19"/>
  </w:num>
  <w:num w:numId="19" w16cid:durableId="1059012894">
    <w:abstractNumId w:val="16"/>
    <w:lvlOverride w:ilvl="0">
      <w:startOverride w:val="1"/>
    </w:lvlOverride>
  </w:num>
  <w:num w:numId="20" w16cid:durableId="1633058068">
    <w:abstractNumId w:val="16"/>
  </w:num>
  <w:num w:numId="21" w16cid:durableId="1981110126">
    <w:abstractNumId w:val="16"/>
    <w:lvlOverride w:ilvl="0">
      <w:startOverride w:val="1"/>
    </w:lvlOverride>
  </w:num>
  <w:num w:numId="22" w16cid:durableId="2005930994">
    <w:abstractNumId w:val="16"/>
  </w:num>
  <w:num w:numId="23" w16cid:durableId="1828007908">
    <w:abstractNumId w:val="16"/>
  </w:num>
  <w:num w:numId="24" w16cid:durableId="485707292">
    <w:abstractNumId w:val="20"/>
  </w:num>
  <w:num w:numId="25" w16cid:durableId="749892813">
    <w:abstractNumId w:val="17"/>
  </w:num>
  <w:num w:numId="26" w16cid:durableId="1253507707">
    <w:abstractNumId w:val="11"/>
  </w:num>
  <w:num w:numId="27" w16cid:durableId="1760327765">
    <w:abstractNumId w:val="10"/>
  </w:num>
  <w:num w:numId="28" w16cid:durableId="19624080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F3"/>
    <w:rsid w:val="00000F17"/>
    <w:rsid w:val="00001226"/>
    <w:rsid w:val="00002305"/>
    <w:rsid w:val="00002EC0"/>
    <w:rsid w:val="00003162"/>
    <w:rsid w:val="00003399"/>
    <w:rsid w:val="000044A4"/>
    <w:rsid w:val="000045D6"/>
    <w:rsid w:val="00004BD0"/>
    <w:rsid w:val="000058E4"/>
    <w:rsid w:val="00005938"/>
    <w:rsid w:val="00005BA2"/>
    <w:rsid w:val="00005D9C"/>
    <w:rsid w:val="000063BD"/>
    <w:rsid w:val="0000653B"/>
    <w:rsid w:val="00006A18"/>
    <w:rsid w:val="00006C75"/>
    <w:rsid w:val="00007011"/>
    <w:rsid w:val="000078DE"/>
    <w:rsid w:val="00010610"/>
    <w:rsid w:val="00010EE1"/>
    <w:rsid w:val="0001126E"/>
    <w:rsid w:val="00011725"/>
    <w:rsid w:val="000118E3"/>
    <w:rsid w:val="00011C29"/>
    <w:rsid w:val="00011D02"/>
    <w:rsid w:val="000120F4"/>
    <w:rsid w:val="00012920"/>
    <w:rsid w:val="00012C62"/>
    <w:rsid w:val="00013922"/>
    <w:rsid w:val="0001396A"/>
    <w:rsid w:val="00013C23"/>
    <w:rsid w:val="000151C6"/>
    <w:rsid w:val="00015239"/>
    <w:rsid w:val="0001525D"/>
    <w:rsid w:val="000161BF"/>
    <w:rsid w:val="00016324"/>
    <w:rsid w:val="0001639F"/>
    <w:rsid w:val="000169C3"/>
    <w:rsid w:val="00016D74"/>
    <w:rsid w:val="00017522"/>
    <w:rsid w:val="00017AF4"/>
    <w:rsid w:val="00017C98"/>
    <w:rsid w:val="00020319"/>
    <w:rsid w:val="00020E8A"/>
    <w:rsid w:val="00021489"/>
    <w:rsid w:val="00021A7B"/>
    <w:rsid w:val="00022328"/>
    <w:rsid w:val="0002235B"/>
    <w:rsid w:val="000228BE"/>
    <w:rsid w:val="00023B56"/>
    <w:rsid w:val="000248EC"/>
    <w:rsid w:val="0002544D"/>
    <w:rsid w:val="00025B09"/>
    <w:rsid w:val="000260F4"/>
    <w:rsid w:val="00026128"/>
    <w:rsid w:val="00027520"/>
    <w:rsid w:val="00027634"/>
    <w:rsid w:val="0003084F"/>
    <w:rsid w:val="0003206C"/>
    <w:rsid w:val="0003293A"/>
    <w:rsid w:val="0003375F"/>
    <w:rsid w:val="00034962"/>
    <w:rsid w:val="0003512C"/>
    <w:rsid w:val="0003559B"/>
    <w:rsid w:val="000360BB"/>
    <w:rsid w:val="000363E3"/>
    <w:rsid w:val="00036572"/>
    <w:rsid w:val="0003770B"/>
    <w:rsid w:val="00037ADB"/>
    <w:rsid w:val="00037FB5"/>
    <w:rsid w:val="0004032B"/>
    <w:rsid w:val="00040663"/>
    <w:rsid w:val="0004152A"/>
    <w:rsid w:val="000417B1"/>
    <w:rsid w:val="00041AEF"/>
    <w:rsid w:val="00041CBF"/>
    <w:rsid w:val="000420F7"/>
    <w:rsid w:val="0004274D"/>
    <w:rsid w:val="00042D20"/>
    <w:rsid w:val="00043348"/>
    <w:rsid w:val="0004483F"/>
    <w:rsid w:val="00044EE7"/>
    <w:rsid w:val="00045C30"/>
    <w:rsid w:val="00045C51"/>
    <w:rsid w:val="000462F3"/>
    <w:rsid w:val="000463B5"/>
    <w:rsid w:val="00046CB4"/>
    <w:rsid w:val="00046EED"/>
    <w:rsid w:val="00047910"/>
    <w:rsid w:val="000503B4"/>
    <w:rsid w:val="0005138B"/>
    <w:rsid w:val="000522B7"/>
    <w:rsid w:val="000529E6"/>
    <w:rsid w:val="00052B36"/>
    <w:rsid w:val="00052EAA"/>
    <w:rsid w:val="00053717"/>
    <w:rsid w:val="000542EB"/>
    <w:rsid w:val="0005460F"/>
    <w:rsid w:val="00054897"/>
    <w:rsid w:val="000548C1"/>
    <w:rsid w:val="00054D83"/>
    <w:rsid w:val="00054DE4"/>
    <w:rsid w:val="00055114"/>
    <w:rsid w:val="00055562"/>
    <w:rsid w:val="00056880"/>
    <w:rsid w:val="000569D5"/>
    <w:rsid w:val="00056C1A"/>
    <w:rsid w:val="0005784B"/>
    <w:rsid w:val="00057BA3"/>
    <w:rsid w:val="00057C10"/>
    <w:rsid w:val="0006037D"/>
    <w:rsid w:val="0006101F"/>
    <w:rsid w:val="00061A50"/>
    <w:rsid w:val="0006379A"/>
    <w:rsid w:val="00066269"/>
    <w:rsid w:val="00066B2B"/>
    <w:rsid w:val="00066D3A"/>
    <w:rsid w:val="00066EAA"/>
    <w:rsid w:val="00066EC3"/>
    <w:rsid w:val="00067233"/>
    <w:rsid w:val="000675D1"/>
    <w:rsid w:val="00067628"/>
    <w:rsid w:val="00067E18"/>
    <w:rsid w:val="000700DE"/>
    <w:rsid w:val="000701F3"/>
    <w:rsid w:val="000702B4"/>
    <w:rsid w:val="00070345"/>
    <w:rsid w:val="000711AE"/>
    <w:rsid w:val="00072B4C"/>
    <w:rsid w:val="00073521"/>
    <w:rsid w:val="000737A2"/>
    <w:rsid w:val="00075058"/>
    <w:rsid w:val="00075835"/>
    <w:rsid w:val="0007617F"/>
    <w:rsid w:val="000775DE"/>
    <w:rsid w:val="00077DAC"/>
    <w:rsid w:val="00081356"/>
    <w:rsid w:val="000820CE"/>
    <w:rsid w:val="00082EC9"/>
    <w:rsid w:val="00083069"/>
    <w:rsid w:val="00083588"/>
    <w:rsid w:val="0008586E"/>
    <w:rsid w:val="00086009"/>
    <w:rsid w:val="000867B6"/>
    <w:rsid w:val="00086EB5"/>
    <w:rsid w:val="0008755B"/>
    <w:rsid w:val="00087674"/>
    <w:rsid w:val="00087FAF"/>
    <w:rsid w:val="00090217"/>
    <w:rsid w:val="0009048C"/>
    <w:rsid w:val="000916DD"/>
    <w:rsid w:val="000917BE"/>
    <w:rsid w:val="00091B1D"/>
    <w:rsid w:val="00091E8B"/>
    <w:rsid w:val="00092B62"/>
    <w:rsid w:val="00093B8F"/>
    <w:rsid w:val="00093E27"/>
    <w:rsid w:val="000945D4"/>
    <w:rsid w:val="00094B5D"/>
    <w:rsid w:val="00094E88"/>
    <w:rsid w:val="00095A92"/>
    <w:rsid w:val="000968BB"/>
    <w:rsid w:val="00096922"/>
    <w:rsid w:val="000A04B9"/>
    <w:rsid w:val="000A09E9"/>
    <w:rsid w:val="000A0C85"/>
    <w:rsid w:val="000A1080"/>
    <w:rsid w:val="000A1535"/>
    <w:rsid w:val="000A314F"/>
    <w:rsid w:val="000A3650"/>
    <w:rsid w:val="000A398F"/>
    <w:rsid w:val="000A5657"/>
    <w:rsid w:val="000A5D49"/>
    <w:rsid w:val="000A6052"/>
    <w:rsid w:val="000A607A"/>
    <w:rsid w:val="000A65BF"/>
    <w:rsid w:val="000A7199"/>
    <w:rsid w:val="000A7CDE"/>
    <w:rsid w:val="000B0474"/>
    <w:rsid w:val="000B093F"/>
    <w:rsid w:val="000B14B0"/>
    <w:rsid w:val="000B14B3"/>
    <w:rsid w:val="000B2246"/>
    <w:rsid w:val="000B279D"/>
    <w:rsid w:val="000B302A"/>
    <w:rsid w:val="000B30C3"/>
    <w:rsid w:val="000B31AB"/>
    <w:rsid w:val="000B3AAB"/>
    <w:rsid w:val="000B4DC0"/>
    <w:rsid w:val="000B55F1"/>
    <w:rsid w:val="000B6CCB"/>
    <w:rsid w:val="000B7E32"/>
    <w:rsid w:val="000C075A"/>
    <w:rsid w:val="000C101E"/>
    <w:rsid w:val="000C128C"/>
    <w:rsid w:val="000C16E5"/>
    <w:rsid w:val="000C1999"/>
    <w:rsid w:val="000C1AB6"/>
    <w:rsid w:val="000C1ABE"/>
    <w:rsid w:val="000C2397"/>
    <w:rsid w:val="000C2765"/>
    <w:rsid w:val="000C341D"/>
    <w:rsid w:val="000C400A"/>
    <w:rsid w:val="000C47B5"/>
    <w:rsid w:val="000C4ADA"/>
    <w:rsid w:val="000C571D"/>
    <w:rsid w:val="000C596B"/>
    <w:rsid w:val="000C5F40"/>
    <w:rsid w:val="000C72E2"/>
    <w:rsid w:val="000C73EF"/>
    <w:rsid w:val="000C75F8"/>
    <w:rsid w:val="000C794A"/>
    <w:rsid w:val="000D08CC"/>
    <w:rsid w:val="000D12ED"/>
    <w:rsid w:val="000D14B4"/>
    <w:rsid w:val="000D1DA6"/>
    <w:rsid w:val="000D1E70"/>
    <w:rsid w:val="000D27FE"/>
    <w:rsid w:val="000D32E9"/>
    <w:rsid w:val="000D3387"/>
    <w:rsid w:val="000D3A6C"/>
    <w:rsid w:val="000D3C31"/>
    <w:rsid w:val="000D4900"/>
    <w:rsid w:val="000D4FB6"/>
    <w:rsid w:val="000D50D6"/>
    <w:rsid w:val="000D58FB"/>
    <w:rsid w:val="000D6591"/>
    <w:rsid w:val="000D7FE5"/>
    <w:rsid w:val="000E0B74"/>
    <w:rsid w:val="000E0EC2"/>
    <w:rsid w:val="000E1ED5"/>
    <w:rsid w:val="000E28E0"/>
    <w:rsid w:val="000E3126"/>
    <w:rsid w:val="000E3670"/>
    <w:rsid w:val="000E39B4"/>
    <w:rsid w:val="000E3D8A"/>
    <w:rsid w:val="000E3DFB"/>
    <w:rsid w:val="000E448F"/>
    <w:rsid w:val="000E5466"/>
    <w:rsid w:val="000E6072"/>
    <w:rsid w:val="000E6527"/>
    <w:rsid w:val="000E6789"/>
    <w:rsid w:val="000E6A57"/>
    <w:rsid w:val="000E7196"/>
    <w:rsid w:val="000E71C3"/>
    <w:rsid w:val="000E7901"/>
    <w:rsid w:val="000F00E8"/>
    <w:rsid w:val="000F03BA"/>
    <w:rsid w:val="000F03F9"/>
    <w:rsid w:val="000F1160"/>
    <w:rsid w:val="000F12C9"/>
    <w:rsid w:val="000F23F1"/>
    <w:rsid w:val="000F2482"/>
    <w:rsid w:val="000F278D"/>
    <w:rsid w:val="000F319D"/>
    <w:rsid w:val="000F49D0"/>
    <w:rsid w:val="000F556D"/>
    <w:rsid w:val="000F6233"/>
    <w:rsid w:val="001000A2"/>
    <w:rsid w:val="001000DB"/>
    <w:rsid w:val="001004A4"/>
    <w:rsid w:val="001008C4"/>
    <w:rsid w:val="00100ADE"/>
    <w:rsid w:val="00100D45"/>
    <w:rsid w:val="001016DA"/>
    <w:rsid w:val="00101B36"/>
    <w:rsid w:val="0010238F"/>
    <w:rsid w:val="00102712"/>
    <w:rsid w:val="00102FED"/>
    <w:rsid w:val="0010300F"/>
    <w:rsid w:val="00104048"/>
    <w:rsid w:val="0010444A"/>
    <w:rsid w:val="001045CD"/>
    <w:rsid w:val="001069D9"/>
    <w:rsid w:val="00106DE4"/>
    <w:rsid w:val="00107260"/>
    <w:rsid w:val="0010768F"/>
    <w:rsid w:val="00110E50"/>
    <w:rsid w:val="00111339"/>
    <w:rsid w:val="0011141F"/>
    <w:rsid w:val="00112D3D"/>
    <w:rsid w:val="0011422C"/>
    <w:rsid w:val="001143AB"/>
    <w:rsid w:val="001143CF"/>
    <w:rsid w:val="00114CA9"/>
    <w:rsid w:val="00115073"/>
    <w:rsid w:val="00115590"/>
    <w:rsid w:val="0011562E"/>
    <w:rsid w:val="00115ACB"/>
    <w:rsid w:val="00115DBE"/>
    <w:rsid w:val="001162BB"/>
    <w:rsid w:val="001167D8"/>
    <w:rsid w:val="00116CE6"/>
    <w:rsid w:val="00116E33"/>
    <w:rsid w:val="00116EA2"/>
    <w:rsid w:val="001172DC"/>
    <w:rsid w:val="001203D8"/>
    <w:rsid w:val="00120601"/>
    <w:rsid w:val="00121561"/>
    <w:rsid w:val="0012203B"/>
    <w:rsid w:val="001224C3"/>
    <w:rsid w:val="001228E6"/>
    <w:rsid w:val="00122FE6"/>
    <w:rsid w:val="00123795"/>
    <w:rsid w:val="001241AB"/>
    <w:rsid w:val="00124485"/>
    <w:rsid w:val="00124B99"/>
    <w:rsid w:val="00124D1C"/>
    <w:rsid w:val="001263D9"/>
    <w:rsid w:val="001264C3"/>
    <w:rsid w:val="00126C8E"/>
    <w:rsid w:val="00127D51"/>
    <w:rsid w:val="00127DDD"/>
    <w:rsid w:val="00127ED8"/>
    <w:rsid w:val="00127FC8"/>
    <w:rsid w:val="00130256"/>
    <w:rsid w:val="00130340"/>
    <w:rsid w:val="00130B11"/>
    <w:rsid w:val="00131514"/>
    <w:rsid w:val="00131C8E"/>
    <w:rsid w:val="00131D05"/>
    <w:rsid w:val="00131DC3"/>
    <w:rsid w:val="00132C48"/>
    <w:rsid w:val="00132F51"/>
    <w:rsid w:val="00133643"/>
    <w:rsid w:val="001337BB"/>
    <w:rsid w:val="00133F6D"/>
    <w:rsid w:val="001355D9"/>
    <w:rsid w:val="00135E4C"/>
    <w:rsid w:val="00135F33"/>
    <w:rsid w:val="0013664D"/>
    <w:rsid w:val="0013694F"/>
    <w:rsid w:val="0013711F"/>
    <w:rsid w:val="001373F5"/>
    <w:rsid w:val="0013750D"/>
    <w:rsid w:val="0014056A"/>
    <w:rsid w:val="001408CE"/>
    <w:rsid w:val="00141E3E"/>
    <w:rsid w:val="00142E93"/>
    <w:rsid w:val="001438AE"/>
    <w:rsid w:val="001447FE"/>
    <w:rsid w:val="00144A8A"/>
    <w:rsid w:val="001451B5"/>
    <w:rsid w:val="00146441"/>
    <w:rsid w:val="00146D9F"/>
    <w:rsid w:val="00146F36"/>
    <w:rsid w:val="001475F5"/>
    <w:rsid w:val="00147943"/>
    <w:rsid w:val="00150D1A"/>
    <w:rsid w:val="001518AB"/>
    <w:rsid w:val="00151D57"/>
    <w:rsid w:val="001521F7"/>
    <w:rsid w:val="00152319"/>
    <w:rsid w:val="001524B9"/>
    <w:rsid w:val="00152B23"/>
    <w:rsid w:val="00154BEC"/>
    <w:rsid w:val="001557C4"/>
    <w:rsid w:val="00156F0D"/>
    <w:rsid w:val="001574C0"/>
    <w:rsid w:val="00157649"/>
    <w:rsid w:val="00157A3D"/>
    <w:rsid w:val="00157C24"/>
    <w:rsid w:val="001606CF"/>
    <w:rsid w:val="0016128D"/>
    <w:rsid w:val="001628E7"/>
    <w:rsid w:val="00162973"/>
    <w:rsid w:val="00162A93"/>
    <w:rsid w:val="00162B31"/>
    <w:rsid w:val="00162D1B"/>
    <w:rsid w:val="00163826"/>
    <w:rsid w:val="00163B23"/>
    <w:rsid w:val="00163C4D"/>
    <w:rsid w:val="00164599"/>
    <w:rsid w:val="0016550C"/>
    <w:rsid w:val="00165865"/>
    <w:rsid w:val="001662DA"/>
    <w:rsid w:val="001668E9"/>
    <w:rsid w:val="00166F13"/>
    <w:rsid w:val="00167F1D"/>
    <w:rsid w:val="0017089D"/>
    <w:rsid w:val="0017092D"/>
    <w:rsid w:val="00170937"/>
    <w:rsid w:val="001712D3"/>
    <w:rsid w:val="00171407"/>
    <w:rsid w:val="00171A85"/>
    <w:rsid w:val="001725BB"/>
    <w:rsid w:val="00172724"/>
    <w:rsid w:val="00172839"/>
    <w:rsid w:val="00172842"/>
    <w:rsid w:val="00172E63"/>
    <w:rsid w:val="001731E2"/>
    <w:rsid w:val="001733F3"/>
    <w:rsid w:val="0017355B"/>
    <w:rsid w:val="001738A3"/>
    <w:rsid w:val="001744B5"/>
    <w:rsid w:val="00175494"/>
    <w:rsid w:val="00175800"/>
    <w:rsid w:val="00176511"/>
    <w:rsid w:val="001769FD"/>
    <w:rsid w:val="001771B0"/>
    <w:rsid w:val="00177244"/>
    <w:rsid w:val="001775D0"/>
    <w:rsid w:val="001804E4"/>
    <w:rsid w:val="001805A8"/>
    <w:rsid w:val="0018078F"/>
    <w:rsid w:val="00180BAB"/>
    <w:rsid w:val="00181337"/>
    <w:rsid w:val="00181766"/>
    <w:rsid w:val="00182AA0"/>
    <w:rsid w:val="001831E5"/>
    <w:rsid w:val="001836A1"/>
    <w:rsid w:val="001836EA"/>
    <w:rsid w:val="0018386F"/>
    <w:rsid w:val="001838B1"/>
    <w:rsid w:val="00183FC2"/>
    <w:rsid w:val="001840A5"/>
    <w:rsid w:val="001844D1"/>
    <w:rsid w:val="00185271"/>
    <w:rsid w:val="0018622A"/>
    <w:rsid w:val="00186708"/>
    <w:rsid w:val="00186D2C"/>
    <w:rsid w:val="00187ED2"/>
    <w:rsid w:val="00190780"/>
    <w:rsid w:val="00190D59"/>
    <w:rsid w:val="00190FED"/>
    <w:rsid w:val="0019101A"/>
    <w:rsid w:val="00191D20"/>
    <w:rsid w:val="001920DD"/>
    <w:rsid w:val="001920DE"/>
    <w:rsid w:val="001925EB"/>
    <w:rsid w:val="00193D7D"/>
    <w:rsid w:val="001940A7"/>
    <w:rsid w:val="00195C8E"/>
    <w:rsid w:val="00196136"/>
    <w:rsid w:val="00196BB4"/>
    <w:rsid w:val="00196D5A"/>
    <w:rsid w:val="001972D2"/>
    <w:rsid w:val="00197CEB"/>
    <w:rsid w:val="00197E5B"/>
    <w:rsid w:val="001A06B1"/>
    <w:rsid w:val="001A07C5"/>
    <w:rsid w:val="001A0B79"/>
    <w:rsid w:val="001A3392"/>
    <w:rsid w:val="001A3A74"/>
    <w:rsid w:val="001A4189"/>
    <w:rsid w:val="001A43C5"/>
    <w:rsid w:val="001A445C"/>
    <w:rsid w:val="001A49D4"/>
    <w:rsid w:val="001A4C2D"/>
    <w:rsid w:val="001A4D73"/>
    <w:rsid w:val="001A531A"/>
    <w:rsid w:val="001A5DE7"/>
    <w:rsid w:val="001A6757"/>
    <w:rsid w:val="001A7295"/>
    <w:rsid w:val="001A7878"/>
    <w:rsid w:val="001B009D"/>
    <w:rsid w:val="001B034A"/>
    <w:rsid w:val="001B043D"/>
    <w:rsid w:val="001B04E4"/>
    <w:rsid w:val="001B1214"/>
    <w:rsid w:val="001B13BD"/>
    <w:rsid w:val="001B13D6"/>
    <w:rsid w:val="001B15F3"/>
    <w:rsid w:val="001B196F"/>
    <w:rsid w:val="001B215C"/>
    <w:rsid w:val="001B231B"/>
    <w:rsid w:val="001B25A0"/>
    <w:rsid w:val="001B2A74"/>
    <w:rsid w:val="001B3334"/>
    <w:rsid w:val="001B3358"/>
    <w:rsid w:val="001B39D0"/>
    <w:rsid w:val="001B4C8B"/>
    <w:rsid w:val="001B56DE"/>
    <w:rsid w:val="001B666F"/>
    <w:rsid w:val="001B7092"/>
    <w:rsid w:val="001B7263"/>
    <w:rsid w:val="001B7BF2"/>
    <w:rsid w:val="001B7E98"/>
    <w:rsid w:val="001B7EF3"/>
    <w:rsid w:val="001C01EB"/>
    <w:rsid w:val="001C0BDD"/>
    <w:rsid w:val="001C109C"/>
    <w:rsid w:val="001C1793"/>
    <w:rsid w:val="001C19C2"/>
    <w:rsid w:val="001C1C12"/>
    <w:rsid w:val="001C25D7"/>
    <w:rsid w:val="001C2B2E"/>
    <w:rsid w:val="001C2FCA"/>
    <w:rsid w:val="001C30C8"/>
    <w:rsid w:val="001C34B6"/>
    <w:rsid w:val="001C358D"/>
    <w:rsid w:val="001C393C"/>
    <w:rsid w:val="001C40A0"/>
    <w:rsid w:val="001C4546"/>
    <w:rsid w:val="001C48DA"/>
    <w:rsid w:val="001C5444"/>
    <w:rsid w:val="001C5743"/>
    <w:rsid w:val="001C5F3E"/>
    <w:rsid w:val="001C6011"/>
    <w:rsid w:val="001C62D1"/>
    <w:rsid w:val="001C66DF"/>
    <w:rsid w:val="001C6E0D"/>
    <w:rsid w:val="001C6E1A"/>
    <w:rsid w:val="001D04F4"/>
    <w:rsid w:val="001D0647"/>
    <w:rsid w:val="001D14D0"/>
    <w:rsid w:val="001D20BA"/>
    <w:rsid w:val="001D2245"/>
    <w:rsid w:val="001D274A"/>
    <w:rsid w:val="001D2860"/>
    <w:rsid w:val="001D2FA4"/>
    <w:rsid w:val="001D32DF"/>
    <w:rsid w:val="001D372D"/>
    <w:rsid w:val="001D3C3F"/>
    <w:rsid w:val="001D3F69"/>
    <w:rsid w:val="001D440B"/>
    <w:rsid w:val="001D4655"/>
    <w:rsid w:val="001D5658"/>
    <w:rsid w:val="001D5C15"/>
    <w:rsid w:val="001D62C4"/>
    <w:rsid w:val="001D68CE"/>
    <w:rsid w:val="001D7A91"/>
    <w:rsid w:val="001E0378"/>
    <w:rsid w:val="001E091F"/>
    <w:rsid w:val="001E0E9D"/>
    <w:rsid w:val="001E2917"/>
    <w:rsid w:val="001E2D45"/>
    <w:rsid w:val="001E2F43"/>
    <w:rsid w:val="001E313F"/>
    <w:rsid w:val="001E3F1F"/>
    <w:rsid w:val="001E3F2F"/>
    <w:rsid w:val="001E3F44"/>
    <w:rsid w:val="001E4977"/>
    <w:rsid w:val="001E500B"/>
    <w:rsid w:val="001E521C"/>
    <w:rsid w:val="001E5B70"/>
    <w:rsid w:val="001E5B78"/>
    <w:rsid w:val="001E5B9C"/>
    <w:rsid w:val="001E6BAA"/>
    <w:rsid w:val="001E6C62"/>
    <w:rsid w:val="001E6CFD"/>
    <w:rsid w:val="001E6DD6"/>
    <w:rsid w:val="001E70B9"/>
    <w:rsid w:val="001F0550"/>
    <w:rsid w:val="001F07CF"/>
    <w:rsid w:val="001F0928"/>
    <w:rsid w:val="001F15D9"/>
    <w:rsid w:val="001F1B27"/>
    <w:rsid w:val="001F22B4"/>
    <w:rsid w:val="001F2364"/>
    <w:rsid w:val="001F2BF0"/>
    <w:rsid w:val="001F3561"/>
    <w:rsid w:val="001F39E4"/>
    <w:rsid w:val="001F3BFF"/>
    <w:rsid w:val="001F5070"/>
    <w:rsid w:val="001F5398"/>
    <w:rsid w:val="001F5FF2"/>
    <w:rsid w:val="001F742F"/>
    <w:rsid w:val="001F74C6"/>
    <w:rsid w:val="001F7591"/>
    <w:rsid w:val="001F7BDE"/>
    <w:rsid w:val="00200201"/>
    <w:rsid w:val="0020026F"/>
    <w:rsid w:val="002007C1"/>
    <w:rsid w:val="00200FD8"/>
    <w:rsid w:val="00201447"/>
    <w:rsid w:val="00201C64"/>
    <w:rsid w:val="00201F04"/>
    <w:rsid w:val="0020262B"/>
    <w:rsid w:val="00202891"/>
    <w:rsid w:val="00202CAC"/>
    <w:rsid w:val="00202D98"/>
    <w:rsid w:val="00203602"/>
    <w:rsid w:val="00203F5A"/>
    <w:rsid w:val="00204550"/>
    <w:rsid w:val="00204BD8"/>
    <w:rsid w:val="00205CD4"/>
    <w:rsid w:val="00205F6C"/>
    <w:rsid w:val="00206006"/>
    <w:rsid w:val="002061FB"/>
    <w:rsid w:val="002068F9"/>
    <w:rsid w:val="00206C2E"/>
    <w:rsid w:val="00207361"/>
    <w:rsid w:val="0020761E"/>
    <w:rsid w:val="00207C8D"/>
    <w:rsid w:val="00210381"/>
    <w:rsid w:val="00210F4B"/>
    <w:rsid w:val="00211373"/>
    <w:rsid w:val="00212A0D"/>
    <w:rsid w:val="00212E25"/>
    <w:rsid w:val="00213352"/>
    <w:rsid w:val="00213AB5"/>
    <w:rsid w:val="002148D6"/>
    <w:rsid w:val="002154B3"/>
    <w:rsid w:val="00215945"/>
    <w:rsid w:val="00215B2D"/>
    <w:rsid w:val="00215B5D"/>
    <w:rsid w:val="00215C85"/>
    <w:rsid w:val="0021615A"/>
    <w:rsid w:val="00217475"/>
    <w:rsid w:val="00217C53"/>
    <w:rsid w:val="002202B0"/>
    <w:rsid w:val="0022035E"/>
    <w:rsid w:val="00220842"/>
    <w:rsid w:val="00220F05"/>
    <w:rsid w:val="002218F5"/>
    <w:rsid w:val="00221EC0"/>
    <w:rsid w:val="00221FE6"/>
    <w:rsid w:val="0022217A"/>
    <w:rsid w:val="0022290D"/>
    <w:rsid w:val="002232F6"/>
    <w:rsid w:val="00223D2B"/>
    <w:rsid w:val="00224050"/>
    <w:rsid w:val="00224C16"/>
    <w:rsid w:val="002260DD"/>
    <w:rsid w:val="00226419"/>
    <w:rsid w:val="00226B73"/>
    <w:rsid w:val="0022717C"/>
    <w:rsid w:val="0022796C"/>
    <w:rsid w:val="00230DD3"/>
    <w:rsid w:val="00230FC4"/>
    <w:rsid w:val="00231049"/>
    <w:rsid w:val="002314D2"/>
    <w:rsid w:val="00232242"/>
    <w:rsid w:val="00232F54"/>
    <w:rsid w:val="0023305C"/>
    <w:rsid w:val="0023333C"/>
    <w:rsid w:val="002335E7"/>
    <w:rsid w:val="00233A33"/>
    <w:rsid w:val="00234A7D"/>
    <w:rsid w:val="00235577"/>
    <w:rsid w:val="00235EB0"/>
    <w:rsid w:val="0023634A"/>
    <w:rsid w:val="002365FB"/>
    <w:rsid w:val="00236CF7"/>
    <w:rsid w:val="00236F23"/>
    <w:rsid w:val="00237030"/>
    <w:rsid w:val="002370F4"/>
    <w:rsid w:val="002404F0"/>
    <w:rsid w:val="00240CF4"/>
    <w:rsid w:val="00241089"/>
    <w:rsid w:val="002410C1"/>
    <w:rsid w:val="00241881"/>
    <w:rsid w:val="00241FF0"/>
    <w:rsid w:val="0024294C"/>
    <w:rsid w:val="00243573"/>
    <w:rsid w:val="0024444A"/>
    <w:rsid w:val="002444DE"/>
    <w:rsid w:val="002444E5"/>
    <w:rsid w:val="00245109"/>
    <w:rsid w:val="00245456"/>
    <w:rsid w:val="0024559A"/>
    <w:rsid w:val="0024585E"/>
    <w:rsid w:val="002461BA"/>
    <w:rsid w:val="00247D44"/>
    <w:rsid w:val="002501BE"/>
    <w:rsid w:val="0025101E"/>
    <w:rsid w:val="00251265"/>
    <w:rsid w:val="002514F4"/>
    <w:rsid w:val="00251F2B"/>
    <w:rsid w:val="0025290D"/>
    <w:rsid w:val="00252B5B"/>
    <w:rsid w:val="00252CD0"/>
    <w:rsid w:val="00252ED4"/>
    <w:rsid w:val="00253137"/>
    <w:rsid w:val="00253286"/>
    <w:rsid w:val="002532F2"/>
    <w:rsid w:val="00253538"/>
    <w:rsid w:val="00254368"/>
    <w:rsid w:val="002543D8"/>
    <w:rsid w:val="002544E9"/>
    <w:rsid w:val="00254E61"/>
    <w:rsid w:val="002555AB"/>
    <w:rsid w:val="00255612"/>
    <w:rsid w:val="002557F9"/>
    <w:rsid w:val="00255991"/>
    <w:rsid w:val="00255BE4"/>
    <w:rsid w:val="0025652F"/>
    <w:rsid w:val="00257121"/>
    <w:rsid w:val="0025761F"/>
    <w:rsid w:val="00257DF2"/>
    <w:rsid w:val="002602F2"/>
    <w:rsid w:val="00260BF0"/>
    <w:rsid w:val="00261895"/>
    <w:rsid w:val="00261968"/>
    <w:rsid w:val="00261BCE"/>
    <w:rsid w:val="0026269B"/>
    <w:rsid w:val="00262DBB"/>
    <w:rsid w:val="00263B6C"/>
    <w:rsid w:val="00263D72"/>
    <w:rsid w:val="002641C7"/>
    <w:rsid w:val="00264DF9"/>
    <w:rsid w:val="00264F42"/>
    <w:rsid w:val="00264FC3"/>
    <w:rsid w:val="00265133"/>
    <w:rsid w:val="0026555B"/>
    <w:rsid w:val="002666EC"/>
    <w:rsid w:val="002671F7"/>
    <w:rsid w:val="0027032F"/>
    <w:rsid w:val="00270407"/>
    <w:rsid w:val="00270E19"/>
    <w:rsid w:val="00271377"/>
    <w:rsid w:val="00271885"/>
    <w:rsid w:val="002719A3"/>
    <w:rsid w:val="00271CAF"/>
    <w:rsid w:val="00272939"/>
    <w:rsid w:val="002737EA"/>
    <w:rsid w:val="0027400B"/>
    <w:rsid w:val="00274382"/>
    <w:rsid w:val="002744D8"/>
    <w:rsid w:val="00274912"/>
    <w:rsid w:val="002749A1"/>
    <w:rsid w:val="00274B2B"/>
    <w:rsid w:val="0027514D"/>
    <w:rsid w:val="0027590B"/>
    <w:rsid w:val="00275E80"/>
    <w:rsid w:val="00276341"/>
    <w:rsid w:val="002769B5"/>
    <w:rsid w:val="00277827"/>
    <w:rsid w:val="00277BC6"/>
    <w:rsid w:val="00280B92"/>
    <w:rsid w:val="00280C27"/>
    <w:rsid w:val="00281178"/>
    <w:rsid w:val="00281304"/>
    <w:rsid w:val="0028138B"/>
    <w:rsid w:val="0028196C"/>
    <w:rsid w:val="002821F3"/>
    <w:rsid w:val="00282B7C"/>
    <w:rsid w:val="00283F2D"/>
    <w:rsid w:val="00285969"/>
    <w:rsid w:val="002860DC"/>
    <w:rsid w:val="00286980"/>
    <w:rsid w:val="00290A7C"/>
    <w:rsid w:val="00291AA4"/>
    <w:rsid w:val="00291D84"/>
    <w:rsid w:val="002927F8"/>
    <w:rsid w:val="00292FC8"/>
    <w:rsid w:val="00294249"/>
    <w:rsid w:val="00294CE7"/>
    <w:rsid w:val="00294E3E"/>
    <w:rsid w:val="00295944"/>
    <w:rsid w:val="00295B30"/>
    <w:rsid w:val="002972D0"/>
    <w:rsid w:val="002975F5"/>
    <w:rsid w:val="002A030A"/>
    <w:rsid w:val="002A089B"/>
    <w:rsid w:val="002A0C03"/>
    <w:rsid w:val="002A2494"/>
    <w:rsid w:val="002A26C1"/>
    <w:rsid w:val="002A26D2"/>
    <w:rsid w:val="002A36DF"/>
    <w:rsid w:val="002A43F4"/>
    <w:rsid w:val="002A4A93"/>
    <w:rsid w:val="002A54D3"/>
    <w:rsid w:val="002A56AF"/>
    <w:rsid w:val="002A6722"/>
    <w:rsid w:val="002A6E2D"/>
    <w:rsid w:val="002A6FDB"/>
    <w:rsid w:val="002A74EF"/>
    <w:rsid w:val="002A7A31"/>
    <w:rsid w:val="002A7C38"/>
    <w:rsid w:val="002A7EF1"/>
    <w:rsid w:val="002B0948"/>
    <w:rsid w:val="002B1462"/>
    <w:rsid w:val="002B1991"/>
    <w:rsid w:val="002B1B4F"/>
    <w:rsid w:val="002B1D1C"/>
    <w:rsid w:val="002B22C5"/>
    <w:rsid w:val="002B2C10"/>
    <w:rsid w:val="002B2D43"/>
    <w:rsid w:val="002B3503"/>
    <w:rsid w:val="002B3829"/>
    <w:rsid w:val="002B386B"/>
    <w:rsid w:val="002B3F74"/>
    <w:rsid w:val="002B4299"/>
    <w:rsid w:val="002B4502"/>
    <w:rsid w:val="002B4ACD"/>
    <w:rsid w:val="002B4D7F"/>
    <w:rsid w:val="002B57BE"/>
    <w:rsid w:val="002B5FF2"/>
    <w:rsid w:val="002B63E9"/>
    <w:rsid w:val="002B64A9"/>
    <w:rsid w:val="002B7130"/>
    <w:rsid w:val="002B7C38"/>
    <w:rsid w:val="002C04B6"/>
    <w:rsid w:val="002C09C6"/>
    <w:rsid w:val="002C09FF"/>
    <w:rsid w:val="002C1205"/>
    <w:rsid w:val="002C13CD"/>
    <w:rsid w:val="002C175B"/>
    <w:rsid w:val="002C2055"/>
    <w:rsid w:val="002C20F0"/>
    <w:rsid w:val="002C22EF"/>
    <w:rsid w:val="002C3B41"/>
    <w:rsid w:val="002C3D0B"/>
    <w:rsid w:val="002C44DB"/>
    <w:rsid w:val="002C4DD9"/>
    <w:rsid w:val="002C5328"/>
    <w:rsid w:val="002C5F12"/>
    <w:rsid w:val="002C713C"/>
    <w:rsid w:val="002C7BB3"/>
    <w:rsid w:val="002C7E3A"/>
    <w:rsid w:val="002D06C7"/>
    <w:rsid w:val="002D1399"/>
    <w:rsid w:val="002D1D30"/>
    <w:rsid w:val="002D1E45"/>
    <w:rsid w:val="002D2057"/>
    <w:rsid w:val="002D2CB9"/>
    <w:rsid w:val="002D2DE0"/>
    <w:rsid w:val="002D355F"/>
    <w:rsid w:val="002D49C7"/>
    <w:rsid w:val="002D566B"/>
    <w:rsid w:val="002D598A"/>
    <w:rsid w:val="002D5CE9"/>
    <w:rsid w:val="002D5D9E"/>
    <w:rsid w:val="002D5EE7"/>
    <w:rsid w:val="002D7856"/>
    <w:rsid w:val="002E08C8"/>
    <w:rsid w:val="002E0904"/>
    <w:rsid w:val="002E1FB6"/>
    <w:rsid w:val="002E281A"/>
    <w:rsid w:val="002E2A68"/>
    <w:rsid w:val="002E2DAC"/>
    <w:rsid w:val="002E3183"/>
    <w:rsid w:val="002E34EA"/>
    <w:rsid w:val="002E37E3"/>
    <w:rsid w:val="002E3DEB"/>
    <w:rsid w:val="002E3F8A"/>
    <w:rsid w:val="002E454C"/>
    <w:rsid w:val="002E61AD"/>
    <w:rsid w:val="002E62F0"/>
    <w:rsid w:val="002E72F3"/>
    <w:rsid w:val="002E754E"/>
    <w:rsid w:val="002F073C"/>
    <w:rsid w:val="002F1A91"/>
    <w:rsid w:val="002F1DC4"/>
    <w:rsid w:val="002F224C"/>
    <w:rsid w:val="002F2A16"/>
    <w:rsid w:val="002F30FA"/>
    <w:rsid w:val="002F34DC"/>
    <w:rsid w:val="002F5190"/>
    <w:rsid w:val="002F5213"/>
    <w:rsid w:val="002F617F"/>
    <w:rsid w:val="002F64F2"/>
    <w:rsid w:val="002F72E4"/>
    <w:rsid w:val="002F7740"/>
    <w:rsid w:val="00300109"/>
    <w:rsid w:val="00301594"/>
    <w:rsid w:val="0030163E"/>
    <w:rsid w:val="00301755"/>
    <w:rsid w:val="003021E4"/>
    <w:rsid w:val="003024E8"/>
    <w:rsid w:val="003025B9"/>
    <w:rsid w:val="0030278B"/>
    <w:rsid w:val="003028A7"/>
    <w:rsid w:val="0030293D"/>
    <w:rsid w:val="00302A7D"/>
    <w:rsid w:val="00303115"/>
    <w:rsid w:val="003031F8"/>
    <w:rsid w:val="00303AD0"/>
    <w:rsid w:val="00303C47"/>
    <w:rsid w:val="0030406C"/>
    <w:rsid w:val="0030468E"/>
    <w:rsid w:val="00304EFA"/>
    <w:rsid w:val="0030521B"/>
    <w:rsid w:val="0030556E"/>
    <w:rsid w:val="00305608"/>
    <w:rsid w:val="00305B0C"/>
    <w:rsid w:val="0030601D"/>
    <w:rsid w:val="0030665E"/>
    <w:rsid w:val="00306894"/>
    <w:rsid w:val="00306D3A"/>
    <w:rsid w:val="00306F9E"/>
    <w:rsid w:val="00307A41"/>
    <w:rsid w:val="003100C4"/>
    <w:rsid w:val="00310472"/>
    <w:rsid w:val="003105BD"/>
    <w:rsid w:val="0031080E"/>
    <w:rsid w:val="00310AB4"/>
    <w:rsid w:val="00310CD4"/>
    <w:rsid w:val="003116F1"/>
    <w:rsid w:val="003122F4"/>
    <w:rsid w:val="00312BBE"/>
    <w:rsid w:val="00312BC5"/>
    <w:rsid w:val="00312FE3"/>
    <w:rsid w:val="00313209"/>
    <w:rsid w:val="00313327"/>
    <w:rsid w:val="00315412"/>
    <w:rsid w:val="00316B1B"/>
    <w:rsid w:val="0032111D"/>
    <w:rsid w:val="00321BCA"/>
    <w:rsid w:val="00321FB4"/>
    <w:rsid w:val="00322446"/>
    <w:rsid w:val="00322CA0"/>
    <w:rsid w:val="003232FD"/>
    <w:rsid w:val="003237CE"/>
    <w:rsid w:val="003245C9"/>
    <w:rsid w:val="00324965"/>
    <w:rsid w:val="0032497D"/>
    <w:rsid w:val="00326106"/>
    <w:rsid w:val="003268D5"/>
    <w:rsid w:val="00326E3E"/>
    <w:rsid w:val="00327DF2"/>
    <w:rsid w:val="00327E7C"/>
    <w:rsid w:val="00330046"/>
    <w:rsid w:val="00331796"/>
    <w:rsid w:val="00331D94"/>
    <w:rsid w:val="00331F06"/>
    <w:rsid w:val="0033304B"/>
    <w:rsid w:val="003332EE"/>
    <w:rsid w:val="003338B4"/>
    <w:rsid w:val="003349A0"/>
    <w:rsid w:val="00334AE7"/>
    <w:rsid w:val="0033595A"/>
    <w:rsid w:val="00336123"/>
    <w:rsid w:val="0033633C"/>
    <w:rsid w:val="003365C8"/>
    <w:rsid w:val="00336B49"/>
    <w:rsid w:val="003372DA"/>
    <w:rsid w:val="0033755F"/>
    <w:rsid w:val="003375A7"/>
    <w:rsid w:val="003404B4"/>
    <w:rsid w:val="003410A8"/>
    <w:rsid w:val="00341205"/>
    <w:rsid w:val="00341334"/>
    <w:rsid w:val="00342901"/>
    <w:rsid w:val="00342E79"/>
    <w:rsid w:val="003439F4"/>
    <w:rsid w:val="00344165"/>
    <w:rsid w:val="003448F6"/>
    <w:rsid w:val="0034492A"/>
    <w:rsid w:val="00344D0A"/>
    <w:rsid w:val="0034518F"/>
    <w:rsid w:val="00345430"/>
    <w:rsid w:val="003462C5"/>
    <w:rsid w:val="00346C5D"/>
    <w:rsid w:val="003472D8"/>
    <w:rsid w:val="003503CE"/>
    <w:rsid w:val="003503E0"/>
    <w:rsid w:val="00350682"/>
    <w:rsid w:val="00350739"/>
    <w:rsid w:val="00350759"/>
    <w:rsid w:val="00350D6D"/>
    <w:rsid w:val="00351562"/>
    <w:rsid w:val="003516D9"/>
    <w:rsid w:val="00351C9B"/>
    <w:rsid w:val="003525D5"/>
    <w:rsid w:val="00352B1D"/>
    <w:rsid w:val="00353232"/>
    <w:rsid w:val="0035397A"/>
    <w:rsid w:val="00354240"/>
    <w:rsid w:val="00354D27"/>
    <w:rsid w:val="0035581A"/>
    <w:rsid w:val="00355AFF"/>
    <w:rsid w:val="00356C9E"/>
    <w:rsid w:val="003572A5"/>
    <w:rsid w:val="0035738A"/>
    <w:rsid w:val="00357DC5"/>
    <w:rsid w:val="00360003"/>
    <w:rsid w:val="00360B11"/>
    <w:rsid w:val="0036147B"/>
    <w:rsid w:val="003624B1"/>
    <w:rsid w:val="00362BA8"/>
    <w:rsid w:val="00362EE1"/>
    <w:rsid w:val="00363230"/>
    <w:rsid w:val="00363BBB"/>
    <w:rsid w:val="00363C59"/>
    <w:rsid w:val="00363EF3"/>
    <w:rsid w:val="00364D47"/>
    <w:rsid w:val="00365535"/>
    <w:rsid w:val="0036572A"/>
    <w:rsid w:val="00365E18"/>
    <w:rsid w:val="00366B47"/>
    <w:rsid w:val="00366FA9"/>
    <w:rsid w:val="0036727B"/>
    <w:rsid w:val="0036760D"/>
    <w:rsid w:val="003677CE"/>
    <w:rsid w:val="003700BF"/>
    <w:rsid w:val="003713D9"/>
    <w:rsid w:val="00371594"/>
    <w:rsid w:val="00371E1C"/>
    <w:rsid w:val="00372814"/>
    <w:rsid w:val="00373B01"/>
    <w:rsid w:val="003749F4"/>
    <w:rsid w:val="00375655"/>
    <w:rsid w:val="00375EB4"/>
    <w:rsid w:val="00376F58"/>
    <w:rsid w:val="00377027"/>
    <w:rsid w:val="00377753"/>
    <w:rsid w:val="003779D7"/>
    <w:rsid w:val="00377EDC"/>
    <w:rsid w:val="003800C2"/>
    <w:rsid w:val="00380245"/>
    <w:rsid w:val="003804EB"/>
    <w:rsid w:val="00381989"/>
    <w:rsid w:val="003819D5"/>
    <w:rsid w:val="00381EA3"/>
    <w:rsid w:val="0038282E"/>
    <w:rsid w:val="00383185"/>
    <w:rsid w:val="003857FD"/>
    <w:rsid w:val="003858A6"/>
    <w:rsid w:val="003860D6"/>
    <w:rsid w:val="003862AC"/>
    <w:rsid w:val="00386AA1"/>
    <w:rsid w:val="00386AB3"/>
    <w:rsid w:val="00386AC0"/>
    <w:rsid w:val="00386F17"/>
    <w:rsid w:val="00386F50"/>
    <w:rsid w:val="003878B7"/>
    <w:rsid w:val="00390959"/>
    <w:rsid w:val="00390F8D"/>
    <w:rsid w:val="00391D54"/>
    <w:rsid w:val="00392586"/>
    <w:rsid w:val="00392DCC"/>
    <w:rsid w:val="00392E69"/>
    <w:rsid w:val="0039344B"/>
    <w:rsid w:val="003936E5"/>
    <w:rsid w:val="0039375B"/>
    <w:rsid w:val="0039381E"/>
    <w:rsid w:val="003939E3"/>
    <w:rsid w:val="00394B29"/>
    <w:rsid w:val="00395180"/>
    <w:rsid w:val="00395699"/>
    <w:rsid w:val="0039652C"/>
    <w:rsid w:val="00396A9F"/>
    <w:rsid w:val="00396BE6"/>
    <w:rsid w:val="0039747F"/>
    <w:rsid w:val="00397BB5"/>
    <w:rsid w:val="003A1246"/>
    <w:rsid w:val="003A1CC2"/>
    <w:rsid w:val="003A1FB9"/>
    <w:rsid w:val="003A2413"/>
    <w:rsid w:val="003A2DBF"/>
    <w:rsid w:val="003A495B"/>
    <w:rsid w:val="003A4C8A"/>
    <w:rsid w:val="003A58FA"/>
    <w:rsid w:val="003A5B36"/>
    <w:rsid w:val="003A6DB2"/>
    <w:rsid w:val="003A74EE"/>
    <w:rsid w:val="003A7664"/>
    <w:rsid w:val="003A7FFB"/>
    <w:rsid w:val="003B04E2"/>
    <w:rsid w:val="003B0E68"/>
    <w:rsid w:val="003B0EDE"/>
    <w:rsid w:val="003B1194"/>
    <w:rsid w:val="003B129B"/>
    <w:rsid w:val="003B1331"/>
    <w:rsid w:val="003B15EB"/>
    <w:rsid w:val="003B1C42"/>
    <w:rsid w:val="003B2BB1"/>
    <w:rsid w:val="003B30C6"/>
    <w:rsid w:val="003B3F10"/>
    <w:rsid w:val="003B438F"/>
    <w:rsid w:val="003B4761"/>
    <w:rsid w:val="003B4884"/>
    <w:rsid w:val="003B5148"/>
    <w:rsid w:val="003B5D21"/>
    <w:rsid w:val="003B7F84"/>
    <w:rsid w:val="003C1012"/>
    <w:rsid w:val="003C1710"/>
    <w:rsid w:val="003C1B8A"/>
    <w:rsid w:val="003C24B4"/>
    <w:rsid w:val="003C29A4"/>
    <w:rsid w:val="003C359E"/>
    <w:rsid w:val="003C46E9"/>
    <w:rsid w:val="003C4739"/>
    <w:rsid w:val="003C4FA0"/>
    <w:rsid w:val="003C5496"/>
    <w:rsid w:val="003C68FA"/>
    <w:rsid w:val="003C77F7"/>
    <w:rsid w:val="003C7A9A"/>
    <w:rsid w:val="003D0FBA"/>
    <w:rsid w:val="003D110D"/>
    <w:rsid w:val="003D14E1"/>
    <w:rsid w:val="003D19CA"/>
    <w:rsid w:val="003D1F6C"/>
    <w:rsid w:val="003D293A"/>
    <w:rsid w:val="003D3AD2"/>
    <w:rsid w:val="003D40C1"/>
    <w:rsid w:val="003D434B"/>
    <w:rsid w:val="003D4DFA"/>
    <w:rsid w:val="003D50A8"/>
    <w:rsid w:val="003D519C"/>
    <w:rsid w:val="003D5530"/>
    <w:rsid w:val="003D5F37"/>
    <w:rsid w:val="003D6471"/>
    <w:rsid w:val="003D6A37"/>
    <w:rsid w:val="003D6DF1"/>
    <w:rsid w:val="003D73B2"/>
    <w:rsid w:val="003D7466"/>
    <w:rsid w:val="003D75CC"/>
    <w:rsid w:val="003E02CB"/>
    <w:rsid w:val="003E04C5"/>
    <w:rsid w:val="003E1412"/>
    <w:rsid w:val="003E167F"/>
    <w:rsid w:val="003E20D6"/>
    <w:rsid w:val="003E22F0"/>
    <w:rsid w:val="003E37AD"/>
    <w:rsid w:val="003E3915"/>
    <w:rsid w:val="003E452E"/>
    <w:rsid w:val="003E4D87"/>
    <w:rsid w:val="003E4E86"/>
    <w:rsid w:val="003E4EA5"/>
    <w:rsid w:val="003F00D9"/>
    <w:rsid w:val="003F1783"/>
    <w:rsid w:val="003F314F"/>
    <w:rsid w:val="003F3233"/>
    <w:rsid w:val="003F35A1"/>
    <w:rsid w:val="003F46FA"/>
    <w:rsid w:val="003F4EF0"/>
    <w:rsid w:val="003F59B5"/>
    <w:rsid w:val="003F5A29"/>
    <w:rsid w:val="003F6055"/>
    <w:rsid w:val="003F6142"/>
    <w:rsid w:val="003F79EE"/>
    <w:rsid w:val="00401082"/>
    <w:rsid w:val="0040197F"/>
    <w:rsid w:val="00402968"/>
    <w:rsid w:val="00402C10"/>
    <w:rsid w:val="004045C5"/>
    <w:rsid w:val="004050B9"/>
    <w:rsid w:val="00405F53"/>
    <w:rsid w:val="00406637"/>
    <w:rsid w:val="00406B73"/>
    <w:rsid w:val="00406DC6"/>
    <w:rsid w:val="0040726D"/>
    <w:rsid w:val="00410819"/>
    <w:rsid w:val="0041086C"/>
    <w:rsid w:val="0041096A"/>
    <w:rsid w:val="00411349"/>
    <w:rsid w:val="0041167F"/>
    <w:rsid w:val="00411E57"/>
    <w:rsid w:val="00412366"/>
    <w:rsid w:val="0041253B"/>
    <w:rsid w:val="004127F7"/>
    <w:rsid w:val="00412AB8"/>
    <w:rsid w:val="00412BB2"/>
    <w:rsid w:val="00413271"/>
    <w:rsid w:val="00413687"/>
    <w:rsid w:val="004138DE"/>
    <w:rsid w:val="00413BCE"/>
    <w:rsid w:val="00413D98"/>
    <w:rsid w:val="00414085"/>
    <w:rsid w:val="004143AF"/>
    <w:rsid w:val="0041446D"/>
    <w:rsid w:val="00414E0F"/>
    <w:rsid w:val="0041573A"/>
    <w:rsid w:val="00416261"/>
    <w:rsid w:val="00416622"/>
    <w:rsid w:val="00416762"/>
    <w:rsid w:val="004168BF"/>
    <w:rsid w:val="00416E55"/>
    <w:rsid w:val="00417069"/>
    <w:rsid w:val="00420809"/>
    <w:rsid w:val="0042092B"/>
    <w:rsid w:val="004217BA"/>
    <w:rsid w:val="00421955"/>
    <w:rsid w:val="00421A51"/>
    <w:rsid w:val="00422675"/>
    <w:rsid w:val="0042316E"/>
    <w:rsid w:val="00423A5C"/>
    <w:rsid w:val="004247D3"/>
    <w:rsid w:val="00424FF9"/>
    <w:rsid w:val="0042518A"/>
    <w:rsid w:val="00425448"/>
    <w:rsid w:val="00425562"/>
    <w:rsid w:val="00425B2E"/>
    <w:rsid w:val="00425EAA"/>
    <w:rsid w:val="004265CD"/>
    <w:rsid w:val="00426A5F"/>
    <w:rsid w:val="00426E8F"/>
    <w:rsid w:val="00426F7F"/>
    <w:rsid w:val="00427014"/>
    <w:rsid w:val="00427291"/>
    <w:rsid w:val="004276A0"/>
    <w:rsid w:val="0043037F"/>
    <w:rsid w:val="004304D2"/>
    <w:rsid w:val="00430A9B"/>
    <w:rsid w:val="00430BC1"/>
    <w:rsid w:val="00430C9C"/>
    <w:rsid w:val="00430D1E"/>
    <w:rsid w:val="00430D38"/>
    <w:rsid w:val="00431422"/>
    <w:rsid w:val="00432C46"/>
    <w:rsid w:val="004330CD"/>
    <w:rsid w:val="004334B9"/>
    <w:rsid w:val="00433E5B"/>
    <w:rsid w:val="00434376"/>
    <w:rsid w:val="004346C3"/>
    <w:rsid w:val="00434A8E"/>
    <w:rsid w:val="00434D57"/>
    <w:rsid w:val="00435471"/>
    <w:rsid w:val="00436685"/>
    <w:rsid w:val="00440140"/>
    <w:rsid w:val="00440376"/>
    <w:rsid w:val="004403DA"/>
    <w:rsid w:val="00440456"/>
    <w:rsid w:val="00440C5D"/>
    <w:rsid w:val="004412F3"/>
    <w:rsid w:val="00441A0A"/>
    <w:rsid w:val="00442886"/>
    <w:rsid w:val="00444612"/>
    <w:rsid w:val="00444A63"/>
    <w:rsid w:val="00444B19"/>
    <w:rsid w:val="00444FF6"/>
    <w:rsid w:val="00445265"/>
    <w:rsid w:val="00445B93"/>
    <w:rsid w:val="00445DF9"/>
    <w:rsid w:val="0044631C"/>
    <w:rsid w:val="0044699D"/>
    <w:rsid w:val="00446AA7"/>
    <w:rsid w:val="00446B12"/>
    <w:rsid w:val="004473B4"/>
    <w:rsid w:val="00447C37"/>
    <w:rsid w:val="00447DB8"/>
    <w:rsid w:val="00447E6F"/>
    <w:rsid w:val="00450297"/>
    <w:rsid w:val="004503F7"/>
    <w:rsid w:val="00450A9F"/>
    <w:rsid w:val="00450C06"/>
    <w:rsid w:val="00450E89"/>
    <w:rsid w:val="00451BD8"/>
    <w:rsid w:val="00452707"/>
    <w:rsid w:val="00452899"/>
    <w:rsid w:val="00452B47"/>
    <w:rsid w:val="00453FB8"/>
    <w:rsid w:val="0045411F"/>
    <w:rsid w:val="00455318"/>
    <w:rsid w:val="004557AE"/>
    <w:rsid w:val="004559CE"/>
    <w:rsid w:val="00455F35"/>
    <w:rsid w:val="004563DD"/>
    <w:rsid w:val="004564A8"/>
    <w:rsid w:val="0045652B"/>
    <w:rsid w:val="00456FAF"/>
    <w:rsid w:val="0045732C"/>
    <w:rsid w:val="004575A0"/>
    <w:rsid w:val="0045786A"/>
    <w:rsid w:val="004603FC"/>
    <w:rsid w:val="0046048E"/>
    <w:rsid w:val="004605D5"/>
    <w:rsid w:val="00460E1A"/>
    <w:rsid w:val="00460FA4"/>
    <w:rsid w:val="00461642"/>
    <w:rsid w:val="00461C25"/>
    <w:rsid w:val="00462BBC"/>
    <w:rsid w:val="0046319A"/>
    <w:rsid w:val="00463DF8"/>
    <w:rsid w:val="0046490A"/>
    <w:rsid w:val="00465DEA"/>
    <w:rsid w:val="004669B5"/>
    <w:rsid w:val="00466AC2"/>
    <w:rsid w:val="00467619"/>
    <w:rsid w:val="00467F9F"/>
    <w:rsid w:val="0047055A"/>
    <w:rsid w:val="0047121A"/>
    <w:rsid w:val="004713AE"/>
    <w:rsid w:val="004717D9"/>
    <w:rsid w:val="004718C7"/>
    <w:rsid w:val="00472183"/>
    <w:rsid w:val="00472A13"/>
    <w:rsid w:val="00472D66"/>
    <w:rsid w:val="0047402C"/>
    <w:rsid w:val="0047431D"/>
    <w:rsid w:val="00474B7A"/>
    <w:rsid w:val="00475085"/>
    <w:rsid w:val="00475227"/>
    <w:rsid w:val="00476CF6"/>
    <w:rsid w:val="00476E1E"/>
    <w:rsid w:val="00477AA8"/>
    <w:rsid w:val="00477BC1"/>
    <w:rsid w:val="00480332"/>
    <w:rsid w:val="004813F6"/>
    <w:rsid w:val="00482516"/>
    <w:rsid w:val="00482C0C"/>
    <w:rsid w:val="00482CF4"/>
    <w:rsid w:val="00482EC8"/>
    <w:rsid w:val="0048339B"/>
    <w:rsid w:val="00484796"/>
    <w:rsid w:val="00484BA0"/>
    <w:rsid w:val="00484FAD"/>
    <w:rsid w:val="004852CD"/>
    <w:rsid w:val="00485358"/>
    <w:rsid w:val="004854AB"/>
    <w:rsid w:val="00485612"/>
    <w:rsid w:val="00486C2E"/>
    <w:rsid w:val="004872B3"/>
    <w:rsid w:val="0049050A"/>
    <w:rsid w:val="0049093A"/>
    <w:rsid w:val="00490D50"/>
    <w:rsid w:val="00491DBF"/>
    <w:rsid w:val="00492326"/>
    <w:rsid w:val="004923F6"/>
    <w:rsid w:val="00492FCB"/>
    <w:rsid w:val="004937F9"/>
    <w:rsid w:val="004946D6"/>
    <w:rsid w:val="00495DE8"/>
    <w:rsid w:val="00496278"/>
    <w:rsid w:val="004A04D5"/>
    <w:rsid w:val="004A0F11"/>
    <w:rsid w:val="004A107C"/>
    <w:rsid w:val="004A1597"/>
    <w:rsid w:val="004A1FD4"/>
    <w:rsid w:val="004A2389"/>
    <w:rsid w:val="004A2633"/>
    <w:rsid w:val="004A34F0"/>
    <w:rsid w:val="004A36B6"/>
    <w:rsid w:val="004A3A0A"/>
    <w:rsid w:val="004A3EAA"/>
    <w:rsid w:val="004A4EA8"/>
    <w:rsid w:val="004A50FE"/>
    <w:rsid w:val="004A535D"/>
    <w:rsid w:val="004A6750"/>
    <w:rsid w:val="004A6968"/>
    <w:rsid w:val="004A6D34"/>
    <w:rsid w:val="004A7495"/>
    <w:rsid w:val="004A7D97"/>
    <w:rsid w:val="004A7ED4"/>
    <w:rsid w:val="004A7EFB"/>
    <w:rsid w:val="004B0A41"/>
    <w:rsid w:val="004B0BF2"/>
    <w:rsid w:val="004B106D"/>
    <w:rsid w:val="004B11B6"/>
    <w:rsid w:val="004B1214"/>
    <w:rsid w:val="004B25AA"/>
    <w:rsid w:val="004B3096"/>
    <w:rsid w:val="004B4228"/>
    <w:rsid w:val="004B44AF"/>
    <w:rsid w:val="004B498C"/>
    <w:rsid w:val="004B4D6C"/>
    <w:rsid w:val="004B5133"/>
    <w:rsid w:val="004B5517"/>
    <w:rsid w:val="004B5E7C"/>
    <w:rsid w:val="004B5FA1"/>
    <w:rsid w:val="004B6099"/>
    <w:rsid w:val="004B717E"/>
    <w:rsid w:val="004B757B"/>
    <w:rsid w:val="004B7A22"/>
    <w:rsid w:val="004B7CB4"/>
    <w:rsid w:val="004C0A4D"/>
    <w:rsid w:val="004C15DC"/>
    <w:rsid w:val="004C205C"/>
    <w:rsid w:val="004C2902"/>
    <w:rsid w:val="004C2E2F"/>
    <w:rsid w:val="004C38AC"/>
    <w:rsid w:val="004C41B6"/>
    <w:rsid w:val="004C45C3"/>
    <w:rsid w:val="004C49AD"/>
    <w:rsid w:val="004C54CF"/>
    <w:rsid w:val="004C728D"/>
    <w:rsid w:val="004C7E34"/>
    <w:rsid w:val="004D01E6"/>
    <w:rsid w:val="004D0609"/>
    <w:rsid w:val="004D1EBB"/>
    <w:rsid w:val="004D1F28"/>
    <w:rsid w:val="004D499D"/>
    <w:rsid w:val="004D4BC2"/>
    <w:rsid w:val="004D4BFE"/>
    <w:rsid w:val="004D4C41"/>
    <w:rsid w:val="004D50DA"/>
    <w:rsid w:val="004D52F9"/>
    <w:rsid w:val="004D5B94"/>
    <w:rsid w:val="004D5E42"/>
    <w:rsid w:val="004D6E37"/>
    <w:rsid w:val="004D72EA"/>
    <w:rsid w:val="004E00EA"/>
    <w:rsid w:val="004E018C"/>
    <w:rsid w:val="004E0B10"/>
    <w:rsid w:val="004E0B3F"/>
    <w:rsid w:val="004E0C51"/>
    <w:rsid w:val="004E1228"/>
    <w:rsid w:val="004E2064"/>
    <w:rsid w:val="004E2A9B"/>
    <w:rsid w:val="004E3250"/>
    <w:rsid w:val="004E3EAC"/>
    <w:rsid w:val="004E4AA8"/>
    <w:rsid w:val="004E591C"/>
    <w:rsid w:val="004E5B82"/>
    <w:rsid w:val="004E6B14"/>
    <w:rsid w:val="004F0419"/>
    <w:rsid w:val="004F0638"/>
    <w:rsid w:val="004F0812"/>
    <w:rsid w:val="004F08BC"/>
    <w:rsid w:val="004F13A9"/>
    <w:rsid w:val="004F1DA4"/>
    <w:rsid w:val="004F2083"/>
    <w:rsid w:val="004F28F8"/>
    <w:rsid w:val="004F339A"/>
    <w:rsid w:val="004F3896"/>
    <w:rsid w:val="004F3DC0"/>
    <w:rsid w:val="004F4328"/>
    <w:rsid w:val="004F45BF"/>
    <w:rsid w:val="004F4AA6"/>
    <w:rsid w:val="004F4B92"/>
    <w:rsid w:val="004F5E5D"/>
    <w:rsid w:val="004F7A3A"/>
    <w:rsid w:val="0050057A"/>
    <w:rsid w:val="00501030"/>
    <w:rsid w:val="005010AF"/>
    <w:rsid w:val="00501B6C"/>
    <w:rsid w:val="00502A9D"/>
    <w:rsid w:val="00502D94"/>
    <w:rsid w:val="00503908"/>
    <w:rsid w:val="00504B2E"/>
    <w:rsid w:val="005054DB"/>
    <w:rsid w:val="00505B57"/>
    <w:rsid w:val="005065B6"/>
    <w:rsid w:val="0050732F"/>
    <w:rsid w:val="0051007E"/>
    <w:rsid w:val="00510501"/>
    <w:rsid w:val="005108E1"/>
    <w:rsid w:val="00510E3E"/>
    <w:rsid w:val="005113D6"/>
    <w:rsid w:val="0051154E"/>
    <w:rsid w:val="0051157A"/>
    <w:rsid w:val="00512B1A"/>
    <w:rsid w:val="005137D6"/>
    <w:rsid w:val="00513CB1"/>
    <w:rsid w:val="00513EB7"/>
    <w:rsid w:val="0051448E"/>
    <w:rsid w:val="00514C11"/>
    <w:rsid w:val="00514E3E"/>
    <w:rsid w:val="0051548F"/>
    <w:rsid w:val="00515A2B"/>
    <w:rsid w:val="0051638F"/>
    <w:rsid w:val="00516785"/>
    <w:rsid w:val="005168E7"/>
    <w:rsid w:val="00516909"/>
    <w:rsid w:val="00517CF7"/>
    <w:rsid w:val="00521524"/>
    <w:rsid w:val="0052196B"/>
    <w:rsid w:val="00521A8C"/>
    <w:rsid w:val="00522318"/>
    <w:rsid w:val="00522337"/>
    <w:rsid w:val="00522B29"/>
    <w:rsid w:val="00522DE1"/>
    <w:rsid w:val="0052340D"/>
    <w:rsid w:val="00523D38"/>
    <w:rsid w:val="0052419D"/>
    <w:rsid w:val="00525668"/>
    <w:rsid w:val="0052590C"/>
    <w:rsid w:val="00525A43"/>
    <w:rsid w:val="00526070"/>
    <w:rsid w:val="00526589"/>
    <w:rsid w:val="00526B60"/>
    <w:rsid w:val="00526F84"/>
    <w:rsid w:val="00527614"/>
    <w:rsid w:val="0052778A"/>
    <w:rsid w:val="005301F8"/>
    <w:rsid w:val="0053020D"/>
    <w:rsid w:val="00530A00"/>
    <w:rsid w:val="005312FC"/>
    <w:rsid w:val="00531547"/>
    <w:rsid w:val="00531876"/>
    <w:rsid w:val="00531C5B"/>
    <w:rsid w:val="00531CA3"/>
    <w:rsid w:val="005328CD"/>
    <w:rsid w:val="00532C6D"/>
    <w:rsid w:val="00533633"/>
    <w:rsid w:val="00533980"/>
    <w:rsid w:val="00533FC3"/>
    <w:rsid w:val="0053468F"/>
    <w:rsid w:val="00534E19"/>
    <w:rsid w:val="0053569E"/>
    <w:rsid w:val="00535763"/>
    <w:rsid w:val="00535A8C"/>
    <w:rsid w:val="00535FB6"/>
    <w:rsid w:val="0053603D"/>
    <w:rsid w:val="00536614"/>
    <w:rsid w:val="00536E55"/>
    <w:rsid w:val="00537036"/>
    <w:rsid w:val="0053742A"/>
    <w:rsid w:val="00537C85"/>
    <w:rsid w:val="0054093D"/>
    <w:rsid w:val="0054133D"/>
    <w:rsid w:val="005416EF"/>
    <w:rsid w:val="00541D29"/>
    <w:rsid w:val="005424CF"/>
    <w:rsid w:val="005426C3"/>
    <w:rsid w:val="00543027"/>
    <w:rsid w:val="00543D04"/>
    <w:rsid w:val="00543F1E"/>
    <w:rsid w:val="00543F23"/>
    <w:rsid w:val="0054413F"/>
    <w:rsid w:val="005441AF"/>
    <w:rsid w:val="005445B1"/>
    <w:rsid w:val="00544761"/>
    <w:rsid w:val="00544A21"/>
    <w:rsid w:val="0054684D"/>
    <w:rsid w:val="005510B7"/>
    <w:rsid w:val="00551456"/>
    <w:rsid w:val="00551550"/>
    <w:rsid w:val="00551A16"/>
    <w:rsid w:val="00551BC6"/>
    <w:rsid w:val="0055205B"/>
    <w:rsid w:val="005521D4"/>
    <w:rsid w:val="005524DB"/>
    <w:rsid w:val="005524F4"/>
    <w:rsid w:val="00553329"/>
    <w:rsid w:val="00554594"/>
    <w:rsid w:val="0055488F"/>
    <w:rsid w:val="00555037"/>
    <w:rsid w:val="0055538A"/>
    <w:rsid w:val="00555FA4"/>
    <w:rsid w:val="005560AE"/>
    <w:rsid w:val="005560CF"/>
    <w:rsid w:val="0055726E"/>
    <w:rsid w:val="00560937"/>
    <w:rsid w:val="005613DB"/>
    <w:rsid w:val="00561C7B"/>
    <w:rsid w:val="00561FD5"/>
    <w:rsid w:val="00562F17"/>
    <w:rsid w:val="005632C5"/>
    <w:rsid w:val="00563E94"/>
    <w:rsid w:val="005652D2"/>
    <w:rsid w:val="0056534D"/>
    <w:rsid w:val="0056582C"/>
    <w:rsid w:val="0056636B"/>
    <w:rsid w:val="005664F0"/>
    <w:rsid w:val="00566677"/>
    <w:rsid w:val="005670DD"/>
    <w:rsid w:val="0056720A"/>
    <w:rsid w:val="005708DC"/>
    <w:rsid w:val="00571388"/>
    <w:rsid w:val="00571BCD"/>
    <w:rsid w:val="00572698"/>
    <w:rsid w:val="00572869"/>
    <w:rsid w:val="00572BDD"/>
    <w:rsid w:val="005733EF"/>
    <w:rsid w:val="00573B76"/>
    <w:rsid w:val="00574066"/>
    <w:rsid w:val="00574A56"/>
    <w:rsid w:val="0057528A"/>
    <w:rsid w:val="005755F3"/>
    <w:rsid w:val="005758D0"/>
    <w:rsid w:val="00576A8B"/>
    <w:rsid w:val="00576D48"/>
    <w:rsid w:val="00576F41"/>
    <w:rsid w:val="005770B9"/>
    <w:rsid w:val="005774BD"/>
    <w:rsid w:val="005776B2"/>
    <w:rsid w:val="00577931"/>
    <w:rsid w:val="00577B3F"/>
    <w:rsid w:val="00580029"/>
    <w:rsid w:val="005802B6"/>
    <w:rsid w:val="00580305"/>
    <w:rsid w:val="005811CC"/>
    <w:rsid w:val="00581316"/>
    <w:rsid w:val="00581717"/>
    <w:rsid w:val="005820F1"/>
    <w:rsid w:val="005821FC"/>
    <w:rsid w:val="005838F8"/>
    <w:rsid w:val="00583CA9"/>
    <w:rsid w:val="00583DF6"/>
    <w:rsid w:val="005845DC"/>
    <w:rsid w:val="005849CC"/>
    <w:rsid w:val="00584CDA"/>
    <w:rsid w:val="00584F74"/>
    <w:rsid w:val="00586440"/>
    <w:rsid w:val="005864FB"/>
    <w:rsid w:val="00586605"/>
    <w:rsid w:val="00586788"/>
    <w:rsid w:val="005868DE"/>
    <w:rsid w:val="005876AC"/>
    <w:rsid w:val="005877AC"/>
    <w:rsid w:val="00587DAB"/>
    <w:rsid w:val="005905D0"/>
    <w:rsid w:val="00591872"/>
    <w:rsid w:val="00593394"/>
    <w:rsid w:val="00594F22"/>
    <w:rsid w:val="00594F44"/>
    <w:rsid w:val="0059577B"/>
    <w:rsid w:val="005957B3"/>
    <w:rsid w:val="00595E4A"/>
    <w:rsid w:val="005961C2"/>
    <w:rsid w:val="005965EA"/>
    <w:rsid w:val="005966B7"/>
    <w:rsid w:val="005969EC"/>
    <w:rsid w:val="00597193"/>
    <w:rsid w:val="00597495"/>
    <w:rsid w:val="00597734"/>
    <w:rsid w:val="005977F9"/>
    <w:rsid w:val="00597D64"/>
    <w:rsid w:val="00597FFE"/>
    <w:rsid w:val="005A0B24"/>
    <w:rsid w:val="005A0BAC"/>
    <w:rsid w:val="005A0D68"/>
    <w:rsid w:val="005A0FD1"/>
    <w:rsid w:val="005A1380"/>
    <w:rsid w:val="005A1458"/>
    <w:rsid w:val="005A14BB"/>
    <w:rsid w:val="005A1ADD"/>
    <w:rsid w:val="005A2009"/>
    <w:rsid w:val="005A2113"/>
    <w:rsid w:val="005A22B7"/>
    <w:rsid w:val="005A2BA3"/>
    <w:rsid w:val="005A2C1C"/>
    <w:rsid w:val="005A305A"/>
    <w:rsid w:val="005A346B"/>
    <w:rsid w:val="005A3942"/>
    <w:rsid w:val="005A397C"/>
    <w:rsid w:val="005A3AEB"/>
    <w:rsid w:val="005A48D4"/>
    <w:rsid w:val="005A4C52"/>
    <w:rsid w:val="005A4EDF"/>
    <w:rsid w:val="005A5B71"/>
    <w:rsid w:val="005A5FAB"/>
    <w:rsid w:val="005A64DB"/>
    <w:rsid w:val="005A6571"/>
    <w:rsid w:val="005A67EF"/>
    <w:rsid w:val="005A6F31"/>
    <w:rsid w:val="005A6F9A"/>
    <w:rsid w:val="005A705D"/>
    <w:rsid w:val="005A73F8"/>
    <w:rsid w:val="005A741D"/>
    <w:rsid w:val="005A78B3"/>
    <w:rsid w:val="005B0B95"/>
    <w:rsid w:val="005B12F5"/>
    <w:rsid w:val="005B1C2B"/>
    <w:rsid w:val="005B1D09"/>
    <w:rsid w:val="005B1EA6"/>
    <w:rsid w:val="005B1F9C"/>
    <w:rsid w:val="005B21BB"/>
    <w:rsid w:val="005B3501"/>
    <w:rsid w:val="005B3823"/>
    <w:rsid w:val="005B3931"/>
    <w:rsid w:val="005B39A7"/>
    <w:rsid w:val="005B3ABD"/>
    <w:rsid w:val="005B418B"/>
    <w:rsid w:val="005B44E8"/>
    <w:rsid w:val="005B5E2A"/>
    <w:rsid w:val="005B62C2"/>
    <w:rsid w:val="005B63B0"/>
    <w:rsid w:val="005B6B58"/>
    <w:rsid w:val="005B7637"/>
    <w:rsid w:val="005B7713"/>
    <w:rsid w:val="005C02A4"/>
    <w:rsid w:val="005C1B54"/>
    <w:rsid w:val="005C20D2"/>
    <w:rsid w:val="005C3109"/>
    <w:rsid w:val="005C32FE"/>
    <w:rsid w:val="005C3F97"/>
    <w:rsid w:val="005C4101"/>
    <w:rsid w:val="005C503A"/>
    <w:rsid w:val="005C5643"/>
    <w:rsid w:val="005C5A4A"/>
    <w:rsid w:val="005C5B95"/>
    <w:rsid w:val="005C6140"/>
    <w:rsid w:val="005C6D6A"/>
    <w:rsid w:val="005C7A42"/>
    <w:rsid w:val="005D024A"/>
    <w:rsid w:val="005D02A3"/>
    <w:rsid w:val="005D080A"/>
    <w:rsid w:val="005D0E5A"/>
    <w:rsid w:val="005D10B5"/>
    <w:rsid w:val="005D1545"/>
    <w:rsid w:val="005D21A7"/>
    <w:rsid w:val="005D2280"/>
    <w:rsid w:val="005D2398"/>
    <w:rsid w:val="005D35E0"/>
    <w:rsid w:val="005D3CF2"/>
    <w:rsid w:val="005D41B1"/>
    <w:rsid w:val="005D4FD4"/>
    <w:rsid w:val="005D5062"/>
    <w:rsid w:val="005D50C9"/>
    <w:rsid w:val="005D5250"/>
    <w:rsid w:val="005D6590"/>
    <w:rsid w:val="005D65B1"/>
    <w:rsid w:val="005D65E8"/>
    <w:rsid w:val="005D6C17"/>
    <w:rsid w:val="005D6D64"/>
    <w:rsid w:val="005D7123"/>
    <w:rsid w:val="005D71A7"/>
    <w:rsid w:val="005D73B8"/>
    <w:rsid w:val="005E017E"/>
    <w:rsid w:val="005E01EF"/>
    <w:rsid w:val="005E0736"/>
    <w:rsid w:val="005E0F09"/>
    <w:rsid w:val="005E14A7"/>
    <w:rsid w:val="005E1889"/>
    <w:rsid w:val="005E1B04"/>
    <w:rsid w:val="005E32D8"/>
    <w:rsid w:val="005E4F54"/>
    <w:rsid w:val="005E54E3"/>
    <w:rsid w:val="005E5AC3"/>
    <w:rsid w:val="005E5BA7"/>
    <w:rsid w:val="005E5CE9"/>
    <w:rsid w:val="005E65F3"/>
    <w:rsid w:val="005E76D7"/>
    <w:rsid w:val="005E793B"/>
    <w:rsid w:val="005F006F"/>
    <w:rsid w:val="005F0553"/>
    <w:rsid w:val="005F0EAD"/>
    <w:rsid w:val="005F2957"/>
    <w:rsid w:val="005F2BA6"/>
    <w:rsid w:val="005F2EF7"/>
    <w:rsid w:val="005F30AF"/>
    <w:rsid w:val="005F3789"/>
    <w:rsid w:val="005F538E"/>
    <w:rsid w:val="005F58DA"/>
    <w:rsid w:val="005F5ABF"/>
    <w:rsid w:val="005F5C36"/>
    <w:rsid w:val="005F64F8"/>
    <w:rsid w:val="0060163F"/>
    <w:rsid w:val="00601650"/>
    <w:rsid w:val="00601E79"/>
    <w:rsid w:val="0060310F"/>
    <w:rsid w:val="006031F8"/>
    <w:rsid w:val="00604EEF"/>
    <w:rsid w:val="00605048"/>
    <w:rsid w:val="00605AFD"/>
    <w:rsid w:val="0060651E"/>
    <w:rsid w:val="006066D5"/>
    <w:rsid w:val="00606846"/>
    <w:rsid w:val="006073F3"/>
    <w:rsid w:val="006104D9"/>
    <w:rsid w:val="00611E1F"/>
    <w:rsid w:val="006123D4"/>
    <w:rsid w:val="00612D38"/>
    <w:rsid w:val="00612D3A"/>
    <w:rsid w:val="00612F54"/>
    <w:rsid w:val="006137AD"/>
    <w:rsid w:val="00613CB5"/>
    <w:rsid w:val="0061445B"/>
    <w:rsid w:val="00614741"/>
    <w:rsid w:val="006159EA"/>
    <w:rsid w:val="00615DE2"/>
    <w:rsid w:val="006160E2"/>
    <w:rsid w:val="006161B9"/>
    <w:rsid w:val="00616A2D"/>
    <w:rsid w:val="006172F7"/>
    <w:rsid w:val="00617840"/>
    <w:rsid w:val="00620CE7"/>
    <w:rsid w:val="0062103C"/>
    <w:rsid w:val="006217EE"/>
    <w:rsid w:val="00621977"/>
    <w:rsid w:val="00622093"/>
    <w:rsid w:val="006224E5"/>
    <w:rsid w:val="006225C6"/>
    <w:rsid w:val="0062306C"/>
    <w:rsid w:val="006230F5"/>
    <w:rsid w:val="006234F6"/>
    <w:rsid w:val="006238B6"/>
    <w:rsid w:val="00623A3A"/>
    <w:rsid w:val="006242AA"/>
    <w:rsid w:val="006249C0"/>
    <w:rsid w:val="00624A80"/>
    <w:rsid w:val="00624C4B"/>
    <w:rsid w:val="006250A9"/>
    <w:rsid w:val="00626852"/>
    <w:rsid w:val="00626C89"/>
    <w:rsid w:val="00627320"/>
    <w:rsid w:val="006276DF"/>
    <w:rsid w:val="00630227"/>
    <w:rsid w:val="00630954"/>
    <w:rsid w:val="00630B30"/>
    <w:rsid w:val="006313E9"/>
    <w:rsid w:val="006324B9"/>
    <w:rsid w:val="006325F9"/>
    <w:rsid w:val="00632E94"/>
    <w:rsid w:val="0063311D"/>
    <w:rsid w:val="0063337E"/>
    <w:rsid w:val="006337B5"/>
    <w:rsid w:val="006338D2"/>
    <w:rsid w:val="006339B3"/>
    <w:rsid w:val="00634F82"/>
    <w:rsid w:val="00635086"/>
    <w:rsid w:val="00635105"/>
    <w:rsid w:val="00635DF2"/>
    <w:rsid w:val="006365BF"/>
    <w:rsid w:val="006367A8"/>
    <w:rsid w:val="00636888"/>
    <w:rsid w:val="00637D99"/>
    <w:rsid w:val="006423EF"/>
    <w:rsid w:val="00642DB1"/>
    <w:rsid w:val="006431B5"/>
    <w:rsid w:val="00644B1D"/>
    <w:rsid w:val="00644C8B"/>
    <w:rsid w:val="006455F5"/>
    <w:rsid w:val="00645651"/>
    <w:rsid w:val="0064627C"/>
    <w:rsid w:val="006469CC"/>
    <w:rsid w:val="00646D9A"/>
    <w:rsid w:val="0065122C"/>
    <w:rsid w:val="006515E5"/>
    <w:rsid w:val="00652D45"/>
    <w:rsid w:val="006538EB"/>
    <w:rsid w:val="0065491C"/>
    <w:rsid w:val="00655E84"/>
    <w:rsid w:val="00656F85"/>
    <w:rsid w:val="00657258"/>
    <w:rsid w:val="00657261"/>
    <w:rsid w:val="006574E1"/>
    <w:rsid w:val="00657A72"/>
    <w:rsid w:val="00657AA6"/>
    <w:rsid w:val="00660036"/>
    <w:rsid w:val="006602B5"/>
    <w:rsid w:val="006606F3"/>
    <w:rsid w:val="00661778"/>
    <w:rsid w:val="00661909"/>
    <w:rsid w:val="00662232"/>
    <w:rsid w:val="006625A1"/>
    <w:rsid w:val="00662F35"/>
    <w:rsid w:val="006631B4"/>
    <w:rsid w:val="00663EF3"/>
    <w:rsid w:val="0066434A"/>
    <w:rsid w:val="00664992"/>
    <w:rsid w:val="006649FE"/>
    <w:rsid w:val="00664CE3"/>
    <w:rsid w:val="00664EAB"/>
    <w:rsid w:val="00664ED2"/>
    <w:rsid w:val="00665233"/>
    <w:rsid w:val="006654FA"/>
    <w:rsid w:val="00665750"/>
    <w:rsid w:val="006659EE"/>
    <w:rsid w:val="00665FFB"/>
    <w:rsid w:val="00666143"/>
    <w:rsid w:val="006661CC"/>
    <w:rsid w:val="0066742D"/>
    <w:rsid w:val="0066765C"/>
    <w:rsid w:val="006676D1"/>
    <w:rsid w:val="00667893"/>
    <w:rsid w:val="006705A4"/>
    <w:rsid w:val="00671571"/>
    <w:rsid w:val="00672B5D"/>
    <w:rsid w:val="00672FC9"/>
    <w:rsid w:val="0067348A"/>
    <w:rsid w:val="006737D3"/>
    <w:rsid w:val="006744B8"/>
    <w:rsid w:val="006753D8"/>
    <w:rsid w:val="0067622C"/>
    <w:rsid w:val="006775E7"/>
    <w:rsid w:val="006810DE"/>
    <w:rsid w:val="00681479"/>
    <w:rsid w:val="006815D6"/>
    <w:rsid w:val="00682249"/>
    <w:rsid w:val="0068241B"/>
    <w:rsid w:val="00682A9A"/>
    <w:rsid w:val="00683F05"/>
    <w:rsid w:val="0068420E"/>
    <w:rsid w:val="006845E4"/>
    <w:rsid w:val="00684A80"/>
    <w:rsid w:val="00685C7A"/>
    <w:rsid w:val="00685CD4"/>
    <w:rsid w:val="00685CF7"/>
    <w:rsid w:val="00686165"/>
    <w:rsid w:val="006864F6"/>
    <w:rsid w:val="006867BE"/>
    <w:rsid w:val="0068788D"/>
    <w:rsid w:val="00687BA0"/>
    <w:rsid w:val="0069189D"/>
    <w:rsid w:val="00691A11"/>
    <w:rsid w:val="00691CB5"/>
    <w:rsid w:val="006922A5"/>
    <w:rsid w:val="006923DF"/>
    <w:rsid w:val="00692654"/>
    <w:rsid w:val="00692A48"/>
    <w:rsid w:val="00693664"/>
    <w:rsid w:val="0069522D"/>
    <w:rsid w:val="006958A9"/>
    <w:rsid w:val="00696502"/>
    <w:rsid w:val="00696A6B"/>
    <w:rsid w:val="00696E42"/>
    <w:rsid w:val="006976D1"/>
    <w:rsid w:val="006A1520"/>
    <w:rsid w:val="006A1E63"/>
    <w:rsid w:val="006A1FCA"/>
    <w:rsid w:val="006A37F5"/>
    <w:rsid w:val="006A3D17"/>
    <w:rsid w:val="006A47E0"/>
    <w:rsid w:val="006A522B"/>
    <w:rsid w:val="006A525A"/>
    <w:rsid w:val="006A52E4"/>
    <w:rsid w:val="006A565B"/>
    <w:rsid w:val="006A5727"/>
    <w:rsid w:val="006A5AC7"/>
    <w:rsid w:val="006A60A8"/>
    <w:rsid w:val="006A6233"/>
    <w:rsid w:val="006A6FE1"/>
    <w:rsid w:val="006A7DB1"/>
    <w:rsid w:val="006B0554"/>
    <w:rsid w:val="006B0E44"/>
    <w:rsid w:val="006B1586"/>
    <w:rsid w:val="006B2390"/>
    <w:rsid w:val="006B2F95"/>
    <w:rsid w:val="006B3177"/>
    <w:rsid w:val="006B38FF"/>
    <w:rsid w:val="006B3CBF"/>
    <w:rsid w:val="006B4727"/>
    <w:rsid w:val="006B4947"/>
    <w:rsid w:val="006B4DCE"/>
    <w:rsid w:val="006B5453"/>
    <w:rsid w:val="006B585F"/>
    <w:rsid w:val="006B61E9"/>
    <w:rsid w:val="006B74BF"/>
    <w:rsid w:val="006C032C"/>
    <w:rsid w:val="006C035B"/>
    <w:rsid w:val="006C0665"/>
    <w:rsid w:val="006C12DF"/>
    <w:rsid w:val="006C1892"/>
    <w:rsid w:val="006C21C8"/>
    <w:rsid w:val="006C236F"/>
    <w:rsid w:val="006C329C"/>
    <w:rsid w:val="006C3842"/>
    <w:rsid w:val="006C3A97"/>
    <w:rsid w:val="006C5273"/>
    <w:rsid w:val="006C53F7"/>
    <w:rsid w:val="006C5B73"/>
    <w:rsid w:val="006C645D"/>
    <w:rsid w:val="006D1646"/>
    <w:rsid w:val="006D18B2"/>
    <w:rsid w:val="006D21CB"/>
    <w:rsid w:val="006D2765"/>
    <w:rsid w:val="006D382E"/>
    <w:rsid w:val="006D4FDF"/>
    <w:rsid w:val="006D5A39"/>
    <w:rsid w:val="006D5D3C"/>
    <w:rsid w:val="006D618C"/>
    <w:rsid w:val="006D6AC4"/>
    <w:rsid w:val="006D73AD"/>
    <w:rsid w:val="006D7DBF"/>
    <w:rsid w:val="006E0231"/>
    <w:rsid w:val="006E0656"/>
    <w:rsid w:val="006E1318"/>
    <w:rsid w:val="006E161A"/>
    <w:rsid w:val="006E1797"/>
    <w:rsid w:val="006E1A45"/>
    <w:rsid w:val="006E1C19"/>
    <w:rsid w:val="006E2932"/>
    <w:rsid w:val="006E2D2A"/>
    <w:rsid w:val="006E2E8F"/>
    <w:rsid w:val="006E30CF"/>
    <w:rsid w:val="006E319E"/>
    <w:rsid w:val="006E3CC3"/>
    <w:rsid w:val="006E3D8C"/>
    <w:rsid w:val="006E4081"/>
    <w:rsid w:val="006E49E6"/>
    <w:rsid w:val="006E4C3F"/>
    <w:rsid w:val="006E4C9F"/>
    <w:rsid w:val="006E4F8A"/>
    <w:rsid w:val="006E7A4B"/>
    <w:rsid w:val="006F0367"/>
    <w:rsid w:val="006F03C8"/>
    <w:rsid w:val="006F106D"/>
    <w:rsid w:val="006F13C2"/>
    <w:rsid w:val="006F1776"/>
    <w:rsid w:val="006F1CF8"/>
    <w:rsid w:val="006F2C04"/>
    <w:rsid w:val="006F3E4C"/>
    <w:rsid w:val="006F468D"/>
    <w:rsid w:val="006F4AF3"/>
    <w:rsid w:val="006F4DAB"/>
    <w:rsid w:val="006F4EF4"/>
    <w:rsid w:val="006F51D4"/>
    <w:rsid w:val="0070091D"/>
    <w:rsid w:val="00700C06"/>
    <w:rsid w:val="00701D44"/>
    <w:rsid w:val="00702A51"/>
    <w:rsid w:val="00703BB3"/>
    <w:rsid w:val="00704043"/>
    <w:rsid w:val="00704528"/>
    <w:rsid w:val="00704E0B"/>
    <w:rsid w:val="0070522B"/>
    <w:rsid w:val="007054F5"/>
    <w:rsid w:val="00705AF1"/>
    <w:rsid w:val="00705D79"/>
    <w:rsid w:val="00706E8E"/>
    <w:rsid w:val="00707458"/>
    <w:rsid w:val="007075CE"/>
    <w:rsid w:val="007102BA"/>
    <w:rsid w:val="00710659"/>
    <w:rsid w:val="0071125A"/>
    <w:rsid w:val="007115DC"/>
    <w:rsid w:val="00711B02"/>
    <w:rsid w:val="00711C1A"/>
    <w:rsid w:val="00711C5D"/>
    <w:rsid w:val="00712E1B"/>
    <w:rsid w:val="00713125"/>
    <w:rsid w:val="007131E1"/>
    <w:rsid w:val="00713916"/>
    <w:rsid w:val="007141F0"/>
    <w:rsid w:val="00714D8B"/>
    <w:rsid w:val="007155B0"/>
    <w:rsid w:val="007169E1"/>
    <w:rsid w:val="00716AB8"/>
    <w:rsid w:val="00716D5B"/>
    <w:rsid w:val="00716E2F"/>
    <w:rsid w:val="00720068"/>
    <w:rsid w:val="00720901"/>
    <w:rsid w:val="00720CA6"/>
    <w:rsid w:val="0072177C"/>
    <w:rsid w:val="0072197B"/>
    <w:rsid w:val="00721B75"/>
    <w:rsid w:val="00722A92"/>
    <w:rsid w:val="00722B53"/>
    <w:rsid w:val="007242C7"/>
    <w:rsid w:val="00724571"/>
    <w:rsid w:val="007258A5"/>
    <w:rsid w:val="00727355"/>
    <w:rsid w:val="0072741E"/>
    <w:rsid w:val="00727CF0"/>
    <w:rsid w:val="0073050A"/>
    <w:rsid w:val="00730A7B"/>
    <w:rsid w:val="00730AC5"/>
    <w:rsid w:val="007310D5"/>
    <w:rsid w:val="00732338"/>
    <w:rsid w:val="0073273D"/>
    <w:rsid w:val="00733044"/>
    <w:rsid w:val="00733B64"/>
    <w:rsid w:val="00733EAA"/>
    <w:rsid w:val="007341B2"/>
    <w:rsid w:val="007348C5"/>
    <w:rsid w:val="00735422"/>
    <w:rsid w:val="007355B7"/>
    <w:rsid w:val="007359C9"/>
    <w:rsid w:val="0073673C"/>
    <w:rsid w:val="00736BA5"/>
    <w:rsid w:val="00736E22"/>
    <w:rsid w:val="00737A47"/>
    <w:rsid w:val="00737F0A"/>
    <w:rsid w:val="00737FE1"/>
    <w:rsid w:val="00740426"/>
    <w:rsid w:val="007413FF"/>
    <w:rsid w:val="00741900"/>
    <w:rsid w:val="00742366"/>
    <w:rsid w:val="00742406"/>
    <w:rsid w:val="007424C1"/>
    <w:rsid w:val="007434D0"/>
    <w:rsid w:val="00743A0E"/>
    <w:rsid w:val="00744307"/>
    <w:rsid w:val="00744484"/>
    <w:rsid w:val="00744741"/>
    <w:rsid w:val="00745115"/>
    <w:rsid w:val="00745781"/>
    <w:rsid w:val="007509DD"/>
    <w:rsid w:val="00750EB3"/>
    <w:rsid w:val="00751A37"/>
    <w:rsid w:val="00751B20"/>
    <w:rsid w:val="00751EFB"/>
    <w:rsid w:val="00752B1B"/>
    <w:rsid w:val="00752B3E"/>
    <w:rsid w:val="007536B3"/>
    <w:rsid w:val="00753748"/>
    <w:rsid w:val="0075378E"/>
    <w:rsid w:val="00753E70"/>
    <w:rsid w:val="00754556"/>
    <w:rsid w:val="00755224"/>
    <w:rsid w:val="0075541D"/>
    <w:rsid w:val="00755938"/>
    <w:rsid w:val="00755B42"/>
    <w:rsid w:val="00757159"/>
    <w:rsid w:val="00757467"/>
    <w:rsid w:val="00757EDC"/>
    <w:rsid w:val="00760A5A"/>
    <w:rsid w:val="00761042"/>
    <w:rsid w:val="00761760"/>
    <w:rsid w:val="007618AD"/>
    <w:rsid w:val="0076261F"/>
    <w:rsid w:val="00763474"/>
    <w:rsid w:val="00763F46"/>
    <w:rsid w:val="00764406"/>
    <w:rsid w:val="0076443D"/>
    <w:rsid w:val="00766184"/>
    <w:rsid w:val="00766317"/>
    <w:rsid w:val="007671F7"/>
    <w:rsid w:val="007677D7"/>
    <w:rsid w:val="007701FA"/>
    <w:rsid w:val="007708CA"/>
    <w:rsid w:val="00770AB1"/>
    <w:rsid w:val="0077223F"/>
    <w:rsid w:val="00772930"/>
    <w:rsid w:val="00772B93"/>
    <w:rsid w:val="007733FA"/>
    <w:rsid w:val="0077355E"/>
    <w:rsid w:val="00773A69"/>
    <w:rsid w:val="00773B86"/>
    <w:rsid w:val="00773D00"/>
    <w:rsid w:val="0077431F"/>
    <w:rsid w:val="007744F2"/>
    <w:rsid w:val="00774594"/>
    <w:rsid w:val="007746A5"/>
    <w:rsid w:val="007746AD"/>
    <w:rsid w:val="00774801"/>
    <w:rsid w:val="00774807"/>
    <w:rsid w:val="00775622"/>
    <w:rsid w:val="00775DAB"/>
    <w:rsid w:val="0077603E"/>
    <w:rsid w:val="007763B6"/>
    <w:rsid w:val="00777D46"/>
    <w:rsid w:val="00777EBC"/>
    <w:rsid w:val="00780780"/>
    <w:rsid w:val="00780B4E"/>
    <w:rsid w:val="00780D30"/>
    <w:rsid w:val="0078235D"/>
    <w:rsid w:val="0078257B"/>
    <w:rsid w:val="00782656"/>
    <w:rsid w:val="00783D75"/>
    <w:rsid w:val="007845F0"/>
    <w:rsid w:val="00784742"/>
    <w:rsid w:val="007849B3"/>
    <w:rsid w:val="00784C0A"/>
    <w:rsid w:val="00785261"/>
    <w:rsid w:val="007855C1"/>
    <w:rsid w:val="007859C9"/>
    <w:rsid w:val="00785CB6"/>
    <w:rsid w:val="0078692B"/>
    <w:rsid w:val="00787287"/>
    <w:rsid w:val="007874D7"/>
    <w:rsid w:val="00787783"/>
    <w:rsid w:val="00787DE7"/>
    <w:rsid w:val="007907EE"/>
    <w:rsid w:val="007908CE"/>
    <w:rsid w:val="00790AFF"/>
    <w:rsid w:val="00791381"/>
    <w:rsid w:val="007924C0"/>
    <w:rsid w:val="007925CD"/>
    <w:rsid w:val="00792C44"/>
    <w:rsid w:val="00792FFA"/>
    <w:rsid w:val="007930B5"/>
    <w:rsid w:val="007931DE"/>
    <w:rsid w:val="00793D6D"/>
    <w:rsid w:val="0079454D"/>
    <w:rsid w:val="007946B4"/>
    <w:rsid w:val="00794AF4"/>
    <w:rsid w:val="00794B40"/>
    <w:rsid w:val="00795759"/>
    <w:rsid w:val="00796386"/>
    <w:rsid w:val="00796E26"/>
    <w:rsid w:val="007970DB"/>
    <w:rsid w:val="00797501"/>
    <w:rsid w:val="0079756F"/>
    <w:rsid w:val="00797D97"/>
    <w:rsid w:val="00797F69"/>
    <w:rsid w:val="007A010C"/>
    <w:rsid w:val="007A01A4"/>
    <w:rsid w:val="007A02E4"/>
    <w:rsid w:val="007A0F7E"/>
    <w:rsid w:val="007A1017"/>
    <w:rsid w:val="007A1079"/>
    <w:rsid w:val="007A12FE"/>
    <w:rsid w:val="007A1CE9"/>
    <w:rsid w:val="007A1EBE"/>
    <w:rsid w:val="007A2D47"/>
    <w:rsid w:val="007A3188"/>
    <w:rsid w:val="007A31FB"/>
    <w:rsid w:val="007A33E5"/>
    <w:rsid w:val="007A3D8D"/>
    <w:rsid w:val="007A405D"/>
    <w:rsid w:val="007A4956"/>
    <w:rsid w:val="007A6547"/>
    <w:rsid w:val="007A6678"/>
    <w:rsid w:val="007A6D81"/>
    <w:rsid w:val="007A70CC"/>
    <w:rsid w:val="007A7819"/>
    <w:rsid w:val="007B095D"/>
    <w:rsid w:val="007B1142"/>
    <w:rsid w:val="007B2677"/>
    <w:rsid w:val="007B27F5"/>
    <w:rsid w:val="007B2C04"/>
    <w:rsid w:val="007B2DB5"/>
    <w:rsid w:val="007B2DE6"/>
    <w:rsid w:val="007B37B6"/>
    <w:rsid w:val="007B48F1"/>
    <w:rsid w:val="007B4F50"/>
    <w:rsid w:val="007B506B"/>
    <w:rsid w:val="007B569B"/>
    <w:rsid w:val="007B5B9E"/>
    <w:rsid w:val="007B5DDF"/>
    <w:rsid w:val="007B68FE"/>
    <w:rsid w:val="007B76AB"/>
    <w:rsid w:val="007B7A2E"/>
    <w:rsid w:val="007B7C97"/>
    <w:rsid w:val="007B7CC9"/>
    <w:rsid w:val="007C0493"/>
    <w:rsid w:val="007C150C"/>
    <w:rsid w:val="007C178B"/>
    <w:rsid w:val="007C264A"/>
    <w:rsid w:val="007C2A4C"/>
    <w:rsid w:val="007C30AB"/>
    <w:rsid w:val="007C32CB"/>
    <w:rsid w:val="007C3945"/>
    <w:rsid w:val="007C4378"/>
    <w:rsid w:val="007C43EA"/>
    <w:rsid w:val="007C4DAB"/>
    <w:rsid w:val="007C560A"/>
    <w:rsid w:val="007C6635"/>
    <w:rsid w:val="007C692E"/>
    <w:rsid w:val="007C6B5F"/>
    <w:rsid w:val="007D0496"/>
    <w:rsid w:val="007D0575"/>
    <w:rsid w:val="007D0C18"/>
    <w:rsid w:val="007D1C87"/>
    <w:rsid w:val="007D1CA8"/>
    <w:rsid w:val="007D2783"/>
    <w:rsid w:val="007D28C6"/>
    <w:rsid w:val="007D2A01"/>
    <w:rsid w:val="007D3424"/>
    <w:rsid w:val="007D3595"/>
    <w:rsid w:val="007D38F2"/>
    <w:rsid w:val="007D4529"/>
    <w:rsid w:val="007D4C6A"/>
    <w:rsid w:val="007D58F2"/>
    <w:rsid w:val="007D592B"/>
    <w:rsid w:val="007D5AA6"/>
    <w:rsid w:val="007D6508"/>
    <w:rsid w:val="007D654A"/>
    <w:rsid w:val="007D756D"/>
    <w:rsid w:val="007D7A71"/>
    <w:rsid w:val="007D7A91"/>
    <w:rsid w:val="007D7BF2"/>
    <w:rsid w:val="007D7C0E"/>
    <w:rsid w:val="007E0300"/>
    <w:rsid w:val="007E03C6"/>
    <w:rsid w:val="007E0BF6"/>
    <w:rsid w:val="007E114C"/>
    <w:rsid w:val="007E296D"/>
    <w:rsid w:val="007E3431"/>
    <w:rsid w:val="007E36EF"/>
    <w:rsid w:val="007E36FC"/>
    <w:rsid w:val="007E3D13"/>
    <w:rsid w:val="007E3DE8"/>
    <w:rsid w:val="007E419A"/>
    <w:rsid w:val="007E4331"/>
    <w:rsid w:val="007E4364"/>
    <w:rsid w:val="007E4D17"/>
    <w:rsid w:val="007E4F14"/>
    <w:rsid w:val="007E5411"/>
    <w:rsid w:val="007E56B2"/>
    <w:rsid w:val="007E581E"/>
    <w:rsid w:val="007E5EA3"/>
    <w:rsid w:val="007E619E"/>
    <w:rsid w:val="007E6456"/>
    <w:rsid w:val="007E6864"/>
    <w:rsid w:val="007E6D05"/>
    <w:rsid w:val="007E6D26"/>
    <w:rsid w:val="007E6D77"/>
    <w:rsid w:val="007E6DCC"/>
    <w:rsid w:val="007E7088"/>
    <w:rsid w:val="007F0331"/>
    <w:rsid w:val="007F0404"/>
    <w:rsid w:val="007F0572"/>
    <w:rsid w:val="007F0A7D"/>
    <w:rsid w:val="007F0B18"/>
    <w:rsid w:val="007F150B"/>
    <w:rsid w:val="007F2469"/>
    <w:rsid w:val="007F2A42"/>
    <w:rsid w:val="007F2A47"/>
    <w:rsid w:val="007F30B9"/>
    <w:rsid w:val="007F3388"/>
    <w:rsid w:val="007F36ED"/>
    <w:rsid w:val="007F4521"/>
    <w:rsid w:val="007F4A2D"/>
    <w:rsid w:val="007F4B4E"/>
    <w:rsid w:val="007F5531"/>
    <w:rsid w:val="007F7418"/>
    <w:rsid w:val="007F7521"/>
    <w:rsid w:val="007F7560"/>
    <w:rsid w:val="007F7E8C"/>
    <w:rsid w:val="00800545"/>
    <w:rsid w:val="008006DA"/>
    <w:rsid w:val="0080149F"/>
    <w:rsid w:val="008014F4"/>
    <w:rsid w:val="0080166F"/>
    <w:rsid w:val="008022B4"/>
    <w:rsid w:val="008026DD"/>
    <w:rsid w:val="00803BE9"/>
    <w:rsid w:val="00803C54"/>
    <w:rsid w:val="00803FEA"/>
    <w:rsid w:val="00804932"/>
    <w:rsid w:val="00804D2C"/>
    <w:rsid w:val="00804F41"/>
    <w:rsid w:val="0080530F"/>
    <w:rsid w:val="00810823"/>
    <w:rsid w:val="00810E1D"/>
    <w:rsid w:val="00810E8D"/>
    <w:rsid w:val="008110DF"/>
    <w:rsid w:val="008113C9"/>
    <w:rsid w:val="008113EB"/>
    <w:rsid w:val="008116E7"/>
    <w:rsid w:val="00811943"/>
    <w:rsid w:val="00811AF2"/>
    <w:rsid w:val="00811BCE"/>
    <w:rsid w:val="00811E47"/>
    <w:rsid w:val="00812649"/>
    <w:rsid w:val="00813F4B"/>
    <w:rsid w:val="008143C9"/>
    <w:rsid w:val="00814D32"/>
    <w:rsid w:val="00815942"/>
    <w:rsid w:val="00815C81"/>
    <w:rsid w:val="008166AA"/>
    <w:rsid w:val="00817158"/>
    <w:rsid w:val="008178E6"/>
    <w:rsid w:val="00817A2A"/>
    <w:rsid w:val="00820AE5"/>
    <w:rsid w:val="00820D0D"/>
    <w:rsid w:val="00820FDB"/>
    <w:rsid w:val="0082117F"/>
    <w:rsid w:val="00821498"/>
    <w:rsid w:val="00821A9D"/>
    <w:rsid w:val="008224CF"/>
    <w:rsid w:val="00822598"/>
    <w:rsid w:val="00822929"/>
    <w:rsid w:val="008246C0"/>
    <w:rsid w:val="00824743"/>
    <w:rsid w:val="00825744"/>
    <w:rsid w:val="00825D6A"/>
    <w:rsid w:val="00825FAE"/>
    <w:rsid w:val="008267CA"/>
    <w:rsid w:val="00827116"/>
    <w:rsid w:val="00827945"/>
    <w:rsid w:val="00830A6C"/>
    <w:rsid w:val="00830FCF"/>
    <w:rsid w:val="008311B8"/>
    <w:rsid w:val="008322A9"/>
    <w:rsid w:val="00832C15"/>
    <w:rsid w:val="0083344D"/>
    <w:rsid w:val="00833807"/>
    <w:rsid w:val="00833D23"/>
    <w:rsid w:val="00834243"/>
    <w:rsid w:val="00834366"/>
    <w:rsid w:val="00834471"/>
    <w:rsid w:val="00834C49"/>
    <w:rsid w:val="00835C24"/>
    <w:rsid w:val="008374C4"/>
    <w:rsid w:val="0083763C"/>
    <w:rsid w:val="008403DC"/>
    <w:rsid w:val="00840A67"/>
    <w:rsid w:val="00840B82"/>
    <w:rsid w:val="0084112D"/>
    <w:rsid w:val="00841700"/>
    <w:rsid w:val="00841FC6"/>
    <w:rsid w:val="00843091"/>
    <w:rsid w:val="0084325E"/>
    <w:rsid w:val="008432D4"/>
    <w:rsid w:val="00843420"/>
    <w:rsid w:val="008436E3"/>
    <w:rsid w:val="008444CD"/>
    <w:rsid w:val="008449AB"/>
    <w:rsid w:val="00844C1B"/>
    <w:rsid w:val="00845A93"/>
    <w:rsid w:val="00845B9C"/>
    <w:rsid w:val="00845CB6"/>
    <w:rsid w:val="0084616C"/>
    <w:rsid w:val="008464F5"/>
    <w:rsid w:val="008465CE"/>
    <w:rsid w:val="00846DA8"/>
    <w:rsid w:val="00846EDC"/>
    <w:rsid w:val="008471CF"/>
    <w:rsid w:val="0084761E"/>
    <w:rsid w:val="00847823"/>
    <w:rsid w:val="00847CCA"/>
    <w:rsid w:val="00847E3B"/>
    <w:rsid w:val="0085143E"/>
    <w:rsid w:val="008523CF"/>
    <w:rsid w:val="00852606"/>
    <w:rsid w:val="00852D57"/>
    <w:rsid w:val="00852DC5"/>
    <w:rsid w:val="00852DE9"/>
    <w:rsid w:val="008541C6"/>
    <w:rsid w:val="008542E8"/>
    <w:rsid w:val="0085447A"/>
    <w:rsid w:val="00854859"/>
    <w:rsid w:val="00855206"/>
    <w:rsid w:val="00856816"/>
    <w:rsid w:val="008572BB"/>
    <w:rsid w:val="0085793B"/>
    <w:rsid w:val="00857969"/>
    <w:rsid w:val="008579F1"/>
    <w:rsid w:val="00857BFC"/>
    <w:rsid w:val="0086096E"/>
    <w:rsid w:val="008610C1"/>
    <w:rsid w:val="00861703"/>
    <w:rsid w:val="0086212E"/>
    <w:rsid w:val="00863621"/>
    <w:rsid w:val="00863847"/>
    <w:rsid w:val="00864C56"/>
    <w:rsid w:val="00864EE8"/>
    <w:rsid w:val="00865896"/>
    <w:rsid w:val="008659C9"/>
    <w:rsid w:val="008663DC"/>
    <w:rsid w:val="00867198"/>
    <w:rsid w:val="008677BD"/>
    <w:rsid w:val="008678CD"/>
    <w:rsid w:val="00867D5B"/>
    <w:rsid w:val="00870F2E"/>
    <w:rsid w:val="00870FE6"/>
    <w:rsid w:val="0087149F"/>
    <w:rsid w:val="008714C9"/>
    <w:rsid w:val="00871840"/>
    <w:rsid w:val="00872350"/>
    <w:rsid w:val="008726AE"/>
    <w:rsid w:val="00873B4A"/>
    <w:rsid w:val="00874436"/>
    <w:rsid w:val="00874EBC"/>
    <w:rsid w:val="008753B6"/>
    <w:rsid w:val="00875EED"/>
    <w:rsid w:val="0087721D"/>
    <w:rsid w:val="00877CBF"/>
    <w:rsid w:val="00877FEE"/>
    <w:rsid w:val="008807C1"/>
    <w:rsid w:val="00881A5A"/>
    <w:rsid w:val="008824AA"/>
    <w:rsid w:val="008829F8"/>
    <w:rsid w:val="00882CC4"/>
    <w:rsid w:val="0088413F"/>
    <w:rsid w:val="008844AC"/>
    <w:rsid w:val="008849F1"/>
    <w:rsid w:val="008860D7"/>
    <w:rsid w:val="0088622D"/>
    <w:rsid w:val="00886255"/>
    <w:rsid w:val="00886484"/>
    <w:rsid w:val="0088681F"/>
    <w:rsid w:val="00887750"/>
    <w:rsid w:val="0089090A"/>
    <w:rsid w:val="0089096D"/>
    <w:rsid w:val="00890DD0"/>
    <w:rsid w:val="00891407"/>
    <w:rsid w:val="00891A76"/>
    <w:rsid w:val="008920F2"/>
    <w:rsid w:val="00892240"/>
    <w:rsid w:val="00892E37"/>
    <w:rsid w:val="00893A52"/>
    <w:rsid w:val="008940BC"/>
    <w:rsid w:val="00894A76"/>
    <w:rsid w:val="00894CC3"/>
    <w:rsid w:val="00894D3A"/>
    <w:rsid w:val="00894EF9"/>
    <w:rsid w:val="00895364"/>
    <w:rsid w:val="00895696"/>
    <w:rsid w:val="00895EF8"/>
    <w:rsid w:val="00896026"/>
    <w:rsid w:val="008970B7"/>
    <w:rsid w:val="00897F46"/>
    <w:rsid w:val="008A01D8"/>
    <w:rsid w:val="008A08CA"/>
    <w:rsid w:val="008A0ED4"/>
    <w:rsid w:val="008A0F4E"/>
    <w:rsid w:val="008A1CCD"/>
    <w:rsid w:val="008A1D1C"/>
    <w:rsid w:val="008A1FD5"/>
    <w:rsid w:val="008A4794"/>
    <w:rsid w:val="008A570F"/>
    <w:rsid w:val="008A631A"/>
    <w:rsid w:val="008A6E77"/>
    <w:rsid w:val="008A7173"/>
    <w:rsid w:val="008A7665"/>
    <w:rsid w:val="008B053D"/>
    <w:rsid w:val="008B0934"/>
    <w:rsid w:val="008B0DE6"/>
    <w:rsid w:val="008B1139"/>
    <w:rsid w:val="008B2CF1"/>
    <w:rsid w:val="008B2F74"/>
    <w:rsid w:val="008B3337"/>
    <w:rsid w:val="008B3E53"/>
    <w:rsid w:val="008B4BB7"/>
    <w:rsid w:val="008B4DDF"/>
    <w:rsid w:val="008B6E93"/>
    <w:rsid w:val="008B6F06"/>
    <w:rsid w:val="008B77F5"/>
    <w:rsid w:val="008B7AA4"/>
    <w:rsid w:val="008B7E7C"/>
    <w:rsid w:val="008C0F72"/>
    <w:rsid w:val="008C1696"/>
    <w:rsid w:val="008C17DC"/>
    <w:rsid w:val="008C22B6"/>
    <w:rsid w:val="008C4218"/>
    <w:rsid w:val="008C5449"/>
    <w:rsid w:val="008C62CF"/>
    <w:rsid w:val="008C7265"/>
    <w:rsid w:val="008C7D0E"/>
    <w:rsid w:val="008C7F71"/>
    <w:rsid w:val="008D0030"/>
    <w:rsid w:val="008D0806"/>
    <w:rsid w:val="008D0909"/>
    <w:rsid w:val="008D14C0"/>
    <w:rsid w:val="008D1861"/>
    <w:rsid w:val="008D2361"/>
    <w:rsid w:val="008D339F"/>
    <w:rsid w:val="008D3FFA"/>
    <w:rsid w:val="008D46BC"/>
    <w:rsid w:val="008D4AF3"/>
    <w:rsid w:val="008D5148"/>
    <w:rsid w:val="008D521B"/>
    <w:rsid w:val="008D5289"/>
    <w:rsid w:val="008D567A"/>
    <w:rsid w:val="008D617A"/>
    <w:rsid w:val="008D6350"/>
    <w:rsid w:val="008D6CD3"/>
    <w:rsid w:val="008D6ECA"/>
    <w:rsid w:val="008D7022"/>
    <w:rsid w:val="008D7652"/>
    <w:rsid w:val="008D7AA9"/>
    <w:rsid w:val="008E007B"/>
    <w:rsid w:val="008E1709"/>
    <w:rsid w:val="008E1827"/>
    <w:rsid w:val="008E195E"/>
    <w:rsid w:val="008E2EA4"/>
    <w:rsid w:val="008E2F9A"/>
    <w:rsid w:val="008E43AA"/>
    <w:rsid w:val="008E4C16"/>
    <w:rsid w:val="008E5DC7"/>
    <w:rsid w:val="008E6292"/>
    <w:rsid w:val="008E6790"/>
    <w:rsid w:val="008E67A0"/>
    <w:rsid w:val="008E6828"/>
    <w:rsid w:val="008E6A96"/>
    <w:rsid w:val="008E7049"/>
    <w:rsid w:val="008E77DB"/>
    <w:rsid w:val="008E7C1B"/>
    <w:rsid w:val="008E7DEA"/>
    <w:rsid w:val="008E7EC9"/>
    <w:rsid w:val="008F0036"/>
    <w:rsid w:val="008F01B1"/>
    <w:rsid w:val="008F0BD6"/>
    <w:rsid w:val="008F1609"/>
    <w:rsid w:val="008F1B2C"/>
    <w:rsid w:val="008F23EB"/>
    <w:rsid w:val="008F28AA"/>
    <w:rsid w:val="008F3523"/>
    <w:rsid w:val="008F3A3B"/>
    <w:rsid w:val="008F3E8C"/>
    <w:rsid w:val="008F4064"/>
    <w:rsid w:val="008F422D"/>
    <w:rsid w:val="008F456E"/>
    <w:rsid w:val="008F4C15"/>
    <w:rsid w:val="008F521D"/>
    <w:rsid w:val="008F5BF5"/>
    <w:rsid w:val="008F69C7"/>
    <w:rsid w:val="008F6DAE"/>
    <w:rsid w:val="008F7548"/>
    <w:rsid w:val="008F75D0"/>
    <w:rsid w:val="008F79B4"/>
    <w:rsid w:val="00900032"/>
    <w:rsid w:val="0090032E"/>
    <w:rsid w:val="0090035E"/>
    <w:rsid w:val="009003F6"/>
    <w:rsid w:val="009016D0"/>
    <w:rsid w:val="00901C2D"/>
    <w:rsid w:val="00902E5A"/>
    <w:rsid w:val="0090368B"/>
    <w:rsid w:val="009036E4"/>
    <w:rsid w:val="009042C9"/>
    <w:rsid w:val="009043A0"/>
    <w:rsid w:val="00904B81"/>
    <w:rsid w:val="00906B4C"/>
    <w:rsid w:val="00906D20"/>
    <w:rsid w:val="00906E61"/>
    <w:rsid w:val="00907738"/>
    <w:rsid w:val="0091020A"/>
    <w:rsid w:val="00910583"/>
    <w:rsid w:val="009117EA"/>
    <w:rsid w:val="00911C69"/>
    <w:rsid w:val="00912B9B"/>
    <w:rsid w:val="00913413"/>
    <w:rsid w:val="0091353B"/>
    <w:rsid w:val="00913AEC"/>
    <w:rsid w:val="00913F01"/>
    <w:rsid w:val="0091423B"/>
    <w:rsid w:val="00914532"/>
    <w:rsid w:val="00914D3D"/>
    <w:rsid w:val="00915849"/>
    <w:rsid w:val="00915E1A"/>
    <w:rsid w:val="00916F58"/>
    <w:rsid w:val="0091776C"/>
    <w:rsid w:val="00917E28"/>
    <w:rsid w:val="009206C9"/>
    <w:rsid w:val="00921469"/>
    <w:rsid w:val="009215E5"/>
    <w:rsid w:val="00921A9D"/>
    <w:rsid w:val="00922043"/>
    <w:rsid w:val="009227D7"/>
    <w:rsid w:val="00922B80"/>
    <w:rsid w:val="009231EF"/>
    <w:rsid w:val="009232D1"/>
    <w:rsid w:val="0092426C"/>
    <w:rsid w:val="009244FC"/>
    <w:rsid w:val="00925112"/>
    <w:rsid w:val="00925657"/>
    <w:rsid w:val="00925AA5"/>
    <w:rsid w:val="00926177"/>
    <w:rsid w:val="009262F5"/>
    <w:rsid w:val="009265B4"/>
    <w:rsid w:val="009267B2"/>
    <w:rsid w:val="00926937"/>
    <w:rsid w:val="00926E6B"/>
    <w:rsid w:val="0092724A"/>
    <w:rsid w:val="00927FDD"/>
    <w:rsid w:val="0093024D"/>
    <w:rsid w:val="00930721"/>
    <w:rsid w:val="00931017"/>
    <w:rsid w:val="00932732"/>
    <w:rsid w:val="0093298E"/>
    <w:rsid w:val="00932F05"/>
    <w:rsid w:val="00933D52"/>
    <w:rsid w:val="00934401"/>
    <w:rsid w:val="00934428"/>
    <w:rsid w:val="00934839"/>
    <w:rsid w:val="00934D44"/>
    <w:rsid w:val="00935280"/>
    <w:rsid w:val="0093540D"/>
    <w:rsid w:val="009356AA"/>
    <w:rsid w:val="009357FF"/>
    <w:rsid w:val="00935F2C"/>
    <w:rsid w:val="00936651"/>
    <w:rsid w:val="00936787"/>
    <w:rsid w:val="0093684A"/>
    <w:rsid w:val="00936B3B"/>
    <w:rsid w:val="00936FE9"/>
    <w:rsid w:val="009372D4"/>
    <w:rsid w:val="009375FC"/>
    <w:rsid w:val="00937FD9"/>
    <w:rsid w:val="0094019D"/>
    <w:rsid w:val="00941983"/>
    <w:rsid w:val="009420AF"/>
    <w:rsid w:val="0094291A"/>
    <w:rsid w:val="00942C11"/>
    <w:rsid w:val="00943290"/>
    <w:rsid w:val="0094351F"/>
    <w:rsid w:val="00943C2E"/>
    <w:rsid w:val="009449D6"/>
    <w:rsid w:val="00944B40"/>
    <w:rsid w:val="00944EE5"/>
    <w:rsid w:val="00945278"/>
    <w:rsid w:val="00945907"/>
    <w:rsid w:val="00945AF2"/>
    <w:rsid w:val="00945BE5"/>
    <w:rsid w:val="00945E9B"/>
    <w:rsid w:val="00946180"/>
    <w:rsid w:val="00946C79"/>
    <w:rsid w:val="00946EC8"/>
    <w:rsid w:val="009477CA"/>
    <w:rsid w:val="00947CB3"/>
    <w:rsid w:val="009505FC"/>
    <w:rsid w:val="00951380"/>
    <w:rsid w:val="00952110"/>
    <w:rsid w:val="00952EDB"/>
    <w:rsid w:val="009547F8"/>
    <w:rsid w:val="009548C4"/>
    <w:rsid w:val="009551B0"/>
    <w:rsid w:val="00955271"/>
    <w:rsid w:val="00955789"/>
    <w:rsid w:val="0095665D"/>
    <w:rsid w:val="00956BDE"/>
    <w:rsid w:val="00957123"/>
    <w:rsid w:val="009574D6"/>
    <w:rsid w:val="00960122"/>
    <w:rsid w:val="009607C6"/>
    <w:rsid w:val="0096131A"/>
    <w:rsid w:val="00961533"/>
    <w:rsid w:val="0096182A"/>
    <w:rsid w:val="00961B4F"/>
    <w:rsid w:val="009626B3"/>
    <w:rsid w:val="00962ACF"/>
    <w:rsid w:val="00962C14"/>
    <w:rsid w:val="0096424E"/>
    <w:rsid w:val="009642C7"/>
    <w:rsid w:val="0096493F"/>
    <w:rsid w:val="009653B7"/>
    <w:rsid w:val="00965BE8"/>
    <w:rsid w:val="00966726"/>
    <w:rsid w:val="0097026E"/>
    <w:rsid w:val="0097071A"/>
    <w:rsid w:val="0097080B"/>
    <w:rsid w:val="00971B40"/>
    <w:rsid w:val="0097218F"/>
    <w:rsid w:val="00972786"/>
    <w:rsid w:val="009729D4"/>
    <w:rsid w:val="009732C5"/>
    <w:rsid w:val="00973EDE"/>
    <w:rsid w:val="0097432C"/>
    <w:rsid w:val="0097434C"/>
    <w:rsid w:val="00974573"/>
    <w:rsid w:val="00976252"/>
    <w:rsid w:val="00976A2B"/>
    <w:rsid w:val="00976FAF"/>
    <w:rsid w:val="00977371"/>
    <w:rsid w:val="00980044"/>
    <w:rsid w:val="00980759"/>
    <w:rsid w:val="00980B73"/>
    <w:rsid w:val="00980CF1"/>
    <w:rsid w:val="0098131F"/>
    <w:rsid w:val="0098162C"/>
    <w:rsid w:val="009817B0"/>
    <w:rsid w:val="009821CE"/>
    <w:rsid w:val="0098280B"/>
    <w:rsid w:val="00982A81"/>
    <w:rsid w:val="00983763"/>
    <w:rsid w:val="00983C06"/>
    <w:rsid w:val="00983D3D"/>
    <w:rsid w:val="00984165"/>
    <w:rsid w:val="009851DE"/>
    <w:rsid w:val="00985642"/>
    <w:rsid w:val="00987BC5"/>
    <w:rsid w:val="00987FD3"/>
    <w:rsid w:val="009908DD"/>
    <w:rsid w:val="00990BE8"/>
    <w:rsid w:val="009910AF"/>
    <w:rsid w:val="00991F4C"/>
    <w:rsid w:val="009930B4"/>
    <w:rsid w:val="00993A96"/>
    <w:rsid w:val="00993B57"/>
    <w:rsid w:val="009943C5"/>
    <w:rsid w:val="009948FE"/>
    <w:rsid w:val="009957B7"/>
    <w:rsid w:val="0099627A"/>
    <w:rsid w:val="009967A4"/>
    <w:rsid w:val="00996C3E"/>
    <w:rsid w:val="00997AF4"/>
    <w:rsid w:val="00997D50"/>
    <w:rsid w:val="00997FC1"/>
    <w:rsid w:val="009A092B"/>
    <w:rsid w:val="009A277C"/>
    <w:rsid w:val="009A2DCF"/>
    <w:rsid w:val="009A3613"/>
    <w:rsid w:val="009A490B"/>
    <w:rsid w:val="009A53A6"/>
    <w:rsid w:val="009A54CA"/>
    <w:rsid w:val="009A5539"/>
    <w:rsid w:val="009A58AC"/>
    <w:rsid w:val="009A5AFE"/>
    <w:rsid w:val="009A5F7B"/>
    <w:rsid w:val="009A658F"/>
    <w:rsid w:val="009A7038"/>
    <w:rsid w:val="009A7052"/>
    <w:rsid w:val="009A746C"/>
    <w:rsid w:val="009A7E5B"/>
    <w:rsid w:val="009B01B4"/>
    <w:rsid w:val="009B03B2"/>
    <w:rsid w:val="009B0569"/>
    <w:rsid w:val="009B088F"/>
    <w:rsid w:val="009B1CE3"/>
    <w:rsid w:val="009B1F36"/>
    <w:rsid w:val="009B1F62"/>
    <w:rsid w:val="009B2249"/>
    <w:rsid w:val="009B2662"/>
    <w:rsid w:val="009B2B68"/>
    <w:rsid w:val="009B35FE"/>
    <w:rsid w:val="009B447B"/>
    <w:rsid w:val="009B49BF"/>
    <w:rsid w:val="009B4FB6"/>
    <w:rsid w:val="009B557F"/>
    <w:rsid w:val="009B624A"/>
    <w:rsid w:val="009B6435"/>
    <w:rsid w:val="009B648A"/>
    <w:rsid w:val="009B6D56"/>
    <w:rsid w:val="009B7396"/>
    <w:rsid w:val="009B7E56"/>
    <w:rsid w:val="009C03D0"/>
    <w:rsid w:val="009C068C"/>
    <w:rsid w:val="009C1BC4"/>
    <w:rsid w:val="009C2337"/>
    <w:rsid w:val="009C2598"/>
    <w:rsid w:val="009C3227"/>
    <w:rsid w:val="009C491D"/>
    <w:rsid w:val="009C4C1D"/>
    <w:rsid w:val="009C5626"/>
    <w:rsid w:val="009C5FFF"/>
    <w:rsid w:val="009C68E9"/>
    <w:rsid w:val="009C6EAD"/>
    <w:rsid w:val="009C6EFB"/>
    <w:rsid w:val="009C761A"/>
    <w:rsid w:val="009C7650"/>
    <w:rsid w:val="009D1689"/>
    <w:rsid w:val="009D18C6"/>
    <w:rsid w:val="009D18EB"/>
    <w:rsid w:val="009D1B7E"/>
    <w:rsid w:val="009D2155"/>
    <w:rsid w:val="009D2CFF"/>
    <w:rsid w:val="009D3414"/>
    <w:rsid w:val="009D3934"/>
    <w:rsid w:val="009D4771"/>
    <w:rsid w:val="009D4E97"/>
    <w:rsid w:val="009D515B"/>
    <w:rsid w:val="009D58EC"/>
    <w:rsid w:val="009D67CC"/>
    <w:rsid w:val="009D6AAC"/>
    <w:rsid w:val="009D6F2E"/>
    <w:rsid w:val="009D7062"/>
    <w:rsid w:val="009D799A"/>
    <w:rsid w:val="009D7C23"/>
    <w:rsid w:val="009E01C5"/>
    <w:rsid w:val="009E0B7B"/>
    <w:rsid w:val="009E0CA5"/>
    <w:rsid w:val="009E15B6"/>
    <w:rsid w:val="009E1664"/>
    <w:rsid w:val="009E171B"/>
    <w:rsid w:val="009E1C30"/>
    <w:rsid w:val="009E1D29"/>
    <w:rsid w:val="009E20E5"/>
    <w:rsid w:val="009E3DD7"/>
    <w:rsid w:val="009E401C"/>
    <w:rsid w:val="009E4580"/>
    <w:rsid w:val="009E49DF"/>
    <w:rsid w:val="009E4B27"/>
    <w:rsid w:val="009E4D3B"/>
    <w:rsid w:val="009E54C8"/>
    <w:rsid w:val="009E5EA4"/>
    <w:rsid w:val="009E680A"/>
    <w:rsid w:val="009E6CC9"/>
    <w:rsid w:val="009E73FC"/>
    <w:rsid w:val="009E75E8"/>
    <w:rsid w:val="009F01C2"/>
    <w:rsid w:val="009F048E"/>
    <w:rsid w:val="009F083F"/>
    <w:rsid w:val="009F0B09"/>
    <w:rsid w:val="009F0D55"/>
    <w:rsid w:val="009F1158"/>
    <w:rsid w:val="009F1E41"/>
    <w:rsid w:val="009F28BC"/>
    <w:rsid w:val="009F2DFA"/>
    <w:rsid w:val="009F3364"/>
    <w:rsid w:val="009F3561"/>
    <w:rsid w:val="009F3FD8"/>
    <w:rsid w:val="009F50E8"/>
    <w:rsid w:val="009F5983"/>
    <w:rsid w:val="009F5D80"/>
    <w:rsid w:val="009F7278"/>
    <w:rsid w:val="009F7874"/>
    <w:rsid w:val="009F7B39"/>
    <w:rsid w:val="009F7C5E"/>
    <w:rsid w:val="009F7D30"/>
    <w:rsid w:val="00A008DF"/>
    <w:rsid w:val="00A01232"/>
    <w:rsid w:val="00A015E8"/>
    <w:rsid w:val="00A01A8A"/>
    <w:rsid w:val="00A01E5D"/>
    <w:rsid w:val="00A02012"/>
    <w:rsid w:val="00A02B23"/>
    <w:rsid w:val="00A02D4A"/>
    <w:rsid w:val="00A032A6"/>
    <w:rsid w:val="00A03BF7"/>
    <w:rsid w:val="00A043B3"/>
    <w:rsid w:val="00A043B4"/>
    <w:rsid w:val="00A04C7E"/>
    <w:rsid w:val="00A069CC"/>
    <w:rsid w:val="00A06C25"/>
    <w:rsid w:val="00A07C20"/>
    <w:rsid w:val="00A07CE2"/>
    <w:rsid w:val="00A07D47"/>
    <w:rsid w:val="00A10593"/>
    <w:rsid w:val="00A1066C"/>
    <w:rsid w:val="00A10DB9"/>
    <w:rsid w:val="00A12069"/>
    <w:rsid w:val="00A12DD3"/>
    <w:rsid w:val="00A12F62"/>
    <w:rsid w:val="00A1375E"/>
    <w:rsid w:val="00A137DB"/>
    <w:rsid w:val="00A1496E"/>
    <w:rsid w:val="00A14FE9"/>
    <w:rsid w:val="00A154BB"/>
    <w:rsid w:val="00A15504"/>
    <w:rsid w:val="00A1638D"/>
    <w:rsid w:val="00A175A6"/>
    <w:rsid w:val="00A1799F"/>
    <w:rsid w:val="00A17E2E"/>
    <w:rsid w:val="00A202F7"/>
    <w:rsid w:val="00A20445"/>
    <w:rsid w:val="00A20EDE"/>
    <w:rsid w:val="00A21142"/>
    <w:rsid w:val="00A21F0A"/>
    <w:rsid w:val="00A2200C"/>
    <w:rsid w:val="00A223A8"/>
    <w:rsid w:val="00A2243B"/>
    <w:rsid w:val="00A228C0"/>
    <w:rsid w:val="00A23201"/>
    <w:rsid w:val="00A236A0"/>
    <w:rsid w:val="00A23D25"/>
    <w:rsid w:val="00A25D47"/>
    <w:rsid w:val="00A262D6"/>
    <w:rsid w:val="00A26C2F"/>
    <w:rsid w:val="00A273FE"/>
    <w:rsid w:val="00A27934"/>
    <w:rsid w:val="00A306DE"/>
    <w:rsid w:val="00A3125E"/>
    <w:rsid w:val="00A32C97"/>
    <w:rsid w:val="00A33191"/>
    <w:rsid w:val="00A34EA3"/>
    <w:rsid w:val="00A35177"/>
    <w:rsid w:val="00A354EF"/>
    <w:rsid w:val="00A3666B"/>
    <w:rsid w:val="00A3699A"/>
    <w:rsid w:val="00A36A00"/>
    <w:rsid w:val="00A3726C"/>
    <w:rsid w:val="00A3749B"/>
    <w:rsid w:val="00A37861"/>
    <w:rsid w:val="00A37B1B"/>
    <w:rsid w:val="00A37D87"/>
    <w:rsid w:val="00A37D9C"/>
    <w:rsid w:val="00A40177"/>
    <w:rsid w:val="00A405A6"/>
    <w:rsid w:val="00A40E21"/>
    <w:rsid w:val="00A4123F"/>
    <w:rsid w:val="00A419CE"/>
    <w:rsid w:val="00A43242"/>
    <w:rsid w:val="00A43EF2"/>
    <w:rsid w:val="00A44314"/>
    <w:rsid w:val="00A46A69"/>
    <w:rsid w:val="00A47372"/>
    <w:rsid w:val="00A50966"/>
    <w:rsid w:val="00A50D88"/>
    <w:rsid w:val="00A50E14"/>
    <w:rsid w:val="00A523B8"/>
    <w:rsid w:val="00A5344C"/>
    <w:rsid w:val="00A53A42"/>
    <w:rsid w:val="00A54654"/>
    <w:rsid w:val="00A54BBD"/>
    <w:rsid w:val="00A56079"/>
    <w:rsid w:val="00A56923"/>
    <w:rsid w:val="00A574D9"/>
    <w:rsid w:val="00A57645"/>
    <w:rsid w:val="00A57956"/>
    <w:rsid w:val="00A613E8"/>
    <w:rsid w:val="00A614DA"/>
    <w:rsid w:val="00A61709"/>
    <w:rsid w:val="00A6291C"/>
    <w:rsid w:val="00A629C9"/>
    <w:rsid w:val="00A62E42"/>
    <w:rsid w:val="00A63842"/>
    <w:rsid w:val="00A64989"/>
    <w:rsid w:val="00A64A71"/>
    <w:rsid w:val="00A6607F"/>
    <w:rsid w:val="00A66774"/>
    <w:rsid w:val="00A675B7"/>
    <w:rsid w:val="00A67C00"/>
    <w:rsid w:val="00A700B6"/>
    <w:rsid w:val="00A70798"/>
    <w:rsid w:val="00A71444"/>
    <w:rsid w:val="00A7168F"/>
    <w:rsid w:val="00A72335"/>
    <w:rsid w:val="00A7236C"/>
    <w:rsid w:val="00A724BD"/>
    <w:rsid w:val="00A72960"/>
    <w:rsid w:val="00A72D8F"/>
    <w:rsid w:val="00A72F68"/>
    <w:rsid w:val="00A741D1"/>
    <w:rsid w:val="00A74815"/>
    <w:rsid w:val="00A761E4"/>
    <w:rsid w:val="00A770A2"/>
    <w:rsid w:val="00A774D2"/>
    <w:rsid w:val="00A77648"/>
    <w:rsid w:val="00A80C6E"/>
    <w:rsid w:val="00A80F11"/>
    <w:rsid w:val="00A80FC8"/>
    <w:rsid w:val="00A81DF6"/>
    <w:rsid w:val="00A843F8"/>
    <w:rsid w:val="00A84754"/>
    <w:rsid w:val="00A84C55"/>
    <w:rsid w:val="00A85705"/>
    <w:rsid w:val="00A85DAF"/>
    <w:rsid w:val="00A85E3B"/>
    <w:rsid w:val="00A85FE8"/>
    <w:rsid w:val="00A86410"/>
    <w:rsid w:val="00A868D8"/>
    <w:rsid w:val="00A87A24"/>
    <w:rsid w:val="00A87C91"/>
    <w:rsid w:val="00A87EB2"/>
    <w:rsid w:val="00A91827"/>
    <w:rsid w:val="00A91C1F"/>
    <w:rsid w:val="00A91CE8"/>
    <w:rsid w:val="00A92373"/>
    <w:rsid w:val="00A92993"/>
    <w:rsid w:val="00A92D06"/>
    <w:rsid w:val="00A92EAF"/>
    <w:rsid w:val="00A93401"/>
    <w:rsid w:val="00A94512"/>
    <w:rsid w:val="00A95490"/>
    <w:rsid w:val="00A9557E"/>
    <w:rsid w:val="00A9560A"/>
    <w:rsid w:val="00A9603E"/>
    <w:rsid w:val="00A96C4C"/>
    <w:rsid w:val="00A96EF7"/>
    <w:rsid w:val="00A97160"/>
    <w:rsid w:val="00A972F9"/>
    <w:rsid w:val="00AA053A"/>
    <w:rsid w:val="00AA0E58"/>
    <w:rsid w:val="00AA0F72"/>
    <w:rsid w:val="00AA16E5"/>
    <w:rsid w:val="00AA1DA5"/>
    <w:rsid w:val="00AA2047"/>
    <w:rsid w:val="00AA2CC1"/>
    <w:rsid w:val="00AA3131"/>
    <w:rsid w:val="00AA3477"/>
    <w:rsid w:val="00AA3546"/>
    <w:rsid w:val="00AA35B4"/>
    <w:rsid w:val="00AA380F"/>
    <w:rsid w:val="00AA3C97"/>
    <w:rsid w:val="00AA42AA"/>
    <w:rsid w:val="00AA462F"/>
    <w:rsid w:val="00AA4716"/>
    <w:rsid w:val="00AA4884"/>
    <w:rsid w:val="00AA5848"/>
    <w:rsid w:val="00AA61A6"/>
    <w:rsid w:val="00AA660B"/>
    <w:rsid w:val="00AA7837"/>
    <w:rsid w:val="00AA7C66"/>
    <w:rsid w:val="00AA7CFA"/>
    <w:rsid w:val="00AB000D"/>
    <w:rsid w:val="00AB002B"/>
    <w:rsid w:val="00AB03A4"/>
    <w:rsid w:val="00AB0989"/>
    <w:rsid w:val="00AB0F1E"/>
    <w:rsid w:val="00AB119C"/>
    <w:rsid w:val="00AB14BD"/>
    <w:rsid w:val="00AB1814"/>
    <w:rsid w:val="00AB18AF"/>
    <w:rsid w:val="00AB2261"/>
    <w:rsid w:val="00AB30CE"/>
    <w:rsid w:val="00AB38E5"/>
    <w:rsid w:val="00AB4343"/>
    <w:rsid w:val="00AB4BB9"/>
    <w:rsid w:val="00AB52BC"/>
    <w:rsid w:val="00AB52D1"/>
    <w:rsid w:val="00AB5389"/>
    <w:rsid w:val="00AB5C30"/>
    <w:rsid w:val="00AB5CF1"/>
    <w:rsid w:val="00AB6B2A"/>
    <w:rsid w:val="00AB74ED"/>
    <w:rsid w:val="00AB7869"/>
    <w:rsid w:val="00AC03E8"/>
    <w:rsid w:val="00AC0A1E"/>
    <w:rsid w:val="00AC0A7D"/>
    <w:rsid w:val="00AC12BD"/>
    <w:rsid w:val="00AC164F"/>
    <w:rsid w:val="00AC1668"/>
    <w:rsid w:val="00AC1D7D"/>
    <w:rsid w:val="00AC1E11"/>
    <w:rsid w:val="00AC28BE"/>
    <w:rsid w:val="00AC291F"/>
    <w:rsid w:val="00AC2D70"/>
    <w:rsid w:val="00AC3196"/>
    <w:rsid w:val="00AC3842"/>
    <w:rsid w:val="00AC4065"/>
    <w:rsid w:val="00AC4BF2"/>
    <w:rsid w:val="00AC54B2"/>
    <w:rsid w:val="00AC60C5"/>
    <w:rsid w:val="00AC6D30"/>
    <w:rsid w:val="00AC7FD9"/>
    <w:rsid w:val="00AD01DD"/>
    <w:rsid w:val="00AD05E2"/>
    <w:rsid w:val="00AD1CBF"/>
    <w:rsid w:val="00AD1DFC"/>
    <w:rsid w:val="00AD3323"/>
    <w:rsid w:val="00AD3D13"/>
    <w:rsid w:val="00AD4196"/>
    <w:rsid w:val="00AD4F5A"/>
    <w:rsid w:val="00AD56A3"/>
    <w:rsid w:val="00AD57CF"/>
    <w:rsid w:val="00AD6983"/>
    <w:rsid w:val="00AD72EF"/>
    <w:rsid w:val="00AE0371"/>
    <w:rsid w:val="00AE0C0A"/>
    <w:rsid w:val="00AE23B7"/>
    <w:rsid w:val="00AE2D42"/>
    <w:rsid w:val="00AE2F90"/>
    <w:rsid w:val="00AE31D4"/>
    <w:rsid w:val="00AE31F2"/>
    <w:rsid w:val="00AE3691"/>
    <w:rsid w:val="00AE3E99"/>
    <w:rsid w:val="00AE4073"/>
    <w:rsid w:val="00AE4B59"/>
    <w:rsid w:val="00AE4C21"/>
    <w:rsid w:val="00AE4EB6"/>
    <w:rsid w:val="00AE553C"/>
    <w:rsid w:val="00AE588D"/>
    <w:rsid w:val="00AE5A0A"/>
    <w:rsid w:val="00AE6172"/>
    <w:rsid w:val="00AE6BEE"/>
    <w:rsid w:val="00AE781D"/>
    <w:rsid w:val="00AE7CF9"/>
    <w:rsid w:val="00AF0208"/>
    <w:rsid w:val="00AF1700"/>
    <w:rsid w:val="00AF1854"/>
    <w:rsid w:val="00AF489D"/>
    <w:rsid w:val="00AF4A51"/>
    <w:rsid w:val="00AF661F"/>
    <w:rsid w:val="00AF7145"/>
    <w:rsid w:val="00AF753F"/>
    <w:rsid w:val="00AF7689"/>
    <w:rsid w:val="00B0003C"/>
    <w:rsid w:val="00B00AF0"/>
    <w:rsid w:val="00B01377"/>
    <w:rsid w:val="00B01916"/>
    <w:rsid w:val="00B020C7"/>
    <w:rsid w:val="00B022D9"/>
    <w:rsid w:val="00B03B87"/>
    <w:rsid w:val="00B03DD6"/>
    <w:rsid w:val="00B05725"/>
    <w:rsid w:val="00B06019"/>
    <w:rsid w:val="00B0608F"/>
    <w:rsid w:val="00B061BF"/>
    <w:rsid w:val="00B062EB"/>
    <w:rsid w:val="00B06DB4"/>
    <w:rsid w:val="00B06EB9"/>
    <w:rsid w:val="00B07A0B"/>
    <w:rsid w:val="00B10AC2"/>
    <w:rsid w:val="00B1113C"/>
    <w:rsid w:val="00B112BB"/>
    <w:rsid w:val="00B11804"/>
    <w:rsid w:val="00B11854"/>
    <w:rsid w:val="00B1209B"/>
    <w:rsid w:val="00B12692"/>
    <w:rsid w:val="00B128DD"/>
    <w:rsid w:val="00B13749"/>
    <w:rsid w:val="00B138AA"/>
    <w:rsid w:val="00B13D76"/>
    <w:rsid w:val="00B13F3A"/>
    <w:rsid w:val="00B14222"/>
    <w:rsid w:val="00B14986"/>
    <w:rsid w:val="00B15056"/>
    <w:rsid w:val="00B15503"/>
    <w:rsid w:val="00B15BA6"/>
    <w:rsid w:val="00B1618D"/>
    <w:rsid w:val="00B16581"/>
    <w:rsid w:val="00B167BA"/>
    <w:rsid w:val="00B17EB1"/>
    <w:rsid w:val="00B204C7"/>
    <w:rsid w:val="00B20541"/>
    <w:rsid w:val="00B2054A"/>
    <w:rsid w:val="00B20626"/>
    <w:rsid w:val="00B20E25"/>
    <w:rsid w:val="00B214C6"/>
    <w:rsid w:val="00B21C66"/>
    <w:rsid w:val="00B220F9"/>
    <w:rsid w:val="00B2296D"/>
    <w:rsid w:val="00B241D4"/>
    <w:rsid w:val="00B2480F"/>
    <w:rsid w:val="00B25477"/>
    <w:rsid w:val="00B26367"/>
    <w:rsid w:val="00B26EA3"/>
    <w:rsid w:val="00B274D1"/>
    <w:rsid w:val="00B30264"/>
    <w:rsid w:val="00B30FE2"/>
    <w:rsid w:val="00B31612"/>
    <w:rsid w:val="00B32E49"/>
    <w:rsid w:val="00B3359C"/>
    <w:rsid w:val="00B33BB1"/>
    <w:rsid w:val="00B34651"/>
    <w:rsid w:val="00B34A1C"/>
    <w:rsid w:val="00B357F0"/>
    <w:rsid w:val="00B3583B"/>
    <w:rsid w:val="00B35EF8"/>
    <w:rsid w:val="00B35F63"/>
    <w:rsid w:val="00B36C3C"/>
    <w:rsid w:val="00B36E2B"/>
    <w:rsid w:val="00B37A8F"/>
    <w:rsid w:val="00B37F55"/>
    <w:rsid w:val="00B402E4"/>
    <w:rsid w:val="00B40A68"/>
    <w:rsid w:val="00B40E3F"/>
    <w:rsid w:val="00B41346"/>
    <w:rsid w:val="00B41876"/>
    <w:rsid w:val="00B41D4A"/>
    <w:rsid w:val="00B42683"/>
    <w:rsid w:val="00B42CE6"/>
    <w:rsid w:val="00B43403"/>
    <w:rsid w:val="00B43D9B"/>
    <w:rsid w:val="00B45357"/>
    <w:rsid w:val="00B47A6E"/>
    <w:rsid w:val="00B500B6"/>
    <w:rsid w:val="00B51CBC"/>
    <w:rsid w:val="00B5219B"/>
    <w:rsid w:val="00B52896"/>
    <w:rsid w:val="00B5296F"/>
    <w:rsid w:val="00B52AFB"/>
    <w:rsid w:val="00B54227"/>
    <w:rsid w:val="00B54D82"/>
    <w:rsid w:val="00B551D1"/>
    <w:rsid w:val="00B55AF7"/>
    <w:rsid w:val="00B55B04"/>
    <w:rsid w:val="00B55B21"/>
    <w:rsid w:val="00B56FA3"/>
    <w:rsid w:val="00B60409"/>
    <w:rsid w:val="00B607B8"/>
    <w:rsid w:val="00B61232"/>
    <w:rsid w:val="00B6168E"/>
    <w:rsid w:val="00B6244B"/>
    <w:rsid w:val="00B6247A"/>
    <w:rsid w:val="00B62D6D"/>
    <w:rsid w:val="00B631F7"/>
    <w:rsid w:val="00B63829"/>
    <w:rsid w:val="00B63C8E"/>
    <w:rsid w:val="00B64062"/>
    <w:rsid w:val="00B645C7"/>
    <w:rsid w:val="00B65014"/>
    <w:rsid w:val="00B65347"/>
    <w:rsid w:val="00B65622"/>
    <w:rsid w:val="00B65DC3"/>
    <w:rsid w:val="00B65DE1"/>
    <w:rsid w:val="00B65E93"/>
    <w:rsid w:val="00B66CE5"/>
    <w:rsid w:val="00B66FC8"/>
    <w:rsid w:val="00B6709B"/>
    <w:rsid w:val="00B670F6"/>
    <w:rsid w:val="00B67246"/>
    <w:rsid w:val="00B67763"/>
    <w:rsid w:val="00B67AAC"/>
    <w:rsid w:val="00B7001A"/>
    <w:rsid w:val="00B707E1"/>
    <w:rsid w:val="00B70F43"/>
    <w:rsid w:val="00B7152A"/>
    <w:rsid w:val="00B71A28"/>
    <w:rsid w:val="00B71DF3"/>
    <w:rsid w:val="00B71EF9"/>
    <w:rsid w:val="00B72512"/>
    <w:rsid w:val="00B726F3"/>
    <w:rsid w:val="00B72AF0"/>
    <w:rsid w:val="00B72CE9"/>
    <w:rsid w:val="00B73258"/>
    <w:rsid w:val="00B737EB"/>
    <w:rsid w:val="00B73844"/>
    <w:rsid w:val="00B74675"/>
    <w:rsid w:val="00B74875"/>
    <w:rsid w:val="00B7546A"/>
    <w:rsid w:val="00B75499"/>
    <w:rsid w:val="00B75782"/>
    <w:rsid w:val="00B76789"/>
    <w:rsid w:val="00B7695A"/>
    <w:rsid w:val="00B76BEE"/>
    <w:rsid w:val="00B770CB"/>
    <w:rsid w:val="00B773A9"/>
    <w:rsid w:val="00B774C6"/>
    <w:rsid w:val="00B775EE"/>
    <w:rsid w:val="00B80417"/>
    <w:rsid w:val="00B8057C"/>
    <w:rsid w:val="00B805AC"/>
    <w:rsid w:val="00B81414"/>
    <w:rsid w:val="00B814C5"/>
    <w:rsid w:val="00B81EF0"/>
    <w:rsid w:val="00B8201B"/>
    <w:rsid w:val="00B82AB9"/>
    <w:rsid w:val="00B83DE6"/>
    <w:rsid w:val="00B8415C"/>
    <w:rsid w:val="00B846F6"/>
    <w:rsid w:val="00B84A76"/>
    <w:rsid w:val="00B8551C"/>
    <w:rsid w:val="00B855A1"/>
    <w:rsid w:val="00B855E7"/>
    <w:rsid w:val="00B8605E"/>
    <w:rsid w:val="00B8627C"/>
    <w:rsid w:val="00B868CC"/>
    <w:rsid w:val="00B87644"/>
    <w:rsid w:val="00B87927"/>
    <w:rsid w:val="00B90B4F"/>
    <w:rsid w:val="00B92177"/>
    <w:rsid w:val="00B922A3"/>
    <w:rsid w:val="00B924F7"/>
    <w:rsid w:val="00B92B64"/>
    <w:rsid w:val="00B9337A"/>
    <w:rsid w:val="00B93C71"/>
    <w:rsid w:val="00B941B9"/>
    <w:rsid w:val="00B9497F"/>
    <w:rsid w:val="00B94DFB"/>
    <w:rsid w:val="00B94EDC"/>
    <w:rsid w:val="00B955C2"/>
    <w:rsid w:val="00B95FD7"/>
    <w:rsid w:val="00B9751F"/>
    <w:rsid w:val="00B97B05"/>
    <w:rsid w:val="00BA0398"/>
    <w:rsid w:val="00BA1DAE"/>
    <w:rsid w:val="00BA28AD"/>
    <w:rsid w:val="00BA3FA6"/>
    <w:rsid w:val="00BA42B8"/>
    <w:rsid w:val="00BA4531"/>
    <w:rsid w:val="00BA5396"/>
    <w:rsid w:val="00BA5F36"/>
    <w:rsid w:val="00BA67F8"/>
    <w:rsid w:val="00BA69B2"/>
    <w:rsid w:val="00BA6E6B"/>
    <w:rsid w:val="00BA7B09"/>
    <w:rsid w:val="00BA7B2C"/>
    <w:rsid w:val="00BA7F97"/>
    <w:rsid w:val="00BB00F3"/>
    <w:rsid w:val="00BB04F4"/>
    <w:rsid w:val="00BB0886"/>
    <w:rsid w:val="00BB0995"/>
    <w:rsid w:val="00BB10B0"/>
    <w:rsid w:val="00BB1656"/>
    <w:rsid w:val="00BB1AD6"/>
    <w:rsid w:val="00BB1D8B"/>
    <w:rsid w:val="00BB1E09"/>
    <w:rsid w:val="00BB1F06"/>
    <w:rsid w:val="00BB2992"/>
    <w:rsid w:val="00BB2E1B"/>
    <w:rsid w:val="00BB3FDB"/>
    <w:rsid w:val="00BB40BA"/>
    <w:rsid w:val="00BB4CB8"/>
    <w:rsid w:val="00BB6BC3"/>
    <w:rsid w:val="00BB6ED5"/>
    <w:rsid w:val="00BB6FD6"/>
    <w:rsid w:val="00BB753A"/>
    <w:rsid w:val="00BB7DD9"/>
    <w:rsid w:val="00BC005C"/>
    <w:rsid w:val="00BC0117"/>
    <w:rsid w:val="00BC0C66"/>
    <w:rsid w:val="00BC0CC1"/>
    <w:rsid w:val="00BC2ACB"/>
    <w:rsid w:val="00BC3766"/>
    <w:rsid w:val="00BC3E98"/>
    <w:rsid w:val="00BC3FF9"/>
    <w:rsid w:val="00BC5167"/>
    <w:rsid w:val="00BC568B"/>
    <w:rsid w:val="00BC5B8F"/>
    <w:rsid w:val="00BC68CE"/>
    <w:rsid w:val="00BC6B1F"/>
    <w:rsid w:val="00BC6E69"/>
    <w:rsid w:val="00BC6FB8"/>
    <w:rsid w:val="00BD0C14"/>
    <w:rsid w:val="00BD26AA"/>
    <w:rsid w:val="00BD2B12"/>
    <w:rsid w:val="00BD307E"/>
    <w:rsid w:val="00BD3D6E"/>
    <w:rsid w:val="00BD44D8"/>
    <w:rsid w:val="00BD454F"/>
    <w:rsid w:val="00BD4969"/>
    <w:rsid w:val="00BD4A1F"/>
    <w:rsid w:val="00BD51CC"/>
    <w:rsid w:val="00BD53D9"/>
    <w:rsid w:val="00BD5DE5"/>
    <w:rsid w:val="00BD65D6"/>
    <w:rsid w:val="00BE0356"/>
    <w:rsid w:val="00BE10F6"/>
    <w:rsid w:val="00BE1EDC"/>
    <w:rsid w:val="00BE21E4"/>
    <w:rsid w:val="00BE2F8B"/>
    <w:rsid w:val="00BE3066"/>
    <w:rsid w:val="00BE3CDB"/>
    <w:rsid w:val="00BE3D8C"/>
    <w:rsid w:val="00BE3F2B"/>
    <w:rsid w:val="00BE4518"/>
    <w:rsid w:val="00BE48B8"/>
    <w:rsid w:val="00BE59C6"/>
    <w:rsid w:val="00BE5F7D"/>
    <w:rsid w:val="00BE6D9D"/>
    <w:rsid w:val="00BE70A8"/>
    <w:rsid w:val="00BE795E"/>
    <w:rsid w:val="00BE7EA5"/>
    <w:rsid w:val="00BF00F8"/>
    <w:rsid w:val="00BF0B60"/>
    <w:rsid w:val="00BF18C0"/>
    <w:rsid w:val="00BF2113"/>
    <w:rsid w:val="00BF260C"/>
    <w:rsid w:val="00BF2872"/>
    <w:rsid w:val="00BF4991"/>
    <w:rsid w:val="00BF50F3"/>
    <w:rsid w:val="00BF546F"/>
    <w:rsid w:val="00BF5BCA"/>
    <w:rsid w:val="00BF68C4"/>
    <w:rsid w:val="00BF712F"/>
    <w:rsid w:val="00BF7287"/>
    <w:rsid w:val="00BF7BDF"/>
    <w:rsid w:val="00BF7E50"/>
    <w:rsid w:val="00C00148"/>
    <w:rsid w:val="00C00655"/>
    <w:rsid w:val="00C0138B"/>
    <w:rsid w:val="00C019FA"/>
    <w:rsid w:val="00C01DCC"/>
    <w:rsid w:val="00C0222A"/>
    <w:rsid w:val="00C0240B"/>
    <w:rsid w:val="00C029C0"/>
    <w:rsid w:val="00C02CCF"/>
    <w:rsid w:val="00C037A7"/>
    <w:rsid w:val="00C041A8"/>
    <w:rsid w:val="00C04283"/>
    <w:rsid w:val="00C043B0"/>
    <w:rsid w:val="00C0465E"/>
    <w:rsid w:val="00C056D6"/>
    <w:rsid w:val="00C057B0"/>
    <w:rsid w:val="00C06154"/>
    <w:rsid w:val="00C06453"/>
    <w:rsid w:val="00C0683C"/>
    <w:rsid w:val="00C10DB0"/>
    <w:rsid w:val="00C118A3"/>
    <w:rsid w:val="00C1200B"/>
    <w:rsid w:val="00C120F1"/>
    <w:rsid w:val="00C125B3"/>
    <w:rsid w:val="00C12968"/>
    <w:rsid w:val="00C12AF7"/>
    <w:rsid w:val="00C12BDE"/>
    <w:rsid w:val="00C12D72"/>
    <w:rsid w:val="00C12FF8"/>
    <w:rsid w:val="00C13136"/>
    <w:rsid w:val="00C13699"/>
    <w:rsid w:val="00C13E0A"/>
    <w:rsid w:val="00C14139"/>
    <w:rsid w:val="00C154E4"/>
    <w:rsid w:val="00C15A16"/>
    <w:rsid w:val="00C16A0B"/>
    <w:rsid w:val="00C17CD8"/>
    <w:rsid w:val="00C17FF0"/>
    <w:rsid w:val="00C202B3"/>
    <w:rsid w:val="00C21434"/>
    <w:rsid w:val="00C21D5B"/>
    <w:rsid w:val="00C21EE0"/>
    <w:rsid w:val="00C22A3D"/>
    <w:rsid w:val="00C2336C"/>
    <w:rsid w:val="00C2391C"/>
    <w:rsid w:val="00C24045"/>
    <w:rsid w:val="00C242C0"/>
    <w:rsid w:val="00C246AE"/>
    <w:rsid w:val="00C24E46"/>
    <w:rsid w:val="00C27504"/>
    <w:rsid w:val="00C27E0A"/>
    <w:rsid w:val="00C30297"/>
    <w:rsid w:val="00C311A2"/>
    <w:rsid w:val="00C31F13"/>
    <w:rsid w:val="00C31FDB"/>
    <w:rsid w:val="00C3376F"/>
    <w:rsid w:val="00C34116"/>
    <w:rsid w:val="00C34B9B"/>
    <w:rsid w:val="00C34BEC"/>
    <w:rsid w:val="00C34EFB"/>
    <w:rsid w:val="00C353A6"/>
    <w:rsid w:val="00C3551F"/>
    <w:rsid w:val="00C36173"/>
    <w:rsid w:val="00C365EB"/>
    <w:rsid w:val="00C3688B"/>
    <w:rsid w:val="00C37B1E"/>
    <w:rsid w:val="00C37CB1"/>
    <w:rsid w:val="00C401F2"/>
    <w:rsid w:val="00C40CF4"/>
    <w:rsid w:val="00C41F6E"/>
    <w:rsid w:val="00C4242D"/>
    <w:rsid w:val="00C42682"/>
    <w:rsid w:val="00C42BF5"/>
    <w:rsid w:val="00C42C8D"/>
    <w:rsid w:val="00C42D45"/>
    <w:rsid w:val="00C42E0C"/>
    <w:rsid w:val="00C4390C"/>
    <w:rsid w:val="00C445D5"/>
    <w:rsid w:val="00C447D6"/>
    <w:rsid w:val="00C46919"/>
    <w:rsid w:val="00C47197"/>
    <w:rsid w:val="00C47225"/>
    <w:rsid w:val="00C4772B"/>
    <w:rsid w:val="00C50618"/>
    <w:rsid w:val="00C50B48"/>
    <w:rsid w:val="00C50E87"/>
    <w:rsid w:val="00C51087"/>
    <w:rsid w:val="00C518E7"/>
    <w:rsid w:val="00C533C5"/>
    <w:rsid w:val="00C549BA"/>
    <w:rsid w:val="00C54BAB"/>
    <w:rsid w:val="00C54FC0"/>
    <w:rsid w:val="00C555AC"/>
    <w:rsid w:val="00C5604B"/>
    <w:rsid w:val="00C56F7A"/>
    <w:rsid w:val="00C5755B"/>
    <w:rsid w:val="00C5782A"/>
    <w:rsid w:val="00C57B77"/>
    <w:rsid w:val="00C57D3B"/>
    <w:rsid w:val="00C608A8"/>
    <w:rsid w:val="00C60F26"/>
    <w:rsid w:val="00C615CD"/>
    <w:rsid w:val="00C61BF5"/>
    <w:rsid w:val="00C6212F"/>
    <w:rsid w:val="00C62760"/>
    <w:rsid w:val="00C62894"/>
    <w:rsid w:val="00C63B6D"/>
    <w:rsid w:val="00C63F7B"/>
    <w:rsid w:val="00C65E60"/>
    <w:rsid w:val="00C6637D"/>
    <w:rsid w:val="00C663B3"/>
    <w:rsid w:val="00C668D7"/>
    <w:rsid w:val="00C66B37"/>
    <w:rsid w:val="00C66C6A"/>
    <w:rsid w:val="00C67934"/>
    <w:rsid w:val="00C70069"/>
    <w:rsid w:val="00C7024C"/>
    <w:rsid w:val="00C70427"/>
    <w:rsid w:val="00C70AD7"/>
    <w:rsid w:val="00C713BE"/>
    <w:rsid w:val="00C713ED"/>
    <w:rsid w:val="00C718B6"/>
    <w:rsid w:val="00C7190A"/>
    <w:rsid w:val="00C71B0D"/>
    <w:rsid w:val="00C72002"/>
    <w:rsid w:val="00C72318"/>
    <w:rsid w:val="00C7248F"/>
    <w:rsid w:val="00C724E6"/>
    <w:rsid w:val="00C72780"/>
    <w:rsid w:val="00C72D58"/>
    <w:rsid w:val="00C72E7C"/>
    <w:rsid w:val="00C73196"/>
    <w:rsid w:val="00C73BA3"/>
    <w:rsid w:val="00C740FB"/>
    <w:rsid w:val="00C74441"/>
    <w:rsid w:val="00C747A5"/>
    <w:rsid w:val="00C74FE2"/>
    <w:rsid w:val="00C7571A"/>
    <w:rsid w:val="00C761F2"/>
    <w:rsid w:val="00C76287"/>
    <w:rsid w:val="00C769E3"/>
    <w:rsid w:val="00C76EAD"/>
    <w:rsid w:val="00C7735F"/>
    <w:rsid w:val="00C774CB"/>
    <w:rsid w:val="00C77513"/>
    <w:rsid w:val="00C77611"/>
    <w:rsid w:val="00C77CB8"/>
    <w:rsid w:val="00C8002A"/>
    <w:rsid w:val="00C8005F"/>
    <w:rsid w:val="00C8029F"/>
    <w:rsid w:val="00C81553"/>
    <w:rsid w:val="00C82858"/>
    <w:rsid w:val="00C82A28"/>
    <w:rsid w:val="00C82B97"/>
    <w:rsid w:val="00C83230"/>
    <w:rsid w:val="00C83DB2"/>
    <w:rsid w:val="00C843A2"/>
    <w:rsid w:val="00C84CEF"/>
    <w:rsid w:val="00C85314"/>
    <w:rsid w:val="00C858B4"/>
    <w:rsid w:val="00C85D2E"/>
    <w:rsid w:val="00C86AAD"/>
    <w:rsid w:val="00C86B5E"/>
    <w:rsid w:val="00C9249B"/>
    <w:rsid w:val="00C9290F"/>
    <w:rsid w:val="00C92C56"/>
    <w:rsid w:val="00C92EF6"/>
    <w:rsid w:val="00C93382"/>
    <w:rsid w:val="00C943DB"/>
    <w:rsid w:val="00C9452A"/>
    <w:rsid w:val="00C949D1"/>
    <w:rsid w:val="00C94FFB"/>
    <w:rsid w:val="00C964E0"/>
    <w:rsid w:val="00CA0116"/>
    <w:rsid w:val="00CA0239"/>
    <w:rsid w:val="00CA05D7"/>
    <w:rsid w:val="00CA0660"/>
    <w:rsid w:val="00CA09C9"/>
    <w:rsid w:val="00CA0A6C"/>
    <w:rsid w:val="00CA1094"/>
    <w:rsid w:val="00CA12E3"/>
    <w:rsid w:val="00CA171D"/>
    <w:rsid w:val="00CA1BE9"/>
    <w:rsid w:val="00CA2253"/>
    <w:rsid w:val="00CA3BD1"/>
    <w:rsid w:val="00CA3F55"/>
    <w:rsid w:val="00CA41FC"/>
    <w:rsid w:val="00CA44DD"/>
    <w:rsid w:val="00CA4527"/>
    <w:rsid w:val="00CA49F7"/>
    <w:rsid w:val="00CA4BC0"/>
    <w:rsid w:val="00CA503D"/>
    <w:rsid w:val="00CA5370"/>
    <w:rsid w:val="00CA53D9"/>
    <w:rsid w:val="00CA59B3"/>
    <w:rsid w:val="00CA5CA8"/>
    <w:rsid w:val="00CA5DA7"/>
    <w:rsid w:val="00CA6035"/>
    <w:rsid w:val="00CA62A6"/>
    <w:rsid w:val="00CA747D"/>
    <w:rsid w:val="00CA74AC"/>
    <w:rsid w:val="00CA7582"/>
    <w:rsid w:val="00CA758B"/>
    <w:rsid w:val="00CB0157"/>
    <w:rsid w:val="00CB0BDD"/>
    <w:rsid w:val="00CB102A"/>
    <w:rsid w:val="00CB11A7"/>
    <w:rsid w:val="00CB1343"/>
    <w:rsid w:val="00CB1816"/>
    <w:rsid w:val="00CB1EBE"/>
    <w:rsid w:val="00CB20DA"/>
    <w:rsid w:val="00CB2150"/>
    <w:rsid w:val="00CB28E9"/>
    <w:rsid w:val="00CB33D0"/>
    <w:rsid w:val="00CB41E7"/>
    <w:rsid w:val="00CB4278"/>
    <w:rsid w:val="00CB4D58"/>
    <w:rsid w:val="00CB5205"/>
    <w:rsid w:val="00CB5BA9"/>
    <w:rsid w:val="00CB5F48"/>
    <w:rsid w:val="00CB6059"/>
    <w:rsid w:val="00CB6434"/>
    <w:rsid w:val="00CB6723"/>
    <w:rsid w:val="00CB69D9"/>
    <w:rsid w:val="00CB7C49"/>
    <w:rsid w:val="00CC0E0F"/>
    <w:rsid w:val="00CC20AD"/>
    <w:rsid w:val="00CC2524"/>
    <w:rsid w:val="00CC2BA7"/>
    <w:rsid w:val="00CC38AC"/>
    <w:rsid w:val="00CC393E"/>
    <w:rsid w:val="00CC3E38"/>
    <w:rsid w:val="00CC466B"/>
    <w:rsid w:val="00CC559D"/>
    <w:rsid w:val="00CC6100"/>
    <w:rsid w:val="00CC69FB"/>
    <w:rsid w:val="00CC6C97"/>
    <w:rsid w:val="00CC7230"/>
    <w:rsid w:val="00CD076F"/>
    <w:rsid w:val="00CD0975"/>
    <w:rsid w:val="00CD0C13"/>
    <w:rsid w:val="00CD1623"/>
    <w:rsid w:val="00CD182B"/>
    <w:rsid w:val="00CD1CE0"/>
    <w:rsid w:val="00CD2182"/>
    <w:rsid w:val="00CD263D"/>
    <w:rsid w:val="00CD2E1C"/>
    <w:rsid w:val="00CD390E"/>
    <w:rsid w:val="00CD4D6E"/>
    <w:rsid w:val="00CD5157"/>
    <w:rsid w:val="00CD5457"/>
    <w:rsid w:val="00CD654B"/>
    <w:rsid w:val="00CD6660"/>
    <w:rsid w:val="00CD6B07"/>
    <w:rsid w:val="00CE0245"/>
    <w:rsid w:val="00CE03E8"/>
    <w:rsid w:val="00CE057A"/>
    <w:rsid w:val="00CE0E7C"/>
    <w:rsid w:val="00CE1977"/>
    <w:rsid w:val="00CE19C8"/>
    <w:rsid w:val="00CE223E"/>
    <w:rsid w:val="00CE4A0B"/>
    <w:rsid w:val="00CE4AB6"/>
    <w:rsid w:val="00CE5128"/>
    <w:rsid w:val="00CE6094"/>
    <w:rsid w:val="00CE6207"/>
    <w:rsid w:val="00CE6ED3"/>
    <w:rsid w:val="00CE7402"/>
    <w:rsid w:val="00CE7DC2"/>
    <w:rsid w:val="00CF07DB"/>
    <w:rsid w:val="00CF0A1C"/>
    <w:rsid w:val="00CF0C0A"/>
    <w:rsid w:val="00CF10F2"/>
    <w:rsid w:val="00CF142A"/>
    <w:rsid w:val="00CF1701"/>
    <w:rsid w:val="00CF1BE6"/>
    <w:rsid w:val="00CF2023"/>
    <w:rsid w:val="00CF219C"/>
    <w:rsid w:val="00CF269F"/>
    <w:rsid w:val="00CF2A78"/>
    <w:rsid w:val="00CF34CA"/>
    <w:rsid w:val="00CF3CC7"/>
    <w:rsid w:val="00CF3F0D"/>
    <w:rsid w:val="00CF4591"/>
    <w:rsid w:val="00CF5318"/>
    <w:rsid w:val="00CF5FE0"/>
    <w:rsid w:val="00CF6077"/>
    <w:rsid w:val="00CF614B"/>
    <w:rsid w:val="00CF7037"/>
    <w:rsid w:val="00CF753F"/>
    <w:rsid w:val="00CF7CCA"/>
    <w:rsid w:val="00D00685"/>
    <w:rsid w:val="00D01B78"/>
    <w:rsid w:val="00D02827"/>
    <w:rsid w:val="00D02B69"/>
    <w:rsid w:val="00D034D1"/>
    <w:rsid w:val="00D03B64"/>
    <w:rsid w:val="00D03D96"/>
    <w:rsid w:val="00D03E9C"/>
    <w:rsid w:val="00D0417B"/>
    <w:rsid w:val="00D045C0"/>
    <w:rsid w:val="00D0535F"/>
    <w:rsid w:val="00D054B1"/>
    <w:rsid w:val="00D05825"/>
    <w:rsid w:val="00D058AC"/>
    <w:rsid w:val="00D06424"/>
    <w:rsid w:val="00D068B1"/>
    <w:rsid w:val="00D06E8F"/>
    <w:rsid w:val="00D079A8"/>
    <w:rsid w:val="00D10099"/>
    <w:rsid w:val="00D101F7"/>
    <w:rsid w:val="00D10366"/>
    <w:rsid w:val="00D106E7"/>
    <w:rsid w:val="00D109A5"/>
    <w:rsid w:val="00D1216B"/>
    <w:rsid w:val="00D127A9"/>
    <w:rsid w:val="00D1314B"/>
    <w:rsid w:val="00D132B1"/>
    <w:rsid w:val="00D13572"/>
    <w:rsid w:val="00D145F5"/>
    <w:rsid w:val="00D14D35"/>
    <w:rsid w:val="00D151BE"/>
    <w:rsid w:val="00D15493"/>
    <w:rsid w:val="00D155F8"/>
    <w:rsid w:val="00D16080"/>
    <w:rsid w:val="00D16D97"/>
    <w:rsid w:val="00D17350"/>
    <w:rsid w:val="00D202D8"/>
    <w:rsid w:val="00D20385"/>
    <w:rsid w:val="00D21272"/>
    <w:rsid w:val="00D23000"/>
    <w:rsid w:val="00D24636"/>
    <w:rsid w:val="00D24697"/>
    <w:rsid w:val="00D24FCC"/>
    <w:rsid w:val="00D254BA"/>
    <w:rsid w:val="00D2684E"/>
    <w:rsid w:val="00D2695A"/>
    <w:rsid w:val="00D26A44"/>
    <w:rsid w:val="00D26E20"/>
    <w:rsid w:val="00D27532"/>
    <w:rsid w:val="00D2797B"/>
    <w:rsid w:val="00D27C84"/>
    <w:rsid w:val="00D27EAD"/>
    <w:rsid w:val="00D27FC0"/>
    <w:rsid w:val="00D30354"/>
    <w:rsid w:val="00D30751"/>
    <w:rsid w:val="00D316A1"/>
    <w:rsid w:val="00D31BF0"/>
    <w:rsid w:val="00D3296F"/>
    <w:rsid w:val="00D3299F"/>
    <w:rsid w:val="00D329F1"/>
    <w:rsid w:val="00D330E3"/>
    <w:rsid w:val="00D3409D"/>
    <w:rsid w:val="00D34540"/>
    <w:rsid w:val="00D347D2"/>
    <w:rsid w:val="00D355F0"/>
    <w:rsid w:val="00D356D6"/>
    <w:rsid w:val="00D35978"/>
    <w:rsid w:val="00D362BB"/>
    <w:rsid w:val="00D364E6"/>
    <w:rsid w:val="00D365B9"/>
    <w:rsid w:val="00D36765"/>
    <w:rsid w:val="00D36B97"/>
    <w:rsid w:val="00D36C64"/>
    <w:rsid w:val="00D3764E"/>
    <w:rsid w:val="00D37ABD"/>
    <w:rsid w:val="00D37E48"/>
    <w:rsid w:val="00D37EAF"/>
    <w:rsid w:val="00D421A9"/>
    <w:rsid w:val="00D422D6"/>
    <w:rsid w:val="00D428F5"/>
    <w:rsid w:val="00D42DCC"/>
    <w:rsid w:val="00D42DF4"/>
    <w:rsid w:val="00D43729"/>
    <w:rsid w:val="00D43AC8"/>
    <w:rsid w:val="00D44865"/>
    <w:rsid w:val="00D44AED"/>
    <w:rsid w:val="00D452A6"/>
    <w:rsid w:val="00D47B45"/>
    <w:rsid w:val="00D47D7F"/>
    <w:rsid w:val="00D506F1"/>
    <w:rsid w:val="00D50879"/>
    <w:rsid w:val="00D51610"/>
    <w:rsid w:val="00D527E7"/>
    <w:rsid w:val="00D53495"/>
    <w:rsid w:val="00D536AC"/>
    <w:rsid w:val="00D539D8"/>
    <w:rsid w:val="00D53D67"/>
    <w:rsid w:val="00D54186"/>
    <w:rsid w:val="00D54A1E"/>
    <w:rsid w:val="00D5540C"/>
    <w:rsid w:val="00D56113"/>
    <w:rsid w:val="00D57033"/>
    <w:rsid w:val="00D60084"/>
    <w:rsid w:val="00D60579"/>
    <w:rsid w:val="00D60B4C"/>
    <w:rsid w:val="00D61E0A"/>
    <w:rsid w:val="00D62186"/>
    <w:rsid w:val="00D6281C"/>
    <w:rsid w:val="00D628C8"/>
    <w:rsid w:val="00D637FD"/>
    <w:rsid w:val="00D643F4"/>
    <w:rsid w:val="00D659F9"/>
    <w:rsid w:val="00D65C7C"/>
    <w:rsid w:val="00D66117"/>
    <w:rsid w:val="00D66F4D"/>
    <w:rsid w:val="00D67275"/>
    <w:rsid w:val="00D67515"/>
    <w:rsid w:val="00D67C9D"/>
    <w:rsid w:val="00D70916"/>
    <w:rsid w:val="00D71777"/>
    <w:rsid w:val="00D717B7"/>
    <w:rsid w:val="00D71D1C"/>
    <w:rsid w:val="00D72192"/>
    <w:rsid w:val="00D72814"/>
    <w:rsid w:val="00D7428F"/>
    <w:rsid w:val="00D75064"/>
    <w:rsid w:val="00D76179"/>
    <w:rsid w:val="00D772B1"/>
    <w:rsid w:val="00D77F6F"/>
    <w:rsid w:val="00D8173E"/>
    <w:rsid w:val="00D81AC9"/>
    <w:rsid w:val="00D81F45"/>
    <w:rsid w:val="00D82659"/>
    <w:rsid w:val="00D82A2F"/>
    <w:rsid w:val="00D82A79"/>
    <w:rsid w:val="00D82E6A"/>
    <w:rsid w:val="00D832C9"/>
    <w:rsid w:val="00D833D9"/>
    <w:rsid w:val="00D834E5"/>
    <w:rsid w:val="00D83BD9"/>
    <w:rsid w:val="00D847E0"/>
    <w:rsid w:val="00D84FA6"/>
    <w:rsid w:val="00D85327"/>
    <w:rsid w:val="00D85D03"/>
    <w:rsid w:val="00D879DA"/>
    <w:rsid w:val="00D90435"/>
    <w:rsid w:val="00D904E9"/>
    <w:rsid w:val="00D90C6F"/>
    <w:rsid w:val="00D90CC3"/>
    <w:rsid w:val="00D90CC4"/>
    <w:rsid w:val="00D91024"/>
    <w:rsid w:val="00D91137"/>
    <w:rsid w:val="00D91591"/>
    <w:rsid w:val="00D91C67"/>
    <w:rsid w:val="00D9244C"/>
    <w:rsid w:val="00D926BD"/>
    <w:rsid w:val="00D9380B"/>
    <w:rsid w:val="00D93AF3"/>
    <w:rsid w:val="00D93CC3"/>
    <w:rsid w:val="00D9433E"/>
    <w:rsid w:val="00D94DCF"/>
    <w:rsid w:val="00D94EAE"/>
    <w:rsid w:val="00D96745"/>
    <w:rsid w:val="00D96A90"/>
    <w:rsid w:val="00D96CE6"/>
    <w:rsid w:val="00D973DB"/>
    <w:rsid w:val="00D97401"/>
    <w:rsid w:val="00D97D6C"/>
    <w:rsid w:val="00DA0A48"/>
    <w:rsid w:val="00DA1A06"/>
    <w:rsid w:val="00DA251A"/>
    <w:rsid w:val="00DA2704"/>
    <w:rsid w:val="00DA2D91"/>
    <w:rsid w:val="00DA3477"/>
    <w:rsid w:val="00DA3607"/>
    <w:rsid w:val="00DA394A"/>
    <w:rsid w:val="00DA39F1"/>
    <w:rsid w:val="00DA3CE1"/>
    <w:rsid w:val="00DA4642"/>
    <w:rsid w:val="00DA495E"/>
    <w:rsid w:val="00DA4A10"/>
    <w:rsid w:val="00DA4F46"/>
    <w:rsid w:val="00DA586F"/>
    <w:rsid w:val="00DA5DC2"/>
    <w:rsid w:val="00DA6284"/>
    <w:rsid w:val="00DA7FEC"/>
    <w:rsid w:val="00DB01C9"/>
    <w:rsid w:val="00DB08DA"/>
    <w:rsid w:val="00DB14AC"/>
    <w:rsid w:val="00DB14D3"/>
    <w:rsid w:val="00DB2942"/>
    <w:rsid w:val="00DB33F5"/>
    <w:rsid w:val="00DB3A71"/>
    <w:rsid w:val="00DB4135"/>
    <w:rsid w:val="00DB5944"/>
    <w:rsid w:val="00DB5D22"/>
    <w:rsid w:val="00DB7F09"/>
    <w:rsid w:val="00DB7F23"/>
    <w:rsid w:val="00DC00E8"/>
    <w:rsid w:val="00DC02BE"/>
    <w:rsid w:val="00DC0845"/>
    <w:rsid w:val="00DC0CED"/>
    <w:rsid w:val="00DC16E6"/>
    <w:rsid w:val="00DC1C56"/>
    <w:rsid w:val="00DC2111"/>
    <w:rsid w:val="00DC2208"/>
    <w:rsid w:val="00DC264F"/>
    <w:rsid w:val="00DC4756"/>
    <w:rsid w:val="00DC48EF"/>
    <w:rsid w:val="00DC5221"/>
    <w:rsid w:val="00DC546D"/>
    <w:rsid w:val="00DC5A1B"/>
    <w:rsid w:val="00DC6379"/>
    <w:rsid w:val="00DC65BB"/>
    <w:rsid w:val="00DC6A0A"/>
    <w:rsid w:val="00DC6AAD"/>
    <w:rsid w:val="00DC6B41"/>
    <w:rsid w:val="00DC6F99"/>
    <w:rsid w:val="00DC7AC7"/>
    <w:rsid w:val="00DD049A"/>
    <w:rsid w:val="00DD0D98"/>
    <w:rsid w:val="00DD12FA"/>
    <w:rsid w:val="00DD1390"/>
    <w:rsid w:val="00DD1E4D"/>
    <w:rsid w:val="00DD355C"/>
    <w:rsid w:val="00DD3EBB"/>
    <w:rsid w:val="00DD48A1"/>
    <w:rsid w:val="00DD4D54"/>
    <w:rsid w:val="00DD5CB6"/>
    <w:rsid w:val="00DD7833"/>
    <w:rsid w:val="00DD7B82"/>
    <w:rsid w:val="00DD7EE9"/>
    <w:rsid w:val="00DE1186"/>
    <w:rsid w:val="00DE20AA"/>
    <w:rsid w:val="00DE2286"/>
    <w:rsid w:val="00DE2763"/>
    <w:rsid w:val="00DE35F0"/>
    <w:rsid w:val="00DE3783"/>
    <w:rsid w:val="00DE39A6"/>
    <w:rsid w:val="00DE39F2"/>
    <w:rsid w:val="00DE3A53"/>
    <w:rsid w:val="00DE3C1D"/>
    <w:rsid w:val="00DE3C77"/>
    <w:rsid w:val="00DE4257"/>
    <w:rsid w:val="00DE46F5"/>
    <w:rsid w:val="00DE5A4A"/>
    <w:rsid w:val="00DE68DF"/>
    <w:rsid w:val="00DE6942"/>
    <w:rsid w:val="00DE6AAE"/>
    <w:rsid w:val="00DE6D81"/>
    <w:rsid w:val="00DE6F18"/>
    <w:rsid w:val="00DE70F1"/>
    <w:rsid w:val="00DE794F"/>
    <w:rsid w:val="00DE7AB2"/>
    <w:rsid w:val="00DE7FCF"/>
    <w:rsid w:val="00DF00AB"/>
    <w:rsid w:val="00DF0E57"/>
    <w:rsid w:val="00DF12B4"/>
    <w:rsid w:val="00DF1A81"/>
    <w:rsid w:val="00DF30B3"/>
    <w:rsid w:val="00DF3191"/>
    <w:rsid w:val="00DF3332"/>
    <w:rsid w:val="00DF34BA"/>
    <w:rsid w:val="00DF4D6F"/>
    <w:rsid w:val="00DF537E"/>
    <w:rsid w:val="00DF5FB4"/>
    <w:rsid w:val="00DF616D"/>
    <w:rsid w:val="00DF628E"/>
    <w:rsid w:val="00DF684C"/>
    <w:rsid w:val="00DF6AD2"/>
    <w:rsid w:val="00DF6F61"/>
    <w:rsid w:val="00DF6F83"/>
    <w:rsid w:val="00DF724B"/>
    <w:rsid w:val="00E001E3"/>
    <w:rsid w:val="00E0218D"/>
    <w:rsid w:val="00E05078"/>
    <w:rsid w:val="00E05123"/>
    <w:rsid w:val="00E0568E"/>
    <w:rsid w:val="00E06AAE"/>
    <w:rsid w:val="00E07324"/>
    <w:rsid w:val="00E0778C"/>
    <w:rsid w:val="00E07C61"/>
    <w:rsid w:val="00E101C6"/>
    <w:rsid w:val="00E1173B"/>
    <w:rsid w:val="00E11A74"/>
    <w:rsid w:val="00E12C2A"/>
    <w:rsid w:val="00E13B57"/>
    <w:rsid w:val="00E13D4F"/>
    <w:rsid w:val="00E141BB"/>
    <w:rsid w:val="00E151A3"/>
    <w:rsid w:val="00E156AA"/>
    <w:rsid w:val="00E1579D"/>
    <w:rsid w:val="00E15B54"/>
    <w:rsid w:val="00E16BC1"/>
    <w:rsid w:val="00E16F91"/>
    <w:rsid w:val="00E177AE"/>
    <w:rsid w:val="00E17998"/>
    <w:rsid w:val="00E17D23"/>
    <w:rsid w:val="00E17D61"/>
    <w:rsid w:val="00E22D51"/>
    <w:rsid w:val="00E24487"/>
    <w:rsid w:val="00E24E8A"/>
    <w:rsid w:val="00E25797"/>
    <w:rsid w:val="00E25929"/>
    <w:rsid w:val="00E25A25"/>
    <w:rsid w:val="00E25D16"/>
    <w:rsid w:val="00E262EE"/>
    <w:rsid w:val="00E2655B"/>
    <w:rsid w:val="00E27CBF"/>
    <w:rsid w:val="00E3016C"/>
    <w:rsid w:val="00E30567"/>
    <w:rsid w:val="00E30A92"/>
    <w:rsid w:val="00E31369"/>
    <w:rsid w:val="00E31AFF"/>
    <w:rsid w:val="00E31B66"/>
    <w:rsid w:val="00E31D35"/>
    <w:rsid w:val="00E3343D"/>
    <w:rsid w:val="00E337F6"/>
    <w:rsid w:val="00E33E0C"/>
    <w:rsid w:val="00E33ED2"/>
    <w:rsid w:val="00E33FDF"/>
    <w:rsid w:val="00E34025"/>
    <w:rsid w:val="00E343F4"/>
    <w:rsid w:val="00E34583"/>
    <w:rsid w:val="00E349A7"/>
    <w:rsid w:val="00E34F80"/>
    <w:rsid w:val="00E36BBB"/>
    <w:rsid w:val="00E36CBF"/>
    <w:rsid w:val="00E36F94"/>
    <w:rsid w:val="00E37B99"/>
    <w:rsid w:val="00E37C2C"/>
    <w:rsid w:val="00E406C0"/>
    <w:rsid w:val="00E40F3C"/>
    <w:rsid w:val="00E423E4"/>
    <w:rsid w:val="00E427FA"/>
    <w:rsid w:val="00E4338A"/>
    <w:rsid w:val="00E44883"/>
    <w:rsid w:val="00E461FE"/>
    <w:rsid w:val="00E46B71"/>
    <w:rsid w:val="00E46E7D"/>
    <w:rsid w:val="00E47355"/>
    <w:rsid w:val="00E47447"/>
    <w:rsid w:val="00E476CB"/>
    <w:rsid w:val="00E47774"/>
    <w:rsid w:val="00E47D4F"/>
    <w:rsid w:val="00E50078"/>
    <w:rsid w:val="00E500BB"/>
    <w:rsid w:val="00E5055D"/>
    <w:rsid w:val="00E50E7C"/>
    <w:rsid w:val="00E510D5"/>
    <w:rsid w:val="00E51545"/>
    <w:rsid w:val="00E51D9E"/>
    <w:rsid w:val="00E52345"/>
    <w:rsid w:val="00E52866"/>
    <w:rsid w:val="00E52AB9"/>
    <w:rsid w:val="00E52F80"/>
    <w:rsid w:val="00E53207"/>
    <w:rsid w:val="00E537D1"/>
    <w:rsid w:val="00E5389D"/>
    <w:rsid w:val="00E548BD"/>
    <w:rsid w:val="00E54CC9"/>
    <w:rsid w:val="00E55150"/>
    <w:rsid w:val="00E55230"/>
    <w:rsid w:val="00E567E6"/>
    <w:rsid w:val="00E56971"/>
    <w:rsid w:val="00E60535"/>
    <w:rsid w:val="00E61031"/>
    <w:rsid w:val="00E61232"/>
    <w:rsid w:val="00E61484"/>
    <w:rsid w:val="00E615C7"/>
    <w:rsid w:val="00E618A0"/>
    <w:rsid w:val="00E619DA"/>
    <w:rsid w:val="00E61AF0"/>
    <w:rsid w:val="00E61D4E"/>
    <w:rsid w:val="00E62210"/>
    <w:rsid w:val="00E62B58"/>
    <w:rsid w:val="00E62BCB"/>
    <w:rsid w:val="00E62D83"/>
    <w:rsid w:val="00E63432"/>
    <w:rsid w:val="00E63BC4"/>
    <w:rsid w:val="00E63CB9"/>
    <w:rsid w:val="00E63DBF"/>
    <w:rsid w:val="00E64BAC"/>
    <w:rsid w:val="00E64C76"/>
    <w:rsid w:val="00E6507E"/>
    <w:rsid w:val="00E65115"/>
    <w:rsid w:val="00E652C8"/>
    <w:rsid w:val="00E65388"/>
    <w:rsid w:val="00E65620"/>
    <w:rsid w:val="00E65C65"/>
    <w:rsid w:val="00E6654C"/>
    <w:rsid w:val="00E67C7B"/>
    <w:rsid w:val="00E7017C"/>
    <w:rsid w:val="00E703C8"/>
    <w:rsid w:val="00E70F2F"/>
    <w:rsid w:val="00E70FF0"/>
    <w:rsid w:val="00E711D7"/>
    <w:rsid w:val="00E7153B"/>
    <w:rsid w:val="00E72F94"/>
    <w:rsid w:val="00E72FE6"/>
    <w:rsid w:val="00E73019"/>
    <w:rsid w:val="00E740AB"/>
    <w:rsid w:val="00E7456C"/>
    <w:rsid w:val="00E745AA"/>
    <w:rsid w:val="00E74CA0"/>
    <w:rsid w:val="00E755DC"/>
    <w:rsid w:val="00E76310"/>
    <w:rsid w:val="00E7681F"/>
    <w:rsid w:val="00E769CC"/>
    <w:rsid w:val="00E769F6"/>
    <w:rsid w:val="00E76FC9"/>
    <w:rsid w:val="00E776A2"/>
    <w:rsid w:val="00E7789C"/>
    <w:rsid w:val="00E815E1"/>
    <w:rsid w:val="00E828C8"/>
    <w:rsid w:val="00E83294"/>
    <w:rsid w:val="00E8419F"/>
    <w:rsid w:val="00E842EA"/>
    <w:rsid w:val="00E84F87"/>
    <w:rsid w:val="00E859C3"/>
    <w:rsid w:val="00E85A96"/>
    <w:rsid w:val="00E8609C"/>
    <w:rsid w:val="00E86D65"/>
    <w:rsid w:val="00E86F58"/>
    <w:rsid w:val="00E871C7"/>
    <w:rsid w:val="00E87C1E"/>
    <w:rsid w:val="00E902B0"/>
    <w:rsid w:val="00E902E8"/>
    <w:rsid w:val="00E90E5F"/>
    <w:rsid w:val="00E9149C"/>
    <w:rsid w:val="00E9233F"/>
    <w:rsid w:val="00E9296B"/>
    <w:rsid w:val="00E93A4B"/>
    <w:rsid w:val="00E93D16"/>
    <w:rsid w:val="00E93EF8"/>
    <w:rsid w:val="00E93F26"/>
    <w:rsid w:val="00E941AD"/>
    <w:rsid w:val="00E9479E"/>
    <w:rsid w:val="00E95138"/>
    <w:rsid w:val="00E951D5"/>
    <w:rsid w:val="00E952A3"/>
    <w:rsid w:val="00E955A0"/>
    <w:rsid w:val="00E957C4"/>
    <w:rsid w:val="00E95E7D"/>
    <w:rsid w:val="00E963B7"/>
    <w:rsid w:val="00E97520"/>
    <w:rsid w:val="00E97C19"/>
    <w:rsid w:val="00EA0801"/>
    <w:rsid w:val="00EA147F"/>
    <w:rsid w:val="00EA23AC"/>
    <w:rsid w:val="00EA24E5"/>
    <w:rsid w:val="00EA2573"/>
    <w:rsid w:val="00EA3446"/>
    <w:rsid w:val="00EA36A3"/>
    <w:rsid w:val="00EA37CD"/>
    <w:rsid w:val="00EA398F"/>
    <w:rsid w:val="00EA4690"/>
    <w:rsid w:val="00EA5B16"/>
    <w:rsid w:val="00EA5D79"/>
    <w:rsid w:val="00EA6684"/>
    <w:rsid w:val="00EA6BE8"/>
    <w:rsid w:val="00EA6C2C"/>
    <w:rsid w:val="00EA6FE8"/>
    <w:rsid w:val="00EA7C3D"/>
    <w:rsid w:val="00EA7E25"/>
    <w:rsid w:val="00EB0121"/>
    <w:rsid w:val="00EB0423"/>
    <w:rsid w:val="00EB075C"/>
    <w:rsid w:val="00EB07CF"/>
    <w:rsid w:val="00EB1E5B"/>
    <w:rsid w:val="00EB230F"/>
    <w:rsid w:val="00EB23E3"/>
    <w:rsid w:val="00EB2B38"/>
    <w:rsid w:val="00EB34D5"/>
    <w:rsid w:val="00EB49DA"/>
    <w:rsid w:val="00EB4B0B"/>
    <w:rsid w:val="00EB59C9"/>
    <w:rsid w:val="00EB5DE0"/>
    <w:rsid w:val="00EB6729"/>
    <w:rsid w:val="00EB6878"/>
    <w:rsid w:val="00EB70FB"/>
    <w:rsid w:val="00EC0315"/>
    <w:rsid w:val="00EC0863"/>
    <w:rsid w:val="00EC093F"/>
    <w:rsid w:val="00EC0D4E"/>
    <w:rsid w:val="00EC0EF7"/>
    <w:rsid w:val="00EC0FF3"/>
    <w:rsid w:val="00EC1789"/>
    <w:rsid w:val="00EC17EF"/>
    <w:rsid w:val="00EC1E0E"/>
    <w:rsid w:val="00EC2207"/>
    <w:rsid w:val="00EC236D"/>
    <w:rsid w:val="00EC3B38"/>
    <w:rsid w:val="00EC3C5A"/>
    <w:rsid w:val="00EC3E8D"/>
    <w:rsid w:val="00EC4667"/>
    <w:rsid w:val="00EC4910"/>
    <w:rsid w:val="00EC4EC2"/>
    <w:rsid w:val="00EC4FF4"/>
    <w:rsid w:val="00EC5604"/>
    <w:rsid w:val="00EC5A12"/>
    <w:rsid w:val="00EC63C7"/>
    <w:rsid w:val="00EC6938"/>
    <w:rsid w:val="00EC6B16"/>
    <w:rsid w:val="00EC6B72"/>
    <w:rsid w:val="00EC6F9D"/>
    <w:rsid w:val="00EC7041"/>
    <w:rsid w:val="00ED06EA"/>
    <w:rsid w:val="00ED11E5"/>
    <w:rsid w:val="00ED3143"/>
    <w:rsid w:val="00ED4DC7"/>
    <w:rsid w:val="00ED5889"/>
    <w:rsid w:val="00ED5A20"/>
    <w:rsid w:val="00ED668A"/>
    <w:rsid w:val="00ED67C8"/>
    <w:rsid w:val="00ED6A90"/>
    <w:rsid w:val="00ED6F9F"/>
    <w:rsid w:val="00ED7177"/>
    <w:rsid w:val="00ED76CF"/>
    <w:rsid w:val="00ED781F"/>
    <w:rsid w:val="00ED7BA9"/>
    <w:rsid w:val="00ED7C28"/>
    <w:rsid w:val="00EE0C72"/>
    <w:rsid w:val="00EE1447"/>
    <w:rsid w:val="00EE1BF1"/>
    <w:rsid w:val="00EE2C17"/>
    <w:rsid w:val="00EE3535"/>
    <w:rsid w:val="00EE37EA"/>
    <w:rsid w:val="00EE4146"/>
    <w:rsid w:val="00EE4864"/>
    <w:rsid w:val="00EE4C72"/>
    <w:rsid w:val="00EE5A15"/>
    <w:rsid w:val="00EE64ED"/>
    <w:rsid w:val="00EE72BE"/>
    <w:rsid w:val="00EE7744"/>
    <w:rsid w:val="00EE7BC3"/>
    <w:rsid w:val="00EF0097"/>
    <w:rsid w:val="00EF03E1"/>
    <w:rsid w:val="00EF0757"/>
    <w:rsid w:val="00EF0CE5"/>
    <w:rsid w:val="00EF0D95"/>
    <w:rsid w:val="00EF11A3"/>
    <w:rsid w:val="00EF145E"/>
    <w:rsid w:val="00EF1855"/>
    <w:rsid w:val="00EF1E30"/>
    <w:rsid w:val="00EF2065"/>
    <w:rsid w:val="00EF20E7"/>
    <w:rsid w:val="00EF25B6"/>
    <w:rsid w:val="00EF28E8"/>
    <w:rsid w:val="00EF2B0A"/>
    <w:rsid w:val="00EF2BBB"/>
    <w:rsid w:val="00EF3BA3"/>
    <w:rsid w:val="00EF60A7"/>
    <w:rsid w:val="00EF6946"/>
    <w:rsid w:val="00EF69B7"/>
    <w:rsid w:val="00EF7AC0"/>
    <w:rsid w:val="00EF7EA6"/>
    <w:rsid w:val="00F00086"/>
    <w:rsid w:val="00F00458"/>
    <w:rsid w:val="00F006AA"/>
    <w:rsid w:val="00F0082D"/>
    <w:rsid w:val="00F008CD"/>
    <w:rsid w:val="00F015AB"/>
    <w:rsid w:val="00F01AD3"/>
    <w:rsid w:val="00F01F04"/>
    <w:rsid w:val="00F02243"/>
    <w:rsid w:val="00F022AC"/>
    <w:rsid w:val="00F02A97"/>
    <w:rsid w:val="00F0381E"/>
    <w:rsid w:val="00F03A3F"/>
    <w:rsid w:val="00F03FBF"/>
    <w:rsid w:val="00F04290"/>
    <w:rsid w:val="00F042B7"/>
    <w:rsid w:val="00F04394"/>
    <w:rsid w:val="00F045E0"/>
    <w:rsid w:val="00F04846"/>
    <w:rsid w:val="00F04B74"/>
    <w:rsid w:val="00F05EDC"/>
    <w:rsid w:val="00F06022"/>
    <w:rsid w:val="00F062D0"/>
    <w:rsid w:val="00F0642C"/>
    <w:rsid w:val="00F0709D"/>
    <w:rsid w:val="00F075F8"/>
    <w:rsid w:val="00F07606"/>
    <w:rsid w:val="00F07C90"/>
    <w:rsid w:val="00F111EF"/>
    <w:rsid w:val="00F12126"/>
    <w:rsid w:val="00F124C9"/>
    <w:rsid w:val="00F1294C"/>
    <w:rsid w:val="00F139EA"/>
    <w:rsid w:val="00F143C9"/>
    <w:rsid w:val="00F146B1"/>
    <w:rsid w:val="00F155F5"/>
    <w:rsid w:val="00F15D14"/>
    <w:rsid w:val="00F1669B"/>
    <w:rsid w:val="00F16738"/>
    <w:rsid w:val="00F16C91"/>
    <w:rsid w:val="00F173B4"/>
    <w:rsid w:val="00F17689"/>
    <w:rsid w:val="00F17FA8"/>
    <w:rsid w:val="00F204C7"/>
    <w:rsid w:val="00F20B73"/>
    <w:rsid w:val="00F20F0C"/>
    <w:rsid w:val="00F20F8A"/>
    <w:rsid w:val="00F22061"/>
    <w:rsid w:val="00F220B6"/>
    <w:rsid w:val="00F2243F"/>
    <w:rsid w:val="00F22D89"/>
    <w:rsid w:val="00F23263"/>
    <w:rsid w:val="00F236CC"/>
    <w:rsid w:val="00F23815"/>
    <w:rsid w:val="00F23C31"/>
    <w:rsid w:val="00F23F9A"/>
    <w:rsid w:val="00F241CA"/>
    <w:rsid w:val="00F24791"/>
    <w:rsid w:val="00F24F0F"/>
    <w:rsid w:val="00F25B8E"/>
    <w:rsid w:val="00F25ED8"/>
    <w:rsid w:val="00F271ED"/>
    <w:rsid w:val="00F27ABA"/>
    <w:rsid w:val="00F300D9"/>
    <w:rsid w:val="00F3049A"/>
    <w:rsid w:val="00F304A4"/>
    <w:rsid w:val="00F30D55"/>
    <w:rsid w:val="00F32F21"/>
    <w:rsid w:val="00F332EB"/>
    <w:rsid w:val="00F33DB8"/>
    <w:rsid w:val="00F3447F"/>
    <w:rsid w:val="00F34833"/>
    <w:rsid w:val="00F351D3"/>
    <w:rsid w:val="00F351F6"/>
    <w:rsid w:val="00F35560"/>
    <w:rsid w:val="00F356C2"/>
    <w:rsid w:val="00F358A4"/>
    <w:rsid w:val="00F359F3"/>
    <w:rsid w:val="00F3641A"/>
    <w:rsid w:val="00F3747A"/>
    <w:rsid w:val="00F374C4"/>
    <w:rsid w:val="00F37F4C"/>
    <w:rsid w:val="00F40BFD"/>
    <w:rsid w:val="00F40F9F"/>
    <w:rsid w:val="00F4123A"/>
    <w:rsid w:val="00F41E2A"/>
    <w:rsid w:val="00F42116"/>
    <w:rsid w:val="00F42B62"/>
    <w:rsid w:val="00F42E23"/>
    <w:rsid w:val="00F43844"/>
    <w:rsid w:val="00F45A94"/>
    <w:rsid w:val="00F464F2"/>
    <w:rsid w:val="00F4680F"/>
    <w:rsid w:val="00F5138C"/>
    <w:rsid w:val="00F513CC"/>
    <w:rsid w:val="00F51D7F"/>
    <w:rsid w:val="00F5275C"/>
    <w:rsid w:val="00F527E1"/>
    <w:rsid w:val="00F532C7"/>
    <w:rsid w:val="00F54015"/>
    <w:rsid w:val="00F55F54"/>
    <w:rsid w:val="00F5615F"/>
    <w:rsid w:val="00F56E60"/>
    <w:rsid w:val="00F56EEE"/>
    <w:rsid w:val="00F572D0"/>
    <w:rsid w:val="00F5744E"/>
    <w:rsid w:val="00F57945"/>
    <w:rsid w:val="00F57BED"/>
    <w:rsid w:val="00F57CD4"/>
    <w:rsid w:val="00F57D8F"/>
    <w:rsid w:val="00F60074"/>
    <w:rsid w:val="00F60078"/>
    <w:rsid w:val="00F60198"/>
    <w:rsid w:val="00F6054C"/>
    <w:rsid w:val="00F60A40"/>
    <w:rsid w:val="00F60A64"/>
    <w:rsid w:val="00F60F1D"/>
    <w:rsid w:val="00F61371"/>
    <w:rsid w:val="00F61E1E"/>
    <w:rsid w:val="00F62278"/>
    <w:rsid w:val="00F6239C"/>
    <w:rsid w:val="00F634E7"/>
    <w:rsid w:val="00F63652"/>
    <w:rsid w:val="00F63C81"/>
    <w:rsid w:val="00F64D39"/>
    <w:rsid w:val="00F662A0"/>
    <w:rsid w:val="00F6692E"/>
    <w:rsid w:val="00F669CD"/>
    <w:rsid w:val="00F672A7"/>
    <w:rsid w:val="00F6778E"/>
    <w:rsid w:val="00F67BD4"/>
    <w:rsid w:val="00F70B79"/>
    <w:rsid w:val="00F719D8"/>
    <w:rsid w:val="00F71A93"/>
    <w:rsid w:val="00F71F60"/>
    <w:rsid w:val="00F737DB"/>
    <w:rsid w:val="00F7537F"/>
    <w:rsid w:val="00F75B3B"/>
    <w:rsid w:val="00F7613A"/>
    <w:rsid w:val="00F76B0B"/>
    <w:rsid w:val="00F772C8"/>
    <w:rsid w:val="00F77606"/>
    <w:rsid w:val="00F7772A"/>
    <w:rsid w:val="00F77CD7"/>
    <w:rsid w:val="00F77FE4"/>
    <w:rsid w:val="00F805A3"/>
    <w:rsid w:val="00F81189"/>
    <w:rsid w:val="00F8164F"/>
    <w:rsid w:val="00F81986"/>
    <w:rsid w:val="00F81C5A"/>
    <w:rsid w:val="00F81DBF"/>
    <w:rsid w:val="00F82123"/>
    <w:rsid w:val="00F8263E"/>
    <w:rsid w:val="00F82746"/>
    <w:rsid w:val="00F82D1B"/>
    <w:rsid w:val="00F833EF"/>
    <w:rsid w:val="00F835DA"/>
    <w:rsid w:val="00F836F9"/>
    <w:rsid w:val="00F83FF1"/>
    <w:rsid w:val="00F84241"/>
    <w:rsid w:val="00F845D7"/>
    <w:rsid w:val="00F855F5"/>
    <w:rsid w:val="00F85C86"/>
    <w:rsid w:val="00F85CA4"/>
    <w:rsid w:val="00F862B9"/>
    <w:rsid w:val="00F87012"/>
    <w:rsid w:val="00F87329"/>
    <w:rsid w:val="00F87F6B"/>
    <w:rsid w:val="00F9080F"/>
    <w:rsid w:val="00F92279"/>
    <w:rsid w:val="00F932F1"/>
    <w:rsid w:val="00F9434A"/>
    <w:rsid w:val="00F94960"/>
    <w:rsid w:val="00F9548E"/>
    <w:rsid w:val="00F964F1"/>
    <w:rsid w:val="00F96ECD"/>
    <w:rsid w:val="00F97FFC"/>
    <w:rsid w:val="00FA08D5"/>
    <w:rsid w:val="00FA0B2D"/>
    <w:rsid w:val="00FA101F"/>
    <w:rsid w:val="00FA110E"/>
    <w:rsid w:val="00FA21F0"/>
    <w:rsid w:val="00FA3638"/>
    <w:rsid w:val="00FA3B9E"/>
    <w:rsid w:val="00FA44A7"/>
    <w:rsid w:val="00FA6425"/>
    <w:rsid w:val="00FA66ED"/>
    <w:rsid w:val="00FA7814"/>
    <w:rsid w:val="00FA7995"/>
    <w:rsid w:val="00FB0337"/>
    <w:rsid w:val="00FB06E7"/>
    <w:rsid w:val="00FB0B23"/>
    <w:rsid w:val="00FB0F9C"/>
    <w:rsid w:val="00FB11DB"/>
    <w:rsid w:val="00FB2B34"/>
    <w:rsid w:val="00FB3B12"/>
    <w:rsid w:val="00FB4018"/>
    <w:rsid w:val="00FB4279"/>
    <w:rsid w:val="00FB492F"/>
    <w:rsid w:val="00FB4BB1"/>
    <w:rsid w:val="00FB4D21"/>
    <w:rsid w:val="00FB500D"/>
    <w:rsid w:val="00FB5013"/>
    <w:rsid w:val="00FB532A"/>
    <w:rsid w:val="00FB5B38"/>
    <w:rsid w:val="00FB5B7B"/>
    <w:rsid w:val="00FB5D68"/>
    <w:rsid w:val="00FB68BD"/>
    <w:rsid w:val="00FB7287"/>
    <w:rsid w:val="00FB762B"/>
    <w:rsid w:val="00FB7C52"/>
    <w:rsid w:val="00FC14A4"/>
    <w:rsid w:val="00FC18CF"/>
    <w:rsid w:val="00FC1B7D"/>
    <w:rsid w:val="00FC2308"/>
    <w:rsid w:val="00FC247C"/>
    <w:rsid w:val="00FC2F68"/>
    <w:rsid w:val="00FC310E"/>
    <w:rsid w:val="00FC40F4"/>
    <w:rsid w:val="00FC5235"/>
    <w:rsid w:val="00FC63B0"/>
    <w:rsid w:val="00FC6450"/>
    <w:rsid w:val="00FC64BA"/>
    <w:rsid w:val="00FC688B"/>
    <w:rsid w:val="00FC6A33"/>
    <w:rsid w:val="00FC6ADA"/>
    <w:rsid w:val="00FC6D9A"/>
    <w:rsid w:val="00FC7DFD"/>
    <w:rsid w:val="00FD02CB"/>
    <w:rsid w:val="00FD0704"/>
    <w:rsid w:val="00FD293E"/>
    <w:rsid w:val="00FD2F91"/>
    <w:rsid w:val="00FD3236"/>
    <w:rsid w:val="00FD37EE"/>
    <w:rsid w:val="00FD4C0A"/>
    <w:rsid w:val="00FD5AE1"/>
    <w:rsid w:val="00FD5B27"/>
    <w:rsid w:val="00FD60CE"/>
    <w:rsid w:val="00FD6D49"/>
    <w:rsid w:val="00FD6E36"/>
    <w:rsid w:val="00FE0EED"/>
    <w:rsid w:val="00FE1283"/>
    <w:rsid w:val="00FE1C6A"/>
    <w:rsid w:val="00FE1E2C"/>
    <w:rsid w:val="00FE1F45"/>
    <w:rsid w:val="00FE3D4F"/>
    <w:rsid w:val="00FE5113"/>
    <w:rsid w:val="00FE5BBF"/>
    <w:rsid w:val="00FE61A6"/>
    <w:rsid w:val="00FE6F9E"/>
    <w:rsid w:val="00FF10DB"/>
    <w:rsid w:val="00FF29C0"/>
    <w:rsid w:val="00FF29D8"/>
    <w:rsid w:val="00FF2A2A"/>
    <w:rsid w:val="00FF2CB0"/>
    <w:rsid w:val="00FF398C"/>
    <w:rsid w:val="00FF4838"/>
    <w:rsid w:val="00FF4CEF"/>
    <w:rsid w:val="00FF5932"/>
    <w:rsid w:val="00FF5949"/>
    <w:rsid w:val="00FF64C4"/>
    <w:rsid w:val="00FF708F"/>
    <w:rsid w:val="00FF7822"/>
    <w:rsid w:val="00FF7BF7"/>
    <w:rsid w:val="0A96644D"/>
    <w:rsid w:val="0C7E1951"/>
    <w:rsid w:val="150DCF47"/>
    <w:rsid w:val="1CCA61A7"/>
    <w:rsid w:val="1FDA3BF1"/>
    <w:rsid w:val="2152946D"/>
    <w:rsid w:val="2B418013"/>
    <w:rsid w:val="2B889292"/>
    <w:rsid w:val="331461A4"/>
    <w:rsid w:val="337318A7"/>
    <w:rsid w:val="33A2CE14"/>
    <w:rsid w:val="3C2DC3C2"/>
    <w:rsid w:val="42A2F9D0"/>
    <w:rsid w:val="487098F0"/>
    <w:rsid w:val="48F01DA2"/>
    <w:rsid w:val="54185E47"/>
    <w:rsid w:val="56594502"/>
    <w:rsid w:val="5CAA430F"/>
    <w:rsid w:val="5EEE072D"/>
    <w:rsid w:val="675A1BD7"/>
    <w:rsid w:val="6F3C0050"/>
    <w:rsid w:val="7138D159"/>
    <w:rsid w:val="71A2D67C"/>
    <w:rsid w:val="7678279C"/>
    <w:rsid w:val="77D51402"/>
    <w:rsid w:val="7E3E9C3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8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93E"/>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D058AC"/>
    <w:pPr>
      <w:spacing w:after="240" w:line="460" w:lineRule="exact"/>
      <w:outlineLvl w:val="0"/>
    </w:pPr>
    <w:rPr>
      <w:b/>
      <w:bCs w:val="0"/>
      <w:color w:val="5D779D" w:themeColor="accent3"/>
      <w:sz w:val="44"/>
    </w:rPr>
  </w:style>
  <w:style w:type="paragraph" w:styleId="Heading2">
    <w:name w:val="heading 2"/>
    <w:basedOn w:val="HeadingBase"/>
    <w:next w:val="Normal"/>
    <w:link w:val="Heading2Char"/>
    <w:qFormat/>
    <w:rsid w:val="00DF00AB"/>
    <w:pPr>
      <w:spacing w:before="360"/>
      <w:outlineLvl w:val="1"/>
    </w:pPr>
    <w:rPr>
      <w:bCs w:val="0"/>
      <w:iCs/>
      <w:color w:val="2C384A" w:themeColor="accent1"/>
      <w:sz w:val="36"/>
      <w:szCs w:val="28"/>
    </w:rPr>
  </w:style>
  <w:style w:type="paragraph" w:styleId="Heading3">
    <w:name w:val="heading 3"/>
    <w:basedOn w:val="HeadingBase"/>
    <w:next w:val="Normal"/>
    <w:link w:val="Heading3Char"/>
    <w:qFormat/>
    <w:rsid w:val="003525D5"/>
    <w:pPr>
      <w:spacing w:before="320" w:after="0"/>
      <w:outlineLvl w:val="2"/>
    </w:pPr>
    <w:rPr>
      <w:b/>
      <w:bCs w:val="0"/>
      <w:color w:val="4D7861" w:themeColor="accent2"/>
      <w:sz w:val="28"/>
      <w:szCs w:val="26"/>
    </w:rPr>
  </w:style>
  <w:style w:type="paragraph" w:styleId="Heading4">
    <w:name w:val="heading 4"/>
    <w:basedOn w:val="HeadingBase"/>
    <w:next w:val="Normal"/>
    <w:link w:val="Heading4Char"/>
    <w:qFormat/>
    <w:rsid w:val="005B7713"/>
    <w:pPr>
      <w:spacing w:before="120" w:after="0"/>
      <w:outlineLvl w:val="3"/>
    </w:pPr>
    <w:rPr>
      <w:rFonts w:ascii="Calibri Light" w:hAnsi="Calibri Light"/>
      <w:b/>
      <w:color w:val="2C384A" w:themeColor="accent1"/>
      <w:sz w:val="24"/>
      <w:szCs w:val="26"/>
    </w:rPr>
  </w:style>
  <w:style w:type="paragraph" w:styleId="Heading5">
    <w:name w:val="heading 5"/>
    <w:basedOn w:val="HeadingBase"/>
    <w:next w:val="Normal"/>
    <w:link w:val="Heading5Char"/>
    <w:rsid w:val="000E7196"/>
    <w:pPr>
      <w:spacing w:before="120" w:after="0" w:line="276" w:lineRule="auto"/>
      <w:outlineLvl w:val="4"/>
    </w:pPr>
    <w:rPr>
      <w:rFonts w:ascii="Calibri Light" w:hAnsi="Calibri Light"/>
      <w:b/>
      <w:bCs w:val="0"/>
      <w:iCs/>
      <w:color w:val="000000" w:themeColor="text1"/>
      <w:sz w:val="22"/>
    </w:rPr>
  </w:style>
  <w:style w:type="paragraph" w:styleId="Heading6">
    <w:name w:val="heading 6"/>
    <w:basedOn w:val="HeadingBase"/>
    <w:next w:val="Normal"/>
    <w:link w:val="Heading6Char"/>
    <w:rsid w:val="00FD293E"/>
    <w:pPr>
      <w:spacing w:before="120" w:after="0" w:line="276" w:lineRule="auto"/>
      <w:outlineLvl w:val="5"/>
    </w:pPr>
    <w:rPr>
      <w:rFonts w:ascii="Calibri Light" w:hAnsi="Calibri Light"/>
      <w:bCs w:val="0"/>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8AC"/>
    <w:rPr>
      <w:rFonts w:ascii="Calibri" w:eastAsia="Times New Roman" w:hAnsi="Calibri" w:cs="Arial"/>
      <w:b/>
      <w:color w:val="5D779D" w:themeColor="accent3"/>
      <w:kern w:val="32"/>
      <w:sz w:val="44"/>
      <w:szCs w:val="36"/>
      <w:lang w:eastAsia="en-AU"/>
    </w:rPr>
  </w:style>
  <w:style w:type="character" w:customStyle="1" w:styleId="Heading2Char">
    <w:name w:val="Heading 2 Char"/>
    <w:basedOn w:val="DefaultParagraphFont"/>
    <w:link w:val="Heading2"/>
    <w:rsid w:val="00DF00AB"/>
    <w:rPr>
      <w:rFonts w:ascii="Calibri" w:eastAsia="Times New Roman" w:hAnsi="Calibri" w:cs="Arial"/>
      <w:iCs/>
      <w:color w:val="2C384A" w:themeColor="accent1"/>
      <w:kern w:val="32"/>
      <w:sz w:val="36"/>
      <w:szCs w:val="28"/>
      <w:lang w:eastAsia="en-AU"/>
    </w:rPr>
  </w:style>
  <w:style w:type="character" w:customStyle="1" w:styleId="Heading3Char">
    <w:name w:val="Heading 3 Char"/>
    <w:basedOn w:val="DefaultParagraphFont"/>
    <w:link w:val="Heading3"/>
    <w:rsid w:val="003525D5"/>
    <w:rPr>
      <w:rFonts w:ascii="Calibri" w:eastAsia="Times New Roman" w:hAnsi="Calibri" w:cs="Arial"/>
      <w:b/>
      <w:color w:val="4D7861" w:themeColor="accent2"/>
      <w:kern w:val="32"/>
      <w:sz w:val="28"/>
      <w:szCs w:val="26"/>
      <w:lang w:eastAsia="en-AU"/>
    </w:rPr>
  </w:style>
  <w:style w:type="character" w:customStyle="1" w:styleId="Heading4Char">
    <w:name w:val="Heading 4 Char"/>
    <w:basedOn w:val="DefaultParagraphFont"/>
    <w:link w:val="Heading4"/>
    <w:rsid w:val="005B7713"/>
    <w:rPr>
      <w:rFonts w:ascii="Calibri Light" w:eastAsia="Times New Roman" w:hAnsi="Calibri Light" w:cs="Arial"/>
      <w:b/>
      <w:bCs/>
      <w:color w:val="2C384A" w:themeColor="accent1"/>
      <w:kern w:val="32"/>
      <w:sz w:val="24"/>
      <w:szCs w:val="26"/>
      <w:lang w:eastAsia="en-AU"/>
    </w:rPr>
  </w:style>
  <w:style w:type="character" w:customStyle="1" w:styleId="Heading5Char">
    <w:name w:val="Heading 5 Char"/>
    <w:basedOn w:val="DefaultParagraphFont"/>
    <w:link w:val="Heading5"/>
    <w:rsid w:val="00FD293E"/>
    <w:rPr>
      <w:rFonts w:ascii="Calibri Light" w:eastAsia="Times New Roman" w:hAnsi="Calibri Light" w:cs="Arial"/>
      <w:b/>
      <w:iCs/>
      <w:color w:val="000000" w:themeColor="text1"/>
      <w:kern w:val="32"/>
      <w:szCs w:val="36"/>
      <w:lang w:eastAsia="en-AU"/>
    </w:rPr>
  </w:style>
  <w:style w:type="character" w:customStyle="1" w:styleId="Heading6Char">
    <w:name w:val="Heading 6 Char"/>
    <w:basedOn w:val="DefaultParagraphFont"/>
    <w:link w:val="Heading6"/>
    <w:rsid w:val="00FD293E"/>
    <w:rPr>
      <w:rFonts w:ascii="Calibri Light" w:eastAsia="Times New Roman" w:hAnsi="Calibri Light" w:cs="Arial"/>
      <w:color w:val="000000" w:themeColor="text1"/>
      <w:kern w:val="32"/>
      <w:lang w:eastAsia="en-AU"/>
    </w:rPr>
  </w:style>
  <w:style w:type="paragraph" w:customStyle="1" w:styleId="ChartGraphic">
    <w:name w:val="Chart Graphic"/>
    <w:basedOn w:val="Normal"/>
    <w:next w:val="Normal"/>
    <w:rsid w:val="00FD293E"/>
    <w:pPr>
      <w:keepNext/>
      <w:spacing w:before="0" w:after="0"/>
      <w:jc w:val="center"/>
    </w:pPr>
    <w:rPr>
      <w:color w:val="004A7F"/>
      <w:sz w:val="20"/>
    </w:rPr>
  </w:style>
  <w:style w:type="paragraph" w:customStyle="1" w:styleId="AlphaParagraph">
    <w:name w:val="Alpha Paragraph"/>
    <w:basedOn w:val="Normal"/>
    <w:qFormat/>
    <w:rsid w:val="00FD293E"/>
    <w:pPr>
      <w:numPr>
        <w:ilvl w:val="1"/>
        <w:numId w:val="6"/>
      </w:numPr>
      <w:spacing w:before="0"/>
    </w:pPr>
  </w:style>
  <w:style w:type="character" w:customStyle="1" w:styleId="DashChar">
    <w:name w:val="Dash Char"/>
    <w:basedOn w:val="DefaultParagraphFont"/>
    <w:link w:val="Dash"/>
    <w:uiPriority w:val="99"/>
    <w:locked/>
    <w:rsid w:val="00FD293E"/>
    <w:rPr>
      <w:rFonts w:ascii="Calibri Light" w:eastAsia="Times New Roman" w:hAnsi="Calibri Light" w:cs="Times New Roman"/>
      <w:szCs w:val="20"/>
      <w:lang w:eastAsia="en-AU"/>
    </w:rPr>
  </w:style>
  <w:style w:type="character" w:customStyle="1" w:styleId="DoubleDotChar">
    <w:name w:val="Double Dot Char"/>
    <w:basedOn w:val="DefaultParagraphFont"/>
    <w:link w:val="DoubleDot"/>
    <w:uiPriority w:val="99"/>
    <w:locked/>
    <w:rsid w:val="00FD293E"/>
    <w:rPr>
      <w:rFonts w:ascii="Calibri Light" w:eastAsia="Times New Roman" w:hAnsi="Calibri Light" w:cs="Times New Roman"/>
      <w:szCs w:val="20"/>
      <w:lang w:eastAsia="en-AU"/>
    </w:rPr>
  </w:style>
  <w:style w:type="character" w:customStyle="1" w:styleId="BulletChar">
    <w:name w:val="Bullet Char"/>
    <w:basedOn w:val="DefaultParagraphFont"/>
    <w:link w:val="Bullet"/>
    <w:qFormat/>
    <w:locked/>
    <w:rsid w:val="006E4C3F"/>
    <w:rPr>
      <w:rFonts w:ascii="Calibri Light" w:eastAsia="Times New Roman" w:hAnsi="Calibri Light" w:cs="Times New Roman"/>
      <w:szCs w:val="20"/>
      <w:lang w:eastAsia="en-AU"/>
    </w:rPr>
  </w:style>
  <w:style w:type="paragraph" w:customStyle="1" w:styleId="BoxHeading">
    <w:name w:val="Box Heading"/>
    <w:basedOn w:val="Normal"/>
    <w:next w:val="Normal"/>
    <w:rsid w:val="00FD293E"/>
    <w:pPr>
      <w:keepNext/>
      <w:spacing w:before="240"/>
    </w:pPr>
    <w:rPr>
      <w:b/>
      <w:color w:val="2C384A" w:themeColor="accent1"/>
      <w:sz w:val="26"/>
      <w:szCs w:val="26"/>
    </w:rPr>
  </w:style>
  <w:style w:type="paragraph" w:customStyle="1" w:styleId="BoxText">
    <w:name w:val="Box Text"/>
    <w:basedOn w:val="Normal"/>
    <w:link w:val="BoxTextChar"/>
    <w:rsid w:val="00FD293E"/>
  </w:style>
  <w:style w:type="paragraph" w:customStyle="1" w:styleId="Bullet">
    <w:name w:val="Bullet"/>
    <w:basedOn w:val="Normal"/>
    <w:link w:val="BulletChar"/>
    <w:qFormat/>
    <w:rsid w:val="006E4C3F"/>
    <w:pPr>
      <w:numPr>
        <w:numId w:val="17"/>
      </w:numPr>
      <w:tabs>
        <w:tab w:val="left" w:pos="720"/>
      </w:tabs>
      <w:spacing w:before="0"/>
      <w:ind w:left="284" w:hanging="284"/>
    </w:pPr>
  </w:style>
  <w:style w:type="paragraph" w:customStyle="1" w:styleId="ChartandTableFootnoteAlpha">
    <w:name w:val="Chart and Table Footnote Alpha"/>
    <w:rsid w:val="00FD293E"/>
    <w:pPr>
      <w:numPr>
        <w:numId w:val="7"/>
      </w:numPr>
      <w:spacing w:after="0" w:line="240" w:lineRule="auto"/>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FD293E"/>
    <w:pPr>
      <w:jc w:val="center"/>
    </w:pPr>
  </w:style>
  <w:style w:type="paragraph" w:customStyle="1" w:styleId="ChartorTableNote">
    <w:name w:val="Chart or Table Note"/>
    <w:next w:val="Normal"/>
    <w:rsid w:val="00FD293E"/>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FD293E"/>
    <w:pPr>
      <w:jc w:val="center"/>
    </w:pPr>
    <w:rPr>
      <w:b w:val="0"/>
      <w:bCs/>
    </w:rPr>
  </w:style>
  <w:style w:type="paragraph" w:customStyle="1" w:styleId="Dash">
    <w:name w:val="Dash"/>
    <w:basedOn w:val="Normal"/>
    <w:link w:val="DashChar"/>
    <w:uiPriority w:val="99"/>
    <w:qFormat/>
    <w:rsid w:val="00FD293E"/>
    <w:pPr>
      <w:numPr>
        <w:ilvl w:val="1"/>
        <w:numId w:val="14"/>
      </w:numPr>
      <w:spacing w:before="0"/>
    </w:pPr>
  </w:style>
  <w:style w:type="paragraph" w:customStyle="1" w:styleId="DoubleDot">
    <w:name w:val="Double Dot"/>
    <w:basedOn w:val="Normal"/>
    <w:link w:val="DoubleDotChar"/>
    <w:uiPriority w:val="99"/>
    <w:qFormat/>
    <w:rsid w:val="00FD293E"/>
    <w:pPr>
      <w:numPr>
        <w:ilvl w:val="2"/>
        <w:numId w:val="14"/>
      </w:numPr>
      <w:spacing w:before="0"/>
    </w:pPr>
  </w:style>
  <w:style w:type="paragraph" w:customStyle="1" w:styleId="TableMainHeading">
    <w:name w:val="Table Main Heading"/>
    <w:basedOn w:val="Heading3"/>
    <w:next w:val="Normal"/>
    <w:rsid w:val="00FD293E"/>
    <w:pPr>
      <w:spacing w:before="120"/>
    </w:pPr>
    <w:rPr>
      <w:b w:val="0"/>
      <w:sz w:val="26"/>
    </w:rPr>
  </w:style>
  <w:style w:type="paragraph" w:customStyle="1" w:styleId="FooterEven">
    <w:name w:val="Footer Even"/>
    <w:basedOn w:val="Footer"/>
    <w:rsid w:val="00FD293E"/>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FD293E"/>
    <w:pPr>
      <w:keepNext/>
      <w:tabs>
        <w:tab w:val="clear" w:pos="4513"/>
        <w:tab w:val="clear" w:pos="9026"/>
        <w:tab w:val="right" w:pos="9072"/>
      </w:tabs>
      <w:jc w:val="right"/>
    </w:pPr>
    <w:rPr>
      <w:color w:val="2C384A" w:themeColor="accent1"/>
    </w:rPr>
  </w:style>
  <w:style w:type="character" w:styleId="Hyperlink">
    <w:name w:val="Hyperlink"/>
    <w:basedOn w:val="DefaultParagraphFont"/>
    <w:uiPriority w:val="99"/>
    <w:rsid w:val="00DF00AB"/>
    <w:rPr>
      <w:color w:val="5D779D" w:themeColor="accent3"/>
      <w:u w:val="single"/>
    </w:rPr>
  </w:style>
  <w:style w:type="paragraph" w:customStyle="1" w:styleId="OutlineNumbered1">
    <w:name w:val="Outline Numbered 1"/>
    <w:basedOn w:val="Normal"/>
    <w:link w:val="OutlineNumbered1Char"/>
    <w:rsid w:val="00FD293E"/>
    <w:pPr>
      <w:numPr>
        <w:numId w:val="4"/>
      </w:numPr>
      <w:spacing w:before="0"/>
    </w:pPr>
  </w:style>
  <w:style w:type="paragraph" w:customStyle="1" w:styleId="OutlineNumbered2">
    <w:name w:val="Outline Numbered 2"/>
    <w:basedOn w:val="Normal"/>
    <w:rsid w:val="00FD293E"/>
    <w:pPr>
      <w:numPr>
        <w:ilvl w:val="1"/>
        <w:numId w:val="4"/>
      </w:numPr>
      <w:spacing w:before="0"/>
    </w:pPr>
  </w:style>
  <w:style w:type="paragraph" w:customStyle="1" w:styleId="OutlineNumbered3">
    <w:name w:val="Outline Numbered 3"/>
    <w:basedOn w:val="Normal"/>
    <w:rsid w:val="00FD293E"/>
    <w:pPr>
      <w:numPr>
        <w:ilvl w:val="2"/>
        <w:numId w:val="4"/>
      </w:numPr>
      <w:spacing w:before="0"/>
    </w:pPr>
  </w:style>
  <w:style w:type="paragraph" w:customStyle="1" w:styleId="SingleParagraph">
    <w:name w:val="Single Paragraph"/>
    <w:basedOn w:val="Normal"/>
    <w:next w:val="Normal"/>
    <w:link w:val="SingleParagraphChar"/>
    <w:rsid w:val="00FD293E"/>
    <w:pPr>
      <w:spacing w:before="0" w:after="0"/>
    </w:pPr>
  </w:style>
  <w:style w:type="paragraph" w:customStyle="1" w:styleId="TableSecondHeading">
    <w:name w:val="Table Second Heading"/>
    <w:basedOn w:val="Normal"/>
    <w:next w:val="Normal"/>
    <w:rsid w:val="00FD293E"/>
    <w:pPr>
      <w:keepNext/>
      <w:spacing w:before="0" w:after="20"/>
    </w:pPr>
    <w:rPr>
      <w:b/>
      <w:color w:val="004A7F"/>
    </w:rPr>
  </w:style>
  <w:style w:type="paragraph" w:customStyle="1" w:styleId="TableColumnHeadingCentred">
    <w:name w:val="Table Column Heading Centred"/>
    <w:basedOn w:val="TableTextLeft"/>
    <w:rsid w:val="00965BE8"/>
    <w:pPr>
      <w:spacing w:before="0" w:after="0"/>
      <w:jc w:val="center"/>
    </w:pPr>
    <w:rPr>
      <w:b/>
      <w:color w:val="2C384A" w:themeColor="accent1"/>
    </w:rPr>
  </w:style>
  <w:style w:type="paragraph" w:customStyle="1" w:styleId="TableColumnHeadingLeft">
    <w:name w:val="Table Column Heading Left"/>
    <w:basedOn w:val="TableTextLeft"/>
    <w:rsid w:val="00FD293E"/>
    <w:rPr>
      <w:b/>
      <w:color w:val="2C384A" w:themeColor="accent1"/>
    </w:rPr>
  </w:style>
  <w:style w:type="paragraph" w:customStyle="1" w:styleId="TableColumnHeadingRight">
    <w:name w:val="Table Column Heading Right"/>
    <w:basedOn w:val="TableTextLeft"/>
    <w:rsid w:val="00FD293E"/>
    <w:pPr>
      <w:jc w:val="right"/>
    </w:pPr>
    <w:rPr>
      <w:b/>
      <w:color w:val="2C384A" w:themeColor="accent1"/>
    </w:rPr>
  </w:style>
  <w:style w:type="table" w:styleId="TableGrid">
    <w:name w:val="Table Grid"/>
    <w:basedOn w:val="TableNormal"/>
    <w:uiPriority w:val="39"/>
    <w:rsid w:val="00FD293E"/>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customStyle="1" w:styleId="TableTextCentered">
    <w:name w:val="Table Text Centered"/>
    <w:basedOn w:val="TableTextRight"/>
    <w:rsid w:val="00FD293E"/>
    <w:pPr>
      <w:jc w:val="center"/>
    </w:pPr>
  </w:style>
  <w:style w:type="paragraph" w:customStyle="1" w:styleId="TableTextLeft">
    <w:name w:val="Table Text Left"/>
    <w:basedOn w:val="TableTextRight"/>
    <w:rsid w:val="00DB2942"/>
    <w:pPr>
      <w:jc w:val="left"/>
    </w:pPr>
    <w:rPr>
      <w:sz w:val="20"/>
    </w:rPr>
  </w:style>
  <w:style w:type="paragraph" w:customStyle="1" w:styleId="TableTextRight">
    <w:name w:val="Table Text Right"/>
    <w:basedOn w:val="Normal"/>
    <w:rsid w:val="00FD293E"/>
    <w:pPr>
      <w:spacing w:before="40" w:after="40"/>
      <w:jc w:val="right"/>
    </w:pPr>
    <w:rPr>
      <w:color w:val="000000"/>
      <w:sz w:val="18"/>
    </w:rPr>
  </w:style>
  <w:style w:type="paragraph" w:styleId="TOC1">
    <w:name w:val="toc 1"/>
    <w:basedOn w:val="Normal"/>
    <w:next w:val="Normal"/>
    <w:uiPriority w:val="39"/>
    <w:rsid w:val="005E5BA7"/>
    <w:pPr>
      <w:keepNext/>
      <w:tabs>
        <w:tab w:val="right" w:leader="dot" w:pos="9072"/>
      </w:tabs>
      <w:spacing w:before="240" w:after="0"/>
    </w:pPr>
    <w:rPr>
      <w:b/>
      <w:noProof/>
      <w:color w:val="2C384A" w:themeColor="accent1"/>
      <w:szCs w:val="22"/>
    </w:rPr>
  </w:style>
  <w:style w:type="paragraph" w:styleId="TOC2">
    <w:name w:val="toc 2"/>
    <w:basedOn w:val="Normal"/>
    <w:next w:val="Normal"/>
    <w:uiPriority w:val="39"/>
    <w:rsid w:val="0053020D"/>
    <w:pPr>
      <w:keepNext/>
      <w:tabs>
        <w:tab w:val="right" w:leader="dot" w:pos="9072"/>
      </w:tabs>
      <w:spacing w:after="20"/>
    </w:pPr>
    <w:rPr>
      <w:noProof/>
      <w:color w:val="5D779D" w:themeColor="accent3"/>
    </w:rPr>
  </w:style>
  <w:style w:type="paragraph" w:styleId="TOC3">
    <w:name w:val="toc 3"/>
    <w:basedOn w:val="Normal"/>
    <w:next w:val="Normal"/>
    <w:uiPriority w:val="39"/>
    <w:rsid w:val="00FD293E"/>
    <w:pPr>
      <w:tabs>
        <w:tab w:val="right" w:leader="dot" w:pos="9072"/>
      </w:tabs>
      <w:spacing w:before="20" w:after="0"/>
      <w:ind w:left="284" w:right="-2"/>
    </w:pPr>
    <w:rPr>
      <w:rFonts w:cs="Calibri"/>
      <w:noProof/>
    </w:rPr>
  </w:style>
  <w:style w:type="numbering" w:customStyle="1" w:styleId="OutlineList">
    <w:name w:val="OutlineList"/>
    <w:uiPriority w:val="99"/>
    <w:rsid w:val="00FD293E"/>
    <w:pPr>
      <w:numPr>
        <w:numId w:val="3"/>
      </w:numPr>
    </w:pPr>
  </w:style>
  <w:style w:type="numbering" w:customStyle="1" w:styleId="BulletedList">
    <w:name w:val="Bulleted List"/>
    <w:uiPriority w:val="99"/>
    <w:rsid w:val="00FD293E"/>
    <w:pPr>
      <w:numPr>
        <w:numId w:val="8"/>
      </w:numPr>
    </w:pPr>
  </w:style>
  <w:style w:type="numbering" w:customStyle="1" w:styleId="BoxBulletedList">
    <w:name w:val="Box Bulleted List"/>
    <w:uiPriority w:val="99"/>
    <w:rsid w:val="00FD293E"/>
    <w:pPr>
      <w:numPr>
        <w:numId w:val="1"/>
      </w:numPr>
    </w:pPr>
  </w:style>
  <w:style w:type="numbering" w:customStyle="1" w:styleId="OneLevelList">
    <w:name w:val="OneLevelList"/>
    <w:uiPriority w:val="99"/>
    <w:rsid w:val="00FD293E"/>
    <w:pPr>
      <w:numPr>
        <w:numId w:val="2"/>
      </w:numPr>
    </w:pPr>
  </w:style>
  <w:style w:type="numbering" w:customStyle="1" w:styleId="ChartandTableFootnoteAlphaList">
    <w:name w:val="ChartandTableFootnoteAlphaList"/>
    <w:uiPriority w:val="99"/>
    <w:rsid w:val="00FD293E"/>
    <w:pPr>
      <w:numPr>
        <w:numId w:val="7"/>
      </w:numPr>
    </w:pPr>
  </w:style>
  <w:style w:type="paragraph" w:customStyle="1" w:styleId="Heading1Numbered">
    <w:name w:val="Heading 1 Numbered"/>
    <w:basedOn w:val="Heading1"/>
    <w:next w:val="Normal"/>
    <w:rsid w:val="00FD293E"/>
    <w:pPr>
      <w:numPr>
        <w:numId w:val="5"/>
      </w:numPr>
    </w:pPr>
  </w:style>
  <w:style w:type="character" w:customStyle="1" w:styleId="SingleParagraphChar">
    <w:name w:val="Single Paragraph Char"/>
    <w:basedOn w:val="DefaultParagraphFont"/>
    <w:link w:val="SingleParagraph"/>
    <w:rsid w:val="00FD293E"/>
    <w:rPr>
      <w:rFonts w:ascii="Calibri Light" w:eastAsia="Times New Roman" w:hAnsi="Calibri Light" w:cs="Times New Roman"/>
      <w:szCs w:val="20"/>
      <w:lang w:eastAsia="en-AU"/>
    </w:rPr>
  </w:style>
  <w:style w:type="paragraph" w:customStyle="1" w:styleId="Heading2Numbered">
    <w:name w:val="Heading 2 Numbered"/>
    <w:basedOn w:val="Heading2"/>
    <w:next w:val="Normal"/>
    <w:rsid w:val="00FD293E"/>
    <w:pPr>
      <w:numPr>
        <w:ilvl w:val="1"/>
        <w:numId w:val="5"/>
      </w:numPr>
      <w:ind w:left="284" w:hanging="284"/>
    </w:pPr>
  </w:style>
  <w:style w:type="paragraph" w:customStyle="1" w:styleId="Heading3Numbered">
    <w:name w:val="Heading 3 Numbered"/>
    <w:basedOn w:val="Heading3"/>
    <w:rsid w:val="00FD293E"/>
    <w:pPr>
      <w:numPr>
        <w:ilvl w:val="2"/>
        <w:numId w:val="5"/>
      </w:numPr>
      <w:ind w:left="284" w:hanging="284"/>
    </w:pPr>
  </w:style>
  <w:style w:type="paragraph" w:styleId="Title">
    <w:name w:val="Title"/>
    <w:basedOn w:val="Normal"/>
    <w:next w:val="Normal"/>
    <w:link w:val="TitleChar"/>
    <w:uiPriority w:val="10"/>
    <w:rsid w:val="00B05725"/>
    <w:pPr>
      <w:spacing w:before="0" w:after="300"/>
      <w:contextualSpacing/>
    </w:pPr>
    <w:rPr>
      <w:rFonts w:asciiTheme="minorHAnsi" w:eastAsiaTheme="majorEastAsia" w:hAnsiTheme="minorHAnsi" w:cstheme="minorHAnsi"/>
      <w:b/>
      <w:bCs/>
      <w:color w:val="2C384A"/>
      <w:spacing w:val="5"/>
      <w:kern w:val="28"/>
      <w:sz w:val="96"/>
      <w:szCs w:val="96"/>
    </w:rPr>
  </w:style>
  <w:style w:type="character" w:customStyle="1" w:styleId="TitleChar">
    <w:name w:val="Title Char"/>
    <w:basedOn w:val="DefaultParagraphFont"/>
    <w:link w:val="Title"/>
    <w:uiPriority w:val="10"/>
    <w:rsid w:val="00FD293E"/>
    <w:rPr>
      <w:rFonts w:eastAsiaTheme="majorEastAsia" w:cstheme="minorHAnsi"/>
      <w:b/>
      <w:bCs/>
      <w:color w:val="2C384A"/>
      <w:spacing w:val="5"/>
      <w:kern w:val="28"/>
      <w:sz w:val="96"/>
      <w:szCs w:val="96"/>
      <w:lang w:eastAsia="en-AU"/>
    </w:rPr>
  </w:style>
  <w:style w:type="paragraph" w:styleId="Subtitle">
    <w:name w:val="Subtitle"/>
    <w:basedOn w:val="Normal"/>
    <w:next w:val="Normal"/>
    <w:link w:val="SubtitleChar"/>
    <w:uiPriority w:val="11"/>
    <w:rsid w:val="00FD293E"/>
    <w:pPr>
      <w:numPr>
        <w:ilvl w:val="1"/>
      </w:numPr>
      <w:spacing w:line="254" w:lineRule="auto"/>
    </w:pPr>
    <w:rPr>
      <w:rFonts w:eastAsiaTheme="majorEastAsia" w:cs="Calibri Light"/>
      <w:iCs/>
      <w:color w:val="2C384A"/>
      <w:sz w:val="72"/>
      <w:szCs w:val="72"/>
    </w:rPr>
  </w:style>
  <w:style w:type="character" w:customStyle="1" w:styleId="SubtitleChar">
    <w:name w:val="Subtitle Char"/>
    <w:basedOn w:val="DefaultParagraphFont"/>
    <w:link w:val="Subtitle"/>
    <w:uiPriority w:val="11"/>
    <w:rsid w:val="00FD293E"/>
    <w:rPr>
      <w:rFonts w:ascii="Calibri Light" w:eastAsiaTheme="majorEastAsia" w:hAnsi="Calibri Light" w:cs="Calibri Light"/>
      <w:iCs/>
      <w:color w:val="2C384A"/>
      <w:sz w:val="72"/>
      <w:szCs w:val="72"/>
      <w:lang w:eastAsia="en-AU"/>
    </w:rPr>
  </w:style>
  <w:style w:type="character" w:styleId="SubtleEmphasis">
    <w:name w:val="Subtle Emphasis"/>
    <w:basedOn w:val="DefaultParagraphFont"/>
    <w:uiPriority w:val="19"/>
    <w:rsid w:val="00FD293E"/>
    <w:rPr>
      <w:i/>
      <w:iCs/>
      <w:color w:val="808080" w:themeColor="text1" w:themeTint="7F"/>
    </w:rPr>
  </w:style>
  <w:style w:type="paragraph" w:styleId="Footer">
    <w:name w:val="footer"/>
    <w:basedOn w:val="Normal"/>
    <w:link w:val="FooterChar"/>
    <w:unhideWhenUsed/>
    <w:rsid w:val="00FD293E"/>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FD293E"/>
    <w:rPr>
      <w:rFonts w:ascii="Calibri Light" w:eastAsia="Times New Roman" w:hAnsi="Calibri Light" w:cs="Times New Roman"/>
      <w:color w:val="002C47"/>
      <w:sz w:val="20"/>
      <w:szCs w:val="20"/>
      <w:lang w:eastAsia="en-AU"/>
    </w:rPr>
  </w:style>
  <w:style w:type="paragraph" w:styleId="Header">
    <w:name w:val="header"/>
    <w:basedOn w:val="Normal"/>
    <w:link w:val="HeaderChar"/>
    <w:uiPriority w:val="99"/>
    <w:unhideWhenUsed/>
    <w:rsid w:val="00FD293E"/>
    <w:pPr>
      <w:keepNext/>
      <w:spacing w:before="0" w:after="0"/>
      <w:jc w:val="right"/>
    </w:pPr>
    <w:rPr>
      <w:color w:val="004A7F"/>
      <w:sz w:val="20"/>
    </w:rPr>
  </w:style>
  <w:style w:type="character" w:customStyle="1" w:styleId="HeaderChar">
    <w:name w:val="Header Char"/>
    <w:basedOn w:val="DefaultParagraphFont"/>
    <w:link w:val="Header"/>
    <w:uiPriority w:val="99"/>
    <w:rsid w:val="00FD293E"/>
    <w:rPr>
      <w:rFonts w:ascii="Calibri Light" w:eastAsia="Times New Roman" w:hAnsi="Calibri Light" w:cs="Times New Roman"/>
      <w:color w:val="004A7F"/>
      <w:sz w:val="20"/>
      <w:szCs w:val="20"/>
      <w:lang w:eastAsia="en-AU"/>
    </w:rPr>
  </w:style>
  <w:style w:type="character" w:styleId="PlaceholderText">
    <w:name w:val="Placeholder Text"/>
    <w:basedOn w:val="DefaultParagraphFont"/>
    <w:uiPriority w:val="99"/>
    <w:semiHidden/>
    <w:rsid w:val="00FD293E"/>
    <w:rPr>
      <w:color w:val="808080"/>
    </w:rPr>
  </w:style>
  <w:style w:type="paragraph" w:customStyle="1" w:styleId="AppendixHeading">
    <w:name w:val="Appendix Heading"/>
    <w:basedOn w:val="Heading1"/>
    <w:next w:val="Normal"/>
    <w:rsid w:val="00FD293E"/>
  </w:style>
  <w:style w:type="paragraph" w:customStyle="1" w:styleId="HeadingBase">
    <w:name w:val="Heading Base"/>
    <w:rsid w:val="00FD293E"/>
    <w:pPr>
      <w:keepNext/>
      <w:spacing w:after="120" w:line="240" w:lineRule="auto"/>
    </w:pPr>
    <w:rPr>
      <w:rFonts w:ascii="Calibri" w:eastAsia="Times New Roman" w:hAnsi="Calibri" w:cs="Arial"/>
      <w:bCs/>
      <w:color w:val="002C4A"/>
      <w:kern w:val="32"/>
      <w:sz w:val="48"/>
      <w:szCs w:val="36"/>
      <w:lang w:eastAsia="en-AU"/>
    </w:rPr>
  </w:style>
  <w:style w:type="paragraph" w:styleId="ListParagraph">
    <w:name w:val="List Paragraph"/>
    <w:basedOn w:val="Normal"/>
    <w:link w:val="ListParagraphChar"/>
    <w:uiPriority w:val="34"/>
    <w:qFormat/>
    <w:rsid w:val="00FD293E"/>
    <w:pPr>
      <w:ind w:left="720"/>
      <w:contextualSpacing/>
    </w:pPr>
  </w:style>
  <w:style w:type="paragraph" w:customStyle="1" w:styleId="TableTextIndented">
    <w:name w:val="Table Text Indented"/>
    <w:basedOn w:val="TableTextLeft"/>
    <w:rsid w:val="00FD293E"/>
    <w:pPr>
      <w:ind w:left="284"/>
    </w:pPr>
  </w:style>
  <w:style w:type="paragraph" w:customStyle="1" w:styleId="TableHeadingContinued">
    <w:name w:val="Table Heading Continued"/>
    <w:basedOn w:val="TableMainHeading"/>
    <w:next w:val="TableGraphic"/>
    <w:rsid w:val="00FD293E"/>
  </w:style>
  <w:style w:type="paragraph" w:customStyle="1" w:styleId="TableGraphic">
    <w:name w:val="Table Graphic"/>
    <w:basedOn w:val="HeadingBase"/>
    <w:next w:val="Normal"/>
    <w:rsid w:val="00FD293E"/>
    <w:pPr>
      <w:spacing w:after="0"/>
    </w:pPr>
  </w:style>
  <w:style w:type="paragraph" w:customStyle="1" w:styleId="HeaderEven">
    <w:name w:val="Header Even"/>
    <w:basedOn w:val="Header"/>
    <w:qFormat/>
    <w:rsid w:val="00FD293E"/>
    <w:pPr>
      <w:jc w:val="left"/>
    </w:pPr>
    <w:rPr>
      <w:color w:val="002C47"/>
    </w:rPr>
  </w:style>
  <w:style w:type="paragraph" w:customStyle="1" w:styleId="HeaderOdd">
    <w:name w:val="Header Odd"/>
    <w:basedOn w:val="Header"/>
    <w:qFormat/>
    <w:rsid w:val="00FD293E"/>
    <w:rPr>
      <w:color w:val="002C47"/>
    </w:rPr>
  </w:style>
  <w:style w:type="paragraph" w:styleId="FootnoteText">
    <w:name w:val="footnote text"/>
    <w:basedOn w:val="Normal"/>
    <w:link w:val="FootnoteTextChar"/>
    <w:uiPriority w:val="99"/>
    <w:rsid w:val="00FD293E"/>
    <w:pPr>
      <w:spacing w:before="0" w:after="0"/>
      <w:ind w:left="397" w:hanging="397"/>
    </w:pPr>
    <w:rPr>
      <w:sz w:val="20"/>
    </w:rPr>
  </w:style>
  <w:style w:type="character" w:customStyle="1" w:styleId="FootnoteTextChar">
    <w:name w:val="Footnote Text Char"/>
    <w:basedOn w:val="DefaultParagraphFont"/>
    <w:link w:val="FootnoteText"/>
    <w:uiPriority w:val="99"/>
    <w:rsid w:val="00FD293E"/>
    <w:rPr>
      <w:rFonts w:ascii="Calibri Light" w:eastAsia="Times New Roman" w:hAnsi="Calibri Light" w:cs="Times New Roman"/>
      <w:sz w:val="20"/>
      <w:szCs w:val="20"/>
      <w:lang w:eastAsia="en-AU"/>
    </w:rPr>
  </w:style>
  <w:style w:type="character" w:styleId="FootnoteReference">
    <w:name w:val="footnote reference"/>
    <w:basedOn w:val="DefaultParagraphFont"/>
    <w:uiPriority w:val="99"/>
    <w:rsid w:val="00FD293E"/>
    <w:rPr>
      <w:sz w:val="18"/>
    </w:rPr>
  </w:style>
  <w:style w:type="paragraph" w:styleId="BalloonText">
    <w:name w:val="Balloon Text"/>
    <w:basedOn w:val="Normal"/>
    <w:link w:val="BalloonTextChar"/>
    <w:uiPriority w:val="99"/>
    <w:semiHidden/>
    <w:unhideWhenUsed/>
    <w:rsid w:val="00FD293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93E"/>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FD293E"/>
    <w:rPr>
      <w:rFonts w:ascii="Calibri Light" w:eastAsia="Times New Roman" w:hAnsi="Calibri Light" w:cs="Times New Roman"/>
      <w:szCs w:val="20"/>
      <w:lang w:eastAsia="en-AU"/>
    </w:rPr>
  </w:style>
  <w:style w:type="paragraph" w:customStyle="1" w:styleId="Boxbullet">
    <w:name w:val="Box bullet"/>
    <w:basedOn w:val="Bullet"/>
    <w:rsid w:val="00FD293E"/>
    <w:pPr>
      <w:numPr>
        <w:numId w:val="13"/>
      </w:numPr>
      <w:tabs>
        <w:tab w:val="clear" w:pos="283"/>
        <w:tab w:val="num" w:pos="284"/>
        <w:tab w:val="num" w:pos="520"/>
      </w:tabs>
      <w:spacing w:before="60"/>
    </w:pPr>
    <w:rPr>
      <w:color w:val="0D0D0D" w:themeColor="text1" w:themeTint="F2"/>
    </w:rPr>
  </w:style>
  <w:style w:type="paragraph" w:customStyle="1" w:styleId="Boxdash">
    <w:name w:val="Box dash"/>
    <w:basedOn w:val="Dash"/>
    <w:rsid w:val="00FD293E"/>
    <w:pPr>
      <w:numPr>
        <w:numId w:val="13"/>
      </w:numPr>
      <w:tabs>
        <w:tab w:val="clear" w:pos="567"/>
        <w:tab w:val="num" w:pos="1040"/>
      </w:tabs>
      <w:spacing w:before="60" w:after="0" w:line="276" w:lineRule="auto"/>
    </w:pPr>
    <w:rPr>
      <w:rFonts w:eastAsiaTheme="minorHAnsi"/>
      <w:color w:val="0D0D0D" w:themeColor="text1" w:themeTint="F2"/>
      <w:lang w:eastAsia="en-US"/>
    </w:rPr>
  </w:style>
  <w:style w:type="paragraph" w:customStyle="1" w:styleId="Boxdoubledot">
    <w:name w:val="Box double dot"/>
    <w:basedOn w:val="DoubleDot"/>
    <w:rsid w:val="00FD293E"/>
    <w:pPr>
      <w:numPr>
        <w:numId w:val="13"/>
      </w:numPr>
      <w:tabs>
        <w:tab w:val="clear" w:pos="851"/>
        <w:tab w:val="left" w:pos="567"/>
        <w:tab w:val="num" w:pos="1560"/>
      </w:tabs>
      <w:spacing w:before="60" w:after="0" w:line="276" w:lineRule="auto"/>
    </w:pPr>
    <w:rPr>
      <w:rFonts w:eastAsiaTheme="minorHAnsi"/>
      <w:color w:val="0D0D0D" w:themeColor="text1" w:themeTint="F2"/>
      <w:lang w:eastAsia="en-US"/>
    </w:rPr>
  </w:style>
  <w:style w:type="paragraph" w:customStyle="1" w:styleId="Instructions">
    <w:name w:val="Instructions"/>
    <w:basedOn w:val="Normal"/>
    <w:uiPriority w:val="1"/>
    <w:qFormat/>
    <w:rsid w:val="00FD293E"/>
    <w:pPr>
      <w:shd w:val="clear" w:color="auto" w:fill="FFFF00"/>
      <w:ind w:left="170" w:hanging="170"/>
    </w:pPr>
    <w:rPr>
      <w:rFonts w:asciiTheme="minorHAnsi" w:hAnsiTheme="minorHAnsi"/>
      <w:sz w:val="20"/>
      <w:szCs w:val="24"/>
    </w:rPr>
  </w:style>
  <w:style w:type="character" w:styleId="CommentReference">
    <w:name w:val="annotation reference"/>
    <w:basedOn w:val="DefaultParagraphFont"/>
    <w:uiPriority w:val="99"/>
    <w:semiHidden/>
    <w:unhideWhenUsed/>
    <w:rsid w:val="00FD293E"/>
    <w:rPr>
      <w:sz w:val="16"/>
      <w:szCs w:val="16"/>
    </w:rPr>
  </w:style>
  <w:style w:type="paragraph" w:styleId="NormalWeb">
    <w:name w:val="Normal (Web)"/>
    <w:basedOn w:val="Normal"/>
    <w:uiPriority w:val="99"/>
    <w:unhideWhenUsed/>
    <w:rsid w:val="002E754E"/>
    <w:pPr>
      <w:spacing w:before="100" w:beforeAutospacing="1" w:after="100" w:afterAutospacing="1"/>
    </w:pPr>
    <w:rPr>
      <w:rFonts w:ascii="Times New Roman" w:hAnsi="Times New Roman"/>
      <w:sz w:val="24"/>
      <w:szCs w:val="24"/>
    </w:rPr>
  </w:style>
  <w:style w:type="character" w:styleId="Strong">
    <w:name w:val="Strong"/>
    <w:basedOn w:val="DefaultParagraphFont"/>
    <w:qFormat/>
    <w:rsid w:val="00FD293E"/>
    <w:rPr>
      <w:b/>
      <w:bCs/>
    </w:rPr>
  </w:style>
  <w:style w:type="paragraph" w:customStyle="1" w:styleId="Default">
    <w:name w:val="Default"/>
    <w:rsid w:val="00CE6207"/>
    <w:pPr>
      <w:autoSpaceDE w:val="0"/>
      <w:autoSpaceDN w:val="0"/>
      <w:adjustRightInd w:val="0"/>
      <w:spacing w:after="0" w:line="240" w:lineRule="auto"/>
    </w:pPr>
    <w:rPr>
      <w:rFonts w:ascii="Aktiv Grotesk" w:hAnsi="Aktiv Grotesk" w:cs="Aktiv Grotesk"/>
      <w:color w:val="000000"/>
      <w:sz w:val="24"/>
      <w:szCs w:val="24"/>
    </w:rPr>
  </w:style>
  <w:style w:type="paragraph" w:styleId="BodyText">
    <w:name w:val="Body Text"/>
    <w:basedOn w:val="Normal"/>
    <w:link w:val="BodyTextChar"/>
    <w:uiPriority w:val="1"/>
    <w:qFormat/>
    <w:rsid w:val="00CE6207"/>
    <w:pPr>
      <w:widowControl w:val="0"/>
      <w:autoSpaceDE w:val="0"/>
      <w:autoSpaceDN w:val="0"/>
      <w:spacing w:before="0" w:after="0"/>
    </w:pPr>
    <w:rPr>
      <w:rFonts w:ascii="Verdana" w:eastAsia="Verdana" w:hAnsi="Verdana" w:cs="Verdana"/>
      <w:sz w:val="20"/>
      <w:lang w:val="en-US" w:eastAsia="en-US"/>
    </w:rPr>
  </w:style>
  <w:style w:type="character" w:customStyle="1" w:styleId="BodyTextChar">
    <w:name w:val="Body Text Char"/>
    <w:basedOn w:val="DefaultParagraphFont"/>
    <w:link w:val="BodyText"/>
    <w:uiPriority w:val="1"/>
    <w:rsid w:val="00CE6207"/>
    <w:rPr>
      <w:rFonts w:ascii="Verdana" w:eastAsia="Verdana" w:hAnsi="Verdana" w:cs="Verdana"/>
      <w:sz w:val="20"/>
      <w:szCs w:val="20"/>
      <w:lang w:val="en-US"/>
    </w:rPr>
  </w:style>
  <w:style w:type="paragraph" w:styleId="TOCHeading">
    <w:name w:val="TOC Heading"/>
    <w:basedOn w:val="Heading1"/>
    <w:next w:val="Normal"/>
    <w:uiPriority w:val="39"/>
    <w:unhideWhenUsed/>
    <w:qFormat/>
    <w:rsid w:val="005E5BA7"/>
    <w:pPr>
      <w:keepLines/>
      <w:spacing w:after="0" w:line="259" w:lineRule="auto"/>
      <w:outlineLvl w:val="9"/>
    </w:pPr>
    <w:rPr>
      <w:rFonts w:asciiTheme="majorHAnsi" w:eastAsiaTheme="majorEastAsia" w:hAnsiTheme="majorHAnsi" w:cstheme="majorBidi"/>
      <w:kern w:val="0"/>
      <w:szCs w:val="32"/>
    </w:rPr>
  </w:style>
  <w:style w:type="paragraph" w:styleId="Caption">
    <w:name w:val="caption"/>
    <w:basedOn w:val="Normal"/>
    <w:next w:val="Normal"/>
    <w:uiPriority w:val="35"/>
    <w:unhideWhenUsed/>
    <w:qFormat/>
    <w:rsid w:val="009C1BC4"/>
    <w:pPr>
      <w:spacing w:before="0" w:after="220"/>
    </w:pPr>
    <w:rPr>
      <w:rFonts w:ascii="Calibri" w:eastAsiaTheme="minorHAnsi" w:hAnsi="Calibri" w:cstheme="minorBidi"/>
      <w:b/>
      <w:bCs/>
      <w:color w:val="003157"/>
      <w:sz w:val="18"/>
      <w:szCs w:val="18"/>
      <w:lang w:eastAsia="en-US"/>
    </w:rPr>
  </w:style>
  <w:style w:type="paragraph" w:styleId="CommentSubject">
    <w:name w:val="annotation subject"/>
    <w:basedOn w:val="Normal"/>
    <w:next w:val="Normal"/>
    <w:link w:val="CommentSubjectChar"/>
    <w:uiPriority w:val="99"/>
    <w:semiHidden/>
    <w:unhideWhenUsed/>
    <w:rsid w:val="00482CF4"/>
    <w:rPr>
      <w:b/>
      <w:bCs/>
      <w:sz w:val="20"/>
    </w:rPr>
  </w:style>
  <w:style w:type="character" w:customStyle="1" w:styleId="CommentSubjectChar">
    <w:name w:val="Comment Subject Char"/>
    <w:basedOn w:val="DefaultParagraphFont"/>
    <w:link w:val="CommentSubject"/>
    <w:uiPriority w:val="99"/>
    <w:semiHidden/>
    <w:rsid w:val="00482CF4"/>
    <w:rPr>
      <w:rFonts w:ascii="Calibri Light" w:eastAsia="Times New Roman" w:hAnsi="Calibri Light" w:cs="Times New Roman"/>
      <w:b/>
      <w:bCs/>
      <w:sz w:val="20"/>
      <w:szCs w:val="20"/>
      <w:lang w:eastAsia="en-AU"/>
    </w:rPr>
  </w:style>
  <w:style w:type="character" w:customStyle="1" w:styleId="UnresolvedMention1">
    <w:name w:val="Unresolved Mention1"/>
    <w:basedOn w:val="DefaultParagraphFont"/>
    <w:uiPriority w:val="99"/>
    <w:semiHidden/>
    <w:unhideWhenUsed/>
    <w:rsid w:val="003A7FFB"/>
    <w:rPr>
      <w:color w:val="605E5C"/>
      <w:shd w:val="clear" w:color="auto" w:fill="E1DFDD"/>
    </w:rPr>
  </w:style>
  <w:style w:type="character" w:customStyle="1" w:styleId="OutlineNumbered1Char">
    <w:name w:val="Outline Numbered 1 Char"/>
    <w:basedOn w:val="DefaultParagraphFont"/>
    <w:link w:val="OutlineNumbered1"/>
    <w:rsid w:val="00E17998"/>
    <w:rPr>
      <w:rFonts w:ascii="Calibri Light" w:eastAsia="Times New Roman" w:hAnsi="Calibri Light" w:cs="Times New Roman"/>
      <w:szCs w:val="20"/>
      <w:lang w:eastAsia="en-AU"/>
    </w:rPr>
  </w:style>
  <w:style w:type="character" w:customStyle="1" w:styleId="ListParagraphChar">
    <w:name w:val="List Paragraph Char"/>
    <w:basedOn w:val="DefaultParagraphFont"/>
    <w:link w:val="ListParagraph"/>
    <w:uiPriority w:val="34"/>
    <w:rsid w:val="008B053D"/>
    <w:rPr>
      <w:rFonts w:ascii="Calibri Light" w:eastAsia="Times New Roman" w:hAnsi="Calibri Light" w:cs="Times New Roman"/>
      <w:szCs w:val="20"/>
      <w:lang w:eastAsia="en-AU"/>
    </w:rPr>
  </w:style>
  <w:style w:type="paragraph" w:styleId="Revision">
    <w:name w:val="Revision"/>
    <w:hidden/>
    <w:uiPriority w:val="99"/>
    <w:semiHidden/>
    <w:rsid w:val="00F61E1E"/>
    <w:pPr>
      <w:spacing w:after="0" w:line="240" w:lineRule="auto"/>
    </w:pPr>
    <w:rPr>
      <w:rFonts w:ascii="Calibri Light" w:eastAsia="Times New Roman" w:hAnsi="Calibri Light" w:cs="Times New Roman"/>
      <w:szCs w:val="20"/>
      <w:lang w:eastAsia="en-AU"/>
    </w:rPr>
  </w:style>
  <w:style w:type="table" w:customStyle="1" w:styleId="TableGrid1">
    <w:name w:val="Table Grid1"/>
    <w:basedOn w:val="TableNormal"/>
    <w:next w:val="TableGrid"/>
    <w:uiPriority w:val="39"/>
    <w:rsid w:val="00E36BBB"/>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sz w:val="20"/>
      </w:rPr>
      <w:tblPr/>
      <w:tcPr>
        <w:shd w:val="clear" w:color="auto" w:fill="EEEEEE"/>
      </w:tcPr>
    </w:tblStylePr>
  </w:style>
  <w:style w:type="character" w:styleId="UnresolvedMention">
    <w:name w:val="Unresolved Mention"/>
    <w:basedOn w:val="DefaultParagraphFont"/>
    <w:uiPriority w:val="99"/>
    <w:rsid w:val="00891407"/>
    <w:rPr>
      <w:color w:val="605E5C"/>
      <w:shd w:val="clear" w:color="auto" w:fill="E1DFDD"/>
    </w:rPr>
  </w:style>
  <w:style w:type="table" w:customStyle="1" w:styleId="TableGrid2">
    <w:name w:val="Table Grid2"/>
    <w:basedOn w:val="TableNormal"/>
    <w:next w:val="TableGrid"/>
    <w:uiPriority w:val="39"/>
    <w:rsid w:val="004F5E5D"/>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sz w:val="20"/>
      </w:rPr>
      <w:tblPr/>
      <w:tcPr>
        <w:shd w:val="clear" w:color="auto" w:fill="EEEEEE"/>
      </w:tcPr>
    </w:tblStylePr>
  </w:style>
  <w:style w:type="table" w:customStyle="1" w:styleId="TableGrid3">
    <w:name w:val="Table Grid3"/>
    <w:basedOn w:val="TableNormal"/>
    <w:next w:val="TableGrid"/>
    <w:uiPriority w:val="39"/>
    <w:rsid w:val="0027032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34F8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855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D390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86F5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3661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913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2793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83DF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F356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42D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3557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CA41F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6379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rsid w:val="00FD293E"/>
    <w:rPr>
      <w:i/>
      <w:iCs/>
    </w:rPr>
  </w:style>
  <w:style w:type="paragraph" w:customStyle="1" w:styleId="Ghostline">
    <w:name w:val="Ghost line"/>
    <w:basedOn w:val="SingleParagraph"/>
    <w:qFormat/>
    <w:rsid w:val="006A7DB1"/>
    <w:rPr>
      <w:sz w:val="2"/>
    </w:rPr>
  </w:style>
  <w:style w:type="paragraph" w:customStyle="1" w:styleId="TabletextBULLET">
    <w:name w:val="Table text BULLET"/>
    <w:qFormat/>
    <w:rsid w:val="0077431F"/>
    <w:pPr>
      <w:numPr>
        <w:numId w:val="14"/>
      </w:numPr>
      <w:spacing w:before="60" w:after="60" w:line="240" w:lineRule="auto"/>
      <w:ind w:left="227" w:hanging="227"/>
    </w:pPr>
    <w:rPr>
      <w:rFonts w:ascii="Calibri Light" w:eastAsia="Times New Roman" w:hAnsi="Calibri Light" w:cs="Times New Roman"/>
      <w:color w:val="2C384A"/>
      <w:sz w:val="18"/>
      <w:szCs w:val="20"/>
      <w:lang w:eastAsia="en-AU"/>
    </w:rPr>
  </w:style>
  <w:style w:type="paragraph" w:customStyle="1" w:styleId="TabletextDASH">
    <w:name w:val="Table text DASH"/>
    <w:qFormat/>
    <w:rsid w:val="00B33BB1"/>
    <w:pPr>
      <w:numPr>
        <w:numId w:val="15"/>
      </w:numPr>
      <w:spacing w:before="60" w:after="60" w:line="240" w:lineRule="auto"/>
      <w:ind w:left="454" w:hanging="227"/>
    </w:pPr>
    <w:rPr>
      <w:rFonts w:ascii="Calibri Light" w:eastAsia="Times New Roman" w:hAnsi="Calibri Light" w:cs="Times New Roman"/>
      <w:color w:val="2C384A"/>
      <w:sz w:val="17"/>
      <w:szCs w:val="20"/>
      <w:lang w:eastAsia="en-AU"/>
    </w:rPr>
  </w:style>
  <w:style w:type="paragraph" w:customStyle="1" w:styleId="TableTextH2">
    <w:name w:val="Table Text H2"/>
    <w:qFormat/>
    <w:rsid w:val="00E63DBF"/>
    <w:pPr>
      <w:spacing w:before="40" w:after="40" w:line="240" w:lineRule="auto"/>
    </w:pPr>
    <w:rPr>
      <w:rFonts w:ascii="Calibri Light" w:eastAsia="Times New Roman" w:hAnsi="Calibri Light" w:cs="Times New Roman"/>
      <w:b/>
      <w:color w:val="000000" w:themeColor="text1"/>
      <w:sz w:val="17"/>
      <w:szCs w:val="20"/>
      <w:lang w:eastAsia="en-AU"/>
    </w:rPr>
  </w:style>
  <w:style w:type="paragraph" w:customStyle="1" w:styleId="TableText85">
    <w:name w:val="Table Text 8.5"/>
    <w:basedOn w:val="TableTextLeft"/>
    <w:qFormat/>
    <w:rsid w:val="00440376"/>
    <w:rPr>
      <w:bCs/>
      <w:color w:val="000000" w:themeColor="text1"/>
      <w:sz w:val="17"/>
    </w:rPr>
  </w:style>
  <w:style w:type="paragraph" w:customStyle="1" w:styleId="TabletextH1">
    <w:name w:val="Table text H1"/>
    <w:qFormat/>
    <w:rsid w:val="00D058AC"/>
    <w:pPr>
      <w:spacing w:before="120" w:after="40" w:line="240" w:lineRule="auto"/>
    </w:pPr>
    <w:rPr>
      <w:rFonts w:ascii="Calibri Light" w:eastAsia="Times New Roman" w:hAnsi="Calibri Light" w:cs="Times New Roman"/>
      <w:b/>
      <w:color w:val="2C384A" w:themeColor="accent1"/>
      <w:sz w:val="20"/>
      <w:szCs w:val="20"/>
      <w:lang w:eastAsia="en-AU"/>
    </w:rPr>
  </w:style>
  <w:style w:type="paragraph" w:customStyle="1" w:styleId="TabletextH1numbered">
    <w:name w:val="Table text H1 numbered"/>
    <w:qFormat/>
    <w:rsid w:val="00DB2942"/>
    <w:pPr>
      <w:numPr>
        <w:numId w:val="16"/>
      </w:numPr>
      <w:spacing w:before="40" w:after="60" w:line="240" w:lineRule="auto"/>
      <w:ind w:left="360"/>
    </w:pPr>
    <w:rPr>
      <w:rFonts w:ascii="Calibri Light" w:eastAsia="Calibri" w:hAnsi="Calibri Light" w:cs="Times New Roman"/>
      <w:b/>
      <w:color w:val="000000" w:themeColor="text1"/>
      <w:kern w:val="2"/>
      <w:sz w:val="18"/>
      <w:szCs w:val="18"/>
      <w14:ligatures w14:val="standardContextual"/>
    </w:rPr>
  </w:style>
  <w:style w:type="paragraph" w:customStyle="1" w:styleId="Tabletext8">
    <w:name w:val="Table text 8"/>
    <w:qFormat/>
    <w:rsid w:val="003525D5"/>
    <w:pPr>
      <w:spacing w:before="20" w:after="0" w:line="240" w:lineRule="auto"/>
    </w:pPr>
    <w:rPr>
      <w:rFonts w:ascii="Calibri Light" w:eastAsia="Calibri" w:hAnsi="Calibri Light" w:cs="Times New Roman"/>
      <w:bCs/>
      <w:color w:val="000000" w:themeColor="text1"/>
      <w:kern w:val="2"/>
      <w:sz w:val="16"/>
      <w:szCs w:val="20"/>
      <w14:ligatures w14:val="standardContextual"/>
    </w:rPr>
  </w:style>
  <w:style w:type="paragraph" w:customStyle="1" w:styleId="Tabletext10pt">
    <w:name w:val="Table text 10pt"/>
    <w:basedOn w:val="TableTextLeft"/>
    <w:qFormat/>
    <w:rsid w:val="00F3447F"/>
    <w:rPr>
      <w:rFonts w:eastAsia="Calibri"/>
      <w:kern w:val="2"/>
      <w:lang w:eastAsia="en-US"/>
      <w14:ligatures w14:val="standardContextual"/>
    </w:rPr>
  </w:style>
  <w:style w:type="paragraph" w:customStyle="1" w:styleId="TableColumnLeft10pt">
    <w:name w:val="Table Column Left 10pt"/>
    <w:basedOn w:val="TableColumnHeadingLeft"/>
    <w:rsid w:val="00F3447F"/>
    <w:rPr>
      <w:rFonts w:eastAsia="Calibri"/>
      <w:kern w:val="2"/>
      <w:sz w:val="21"/>
      <w:lang w:eastAsia="en-US"/>
      <w14:ligatures w14:val="standardContextual"/>
    </w:rPr>
  </w:style>
  <w:style w:type="paragraph" w:customStyle="1" w:styleId="TableText10ptBULLET">
    <w:name w:val="Table Text 10pt BULLET"/>
    <w:basedOn w:val="TabletextBULLET"/>
    <w:qFormat/>
    <w:rsid w:val="003B438F"/>
    <w:pPr>
      <w:spacing w:before="40" w:after="40"/>
      <w:ind w:left="284" w:hanging="284"/>
    </w:pPr>
    <w:rPr>
      <w:rFonts w:eastAsia="Calibri"/>
      <w:color w:val="000000" w:themeColor="text1"/>
      <w:sz w:val="20"/>
      <w:lang w:eastAsia="en-US"/>
    </w:rPr>
  </w:style>
  <w:style w:type="character" w:styleId="FollowedHyperlink">
    <w:name w:val="FollowedHyperlink"/>
    <w:basedOn w:val="DefaultParagraphFont"/>
    <w:uiPriority w:val="99"/>
    <w:semiHidden/>
    <w:unhideWhenUsed/>
    <w:rsid w:val="009F5983"/>
    <w:rPr>
      <w:color w:val="844D9E" w:themeColor="followedHyperlink"/>
      <w:u w:val="single"/>
    </w:rPr>
  </w:style>
  <w:style w:type="table" w:customStyle="1" w:styleId="TableGrid17">
    <w:name w:val="Table Grid17"/>
    <w:basedOn w:val="TableNormal"/>
    <w:next w:val="TableGrid"/>
    <w:uiPriority w:val="39"/>
    <w:rsid w:val="00A617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46EDC"/>
    <w:pPr>
      <w:widowControl w:val="0"/>
      <w:autoSpaceDE w:val="0"/>
      <w:autoSpaceDN w:val="0"/>
      <w:spacing w:before="97" w:after="0"/>
      <w:ind w:left="366"/>
    </w:pPr>
    <w:rPr>
      <w:rFonts w:eastAsia="Calibri Light" w:cs="Calibri Light"/>
      <w:szCs w:val="22"/>
      <w:lang w:val="en-US" w:eastAsia="en-US"/>
    </w:rPr>
  </w:style>
  <w:style w:type="paragraph" w:styleId="NoSpacing">
    <w:name w:val="No Spacing"/>
    <w:uiPriority w:val="1"/>
    <w:rsid w:val="002A36DF"/>
    <w:pPr>
      <w:spacing w:after="0" w:line="240" w:lineRule="auto"/>
    </w:pPr>
    <w:rPr>
      <w:rFonts w:ascii="Calibri Light" w:eastAsia="Times New Roman" w:hAnsi="Calibri Light" w:cs="Times New Roman"/>
      <w:szCs w:val="20"/>
      <w:lang w:eastAsia="en-AU"/>
    </w:rPr>
  </w:style>
  <w:style w:type="paragraph" w:customStyle="1" w:styleId="PeformanceMeasuresNormal">
    <w:name w:val="Peformance Measures Normal"/>
    <w:basedOn w:val="Normal"/>
    <w:qFormat/>
    <w:rsid w:val="002A36DF"/>
    <w:pPr>
      <w:spacing w:before="0"/>
    </w:pPr>
  </w:style>
  <w:style w:type="table" w:styleId="PlainTable2">
    <w:name w:val="Plain Table 2"/>
    <w:basedOn w:val="TableNormal"/>
    <w:uiPriority w:val="42"/>
    <w:rsid w:val="002A36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2noTOC">
    <w:name w:val="Heading 2 no TOC"/>
    <w:basedOn w:val="HeadingBase"/>
    <w:qFormat/>
    <w:rsid w:val="00CF2023"/>
    <w:pPr>
      <w:pBdr>
        <w:top w:val="single" w:sz="4" w:space="10" w:color="E8F0FC" w:themeColor="accent5" w:themeTint="33"/>
        <w:left w:val="single" w:sz="4" w:space="15" w:color="E8F0FC" w:themeColor="accent5" w:themeTint="33"/>
        <w:bottom w:val="single" w:sz="4" w:space="10" w:color="E8F0FC" w:themeColor="accent5" w:themeTint="33"/>
        <w:right w:val="single" w:sz="4" w:space="15" w:color="E8F0FC" w:themeColor="accent5" w:themeTint="33"/>
      </w:pBdr>
      <w:shd w:val="clear" w:color="auto" w:fill="E8F0FC" w:themeFill="accent5" w:themeFillTint="33"/>
      <w:outlineLvl w:val="1"/>
    </w:pPr>
    <w:rPr>
      <w:sz w:val="36"/>
    </w:rPr>
  </w:style>
  <w:style w:type="paragraph" w:styleId="CommentText">
    <w:name w:val="annotation text"/>
    <w:basedOn w:val="Normal"/>
    <w:link w:val="CommentTextChar"/>
    <w:uiPriority w:val="99"/>
    <w:unhideWhenUsed/>
    <w:rsid w:val="0070522B"/>
    <w:rPr>
      <w:sz w:val="20"/>
    </w:rPr>
  </w:style>
  <w:style w:type="character" w:customStyle="1" w:styleId="CommentTextChar">
    <w:name w:val="Comment Text Char"/>
    <w:basedOn w:val="DefaultParagraphFont"/>
    <w:link w:val="CommentText"/>
    <w:uiPriority w:val="99"/>
    <w:rsid w:val="0070522B"/>
    <w:rPr>
      <w:rFonts w:ascii="Calibri Light" w:eastAsia="Times New Roman" w:hAnsi="Calibri Light"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588">
      <w:bodyDiv w:val="1"/>
      <w:marLeft w:val="0"/>
      <w:marRight w:val="0"/>
      <w:marTop w:val="0"/>
      <w:marBottom w:val="0"/>
      <w:divBdr>
        <w:top w:val="none" w:sz="0" w:space="0" w:color="auto"/>
        <w:left w:val="none" w:sz="0" w:space="0" w:color="auto"/>
        <w:bottom w:val="none" w:sz="0" w:space="0" w:color="auto"/>
        <w:right w:val="none" w:sz="0" w:space="0" w:color="auto"/>
      </w:divBdr>
      <w:divsChild>
        <w:div w:id="602349371">
          <w:marLeft w:val="0"/>
          <w:marRight w:val="0"/>
          <w:marTop w:val="0"/>
          <w:marBottom w:val="0"/>
          <w:divBdr>
            <w:top w:val="none" w:sz="0" w:space="0" w:color="auto"/>
            <w:left w:val="none" w:sz="0" w:space="0" w:color="auto"/>
            <w:bottom w:val="none" w:sz="0" w:space="0" w:color="auto"/>
            <w:right w:val="none" w:sz="0" w:space="0" w:color="auto"/>
          </w:divBdr>
        </w:div>
        <w:div w:id="831529382">
          <w:marLeft w:val="0"/>
          <w:marRight w:val="0"/>
          <w:marTop w:val="0"/>
          <w:marBottom w:val="0"/>
          <w:divBdr>
            <w:top w:val="none" w:sz="0" w:space="0" w:color="auto"/>
            <w:left w:val="none" w:sz="0" w:space="0" w:color="auto"/>
            <w:bottom w:val="none" w:sz="0" w:space="0" w:color="auto"/>
            <w:right w:val="none" w:sz="0" w:space="0" w:color="auto"/>
          </w:divBdr>
        </w:div>
        <w:div w:id="1377778334">
          <w:marLeft w:val="0"/>
          <w:marRight w:val="0"/>
          <w:marTop w:val="0"/>
          <w:marBottom w:val="0"/>
          <w:divBdr>
            <w:top w:val="none" w:sz="0" w:space="0" w:color="auto"/>
            <w:left w:val="none" w:sz="0" w:space="0" w:color="auto"/>
            <w:bottom w:val="none" w:sz="0" w:space="0" w:color="auto"/>
            <w:right w:val="none" w:sz="0" w:space="0" w:color="auto"/>
          </w:divBdr>
        </w:div>
        <w:div w:id="1590849124">
          <w:marLeft w:val="0"/>
          <w:marRight w:val="0"/>
          <w:marTop w:val="0"/>
          <w:marBottom w:val="0"/>
          <w:divBdr>
            <w:top w:val="none" w:sz="0" w:space="0" w:color="auto"/>
            <w:left w:val="none" w:sz="0" w:space="0" w:color="auto"/>
            <w:bottom w:val="none" w:sz="0" w:space="0" w:color="auto"/>
            <w:right w:val="none" w:sz="0" w:space="0" w:color="auto"/>
          </w:divBdr>
        </w:div>
        <w:div w:id="1671449662">
          <w:marLeft w:val="0"/>
          <w:marRight w:val="0"/>
          <w:marTop w:val="0"/>
          <w:marBottom w:val="0"/>
          <w:divBdr>
            <w:top w:val="none" w:sz="0" w:space="0" w:color="auto"/>
            <w:left w:val="none" w:sz="0" w:space="0" w:color="auto"/>
            <w:bottom w:val="none" w:sz="0" w:space="0" w:color="auto"/>
            <w:right w:val="none" w:sz="0" w:space="0" w:color="auto"/>
          </w:divBdr>
        </w:div>
      </w:divsChild>
    </w:div>
    <w:div w:id="242492292">
      <w:bodyDiv w:val="1"/>
      <w:marLeft w:val="0"/>
      <w:marRight w:val="0"/>
      <w:marTop w:val="0"/>
      <w:marBottom w:val="0"/>
      <w:divBdr>
        <w:top w:val="none" w:sz="0" w:space="0" w:color="auto"/>
        <w:left w:val="none" w:sz="0" w:space="0" w:color="auto"/>
        <w:bottom w:val="none" w:sz="0" w:space="0" w:color="auto"/>
        <w:right w:val="none" w:sz="0" w:space="0" w:color="auto"/>
      </w:divBdr>
    </w:div>
    <w:div w:id="436410614">
      <w:bodyDiv w:val="1"/>
      <w:marLeft w:val="0"/>
      <w:marRight w:val="0"/>
      <w:marTop w:val="0"/>
      <w:marBottom w:val="0"/>
      <w:divBdr>
        <w:top w:val="none" w:sz="0" w:space="0" w:color="auto"/>
        <w:left w:val="none" w:sz="0" w:space="0" w:color="auto"/>
        <w:bottom w:val="none" w:sz="0" w:space="0" w:color="auto"/>
        <w:right w:val="none" w:sz="0" w:space="0" w:color="auto"/>
      </w:divBdr>
    </w:div>
    <w:div w:id="526717559">
      <w:bodyDiv w:val="1"/>
      <w:marLeft w:val="0"/>
      <w:marRight w:val="0"/>
      <w:marTop w:val="0"/>
      <w:marBottom w:val="0"/>
      <w:divBdr>
        <w:top w:val="none" w:sz="0" w:space="0" w:color="auto"/>
        <w:left w:val="none" w:sz="0" w:space="0" w:color="auto"/>
        <w:bottom w:val="none" w:sz="0" w:space="0" w:color="auto"/>
        <w:right w:val="none" w:sz="0" w:space="0" w:color="auto"/>
      </w:divBdr>
    </w:div>
    <w:div w:id="643197882">
      <w:bodyDiv w:val="1"/>
      <w:marLeft w:val="0"/>
      <w:marRight w:val="0"/>
      <w:marTop w:val="0"/>
      <w:marBottom w:val="0"/>
      <w:divBdr>
        <w:top w:val="none" w:sz="0" w:space="0" w:color="auto"/>
        <w:left w:val="none" w:sz="0" w:space="0" w:color="auto"/>
        <w:bottom w:val="none" w:sz="0" w:space="0" w:color="auto"/>
        <w:right w:val="none" w:sz="0" w:space="0" w:color="auto"/>
      </w:divBdr>
    </w:div>
    <w:div w:id="722796571">
      <w:bodyDiv w:val="1"/>
      <w:marLeft w:val="0"/>
      <w:marRight w:val="0"/>
      <w:marTop w:val="0"/>
      <w:marBottom w:val="0"/>
      <w:divBdr>
        <w:top w:val="none" w:sz="0" w:space="0" w:color="auto"/>
        <w:left w:val="none" w:sz="0" w:space="0" w:color="auto"/>
        <w:bottom w:val="none" w:sz="0" w:space="0" w:color="auto"/>
        <w:right w:val="none" w:sz="0" w:space="0" w:color="auto"/>
      </w:divBdr>
    </w:div>
    <w:div w:id="749011079">
      <w:bodyDiv w:val="1"/>
      <w:marLeft w:val="0"/>
      <w:marRight w:val="0"/>
      <w:marTop w:val="0"/>
      <w:marBottom w:val="0"/>
      <w:divBdr>
        <w:top w:val="none" w:sz="0" w:space="0" w:color="auto"/>
        <w:left w:val="none" w:sz="0" w:space="0" w:color="auto"/>
        <w:bottom w:val="none" w:sz="0" w:space="0" w:color="auto"/>
        <w:right w:val="none" w:sz="0" w:space="0" w:color="auto"/>
      </w:divBdr>
    </w:div>
    <w:div w:id="870845496">
      <w:bodyDiv w:val="1"/>
      <w:marLeft w:val="0"/>
      <w:marRight w:val="0"/>
      <w:marTop w:val="0"/>
      <w:marBottom w:val="0"/>
      <w:divBdr>
        <w:top w:val="none" w:sz="0" w:space="0" w:color="auto"/>
        <w:left w:val="none" w:sz="0" w:space="0" w:color="auto"/>
        <w:bottom w:val="none" w:sz="0" w:space="0" w:color="auto"/>
        <w:right w:val="none" w:sz="0" w:space="0" w:color="auto"/>
      </w:divBdr>
    </w:div>
    <w:div w:id="1092315331">
      <w:bodyDiv w:val="1"/>
      <w:marLeft w:val="0"/>
      <w:marRight w:val="0"/>
      <w:marTop w:val="0"/>
      <w:marBottom w:val="0"/>
      <w:divBdr>
        <w:top w:val="none" w:sz="0" w:space="0" w:color="auto"/>
        <w:left w:val="none" w:sz="0" w:space="0" w:color="auto"/>
        <w:bottom w:val="none" w:sz="0" w:space="0" w:color="auto"/>
        <w:right w:val="none" w:sz="0" w:space="0" w:color="auto"/>
      </w:divBdr>
    </w:div>
    <w:div w:id="1160852138">
      <w:bodyDiv w:val="1"/>
      <w:marLeft w:val="0"/>
      <w:marRight w:val="0"/>
      <w:marTop w:val="0"/>
      <w:marBottom w:val="0"/>
      <w:divBdr>
        <w:top w:val="none" w:sz="0" w:space="0" w:color="auto"/>
        <w:left w:val="none" w:sz="0" w:space="0" w:color="auto"/>
        <w:bottom w:val="none" w:sz="0" w:space="0" w:color="auto"/>
        <w:right w:val="none" w:sz="0" w:space="0" w:color="auto"/>
      </w:divBdr>
    </w:div>
    <w:div w:id="183556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footer" Target="footer4.xml"/><Relationship Id="rId26" Type="http://schemas.openxmlformats.org/officeDocument/2006/relationships/hyperlink" Target="https://aus01.safelinks.protection.outlook.com/?url=https%3A%2F%2Fwww.apsreform.gov.au%2Fnews%2Fcharter-partnerships-and-engagement&amp;data=05%7C02%7CCraig.Charlton%40TREASURY.GOV.AU%7C47b35c50dc8f439670e308de5e0bf59d%7C214f1646202147cc8397e3d3a7ba7d9d%7C0%7C0%7C639051602656317527%7CUnknown%7CTWFpbGZsb3d8eyJFbXB0eU1hcGkiOnRydWUsIlYiOiIwLjAuMDAwMCIsIlAiOiJXaW4zMiIsIkFOIjoiTWFpbCIsIldUIjoyfQ%3D%3D%7C0%7C%7C%7C&amp;sdata=7mxodKik2zzFAZZf2F%2B0m2ey0EtJ5UNtef6sTmiin7k%3D&amp;reserved=0" TargetMode="External"/><Relationship Id="rId3" Type="http://schemas.openxmlformats.org/officeDocument/2006/relationships/styles" Target="styles.xml"/><Relationship Id="rId21" Type="http://schemas.openxmlformats.org/officeDocument/2006/relationships/hyperlink" Target="https://www.apsc.gov.au/aps-news/charter-partnerships-and-engagement" TargetMode="External"/><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footer" Target="footer3.xml"/><Relationship Id="rId25" Type="http://schemas.openxmlformats.org/officeDocument/2006/relationships/hyperlink" Target="https://www.imd.org/centers/world-competitiveness-center/rankings/world-competitiveness/" TargetMode="External"/><Relationship Id="rId2" Type="http://schemas.openxmlformats.org/officeDocument/2006/relationships/numbering" Target="numbering.xml"/><Relationship Id="rId16" Type="http://schemas.openxmlformats.org/officeDocument/2006/relationships/hyperlink" Target="mailto:media@treasury.gov.au"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hyperlink" Target="https://paymenttimes.gov.au/" TargetMode="External"/><Relationship Id="rId5" Type="http://schemas.openxmlformats.org/officeDocument/2006/relationships/webSettings" Target="webSettings.xml"/><Relationship Id="rId15" Type="http://schemas.openxmlformats.org/officeDocument/2006/relationships/hyperlink" Target="http://www.pmc.gov.au/government/commonwealth-coat-arms" TargetMode="External"/><Relationship Id="rId23" Type="http://schemas.openxmlformats.org/officeDocument/2006/relationships/hyperlink" Target="https://www.finance.gov.au/government/managing-commonwealth-resources/regulator-performance-rmg-128"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treasury.gov.au/sites/default/files/2026-06/p2026-773858.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eativecommons.org/licenses/by/4.0/" TargetMode="External"/><Relationship Id="rId22" Type="http://schemas.openxmlformats.org/officeDocument/2006/relationships/image" Target="media/image5.png"/><Relationship Id="rId27"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B708F-7624-4AAF-AA6C-4876CA89C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8870</Words>
  <Characters>53753</Characters>
  <Application>Microsoft Office Word</Application>
  <DocSecurity>0</DocSecurity>
  <Lines>1097</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Treasury Corporate Plan 2026–27</dc:title>
  <dc:subject/>
  <dc:creator>Australian Government</dc:creator>
  <cp:keywords/>
  <cp:lastModifiedBy/>
  <cp:revision>1</cp:revision>
  <dcterms:created xsi:type="dcterms:W3CDTF">2026-08-24T02:59:00Z</dcterms:created>
  <dcterms:modified xsi:type="dcterms:W3CDTF">2026-08-24T03:00:00Z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2026-08-24T02:59:41Z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980a8ee4-d918-4cc8-ad87-e2430c12ca69</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